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napToGrid w:val="0"/>
        <w:spacing w:line="580" w:lineRule="exact"/>
        <w:rPr>
          <w:rFonts w:ascii="方正仿宋_GBK" w:hAnsi="Tahoma" w:eastAsia="方正仿宋_GBK" w:cs="Tahoma"/>
          <w:kern w:val="0"/>
          <w:sz w:val="32"/>
          <w:szCs w:val="32"/>
        </w:rPr>
      </w:pPr>
      <w:r>
        <w:rPr>
          <w:rFonts w:hint="eastAsia" w:ascii="方正仿宋_GBK" w:hAnsi="黑体" w:eastAsia="方正仿宋_GBK"/>
          <w:sz w:val="32"/>
          <w:szCs w:val="32"/>
        </w:rPr>
        <w:t>附件6</w:t>
      </w:r>
    </w:p>
    <w:p>
      <w:pPr>
        <w:snapToGrid w:val="0"/>
        <w:spacing w:line="580" w:lineRule="exact"/>
        <w:jc w:val="center"/>
        <w:rPr>
          <w:rFonts w:hint="default" w:cs="Tahoma" w:asciiTheme="majorEastAsia" w:hAnsiTheme="majorEastAsia" w:eastAsiaTheme="majorEastAsia"/>
          <w:kern w:val="0"/>
          <w:sz w:val="44"/>
          <w:szCs w:val="44"/>
          <w:lang w:val="en-US" w:eastAsia="zh-CN"/>
        </w:rPr>
      </w:pPr>
      <w:r>
        <w:rPr>
          <w:rFonts w:hint="eastAsia" w:cs="Tahoma" w:asciiTheme="majorEastAsia" w:hAnsiTheme="majorEastAsia" w:eastAsiaTheme="majorEastAsia"/>
          <w:kern w:val="0"/>
          <w:sz w:val="44"/>
          <w:szCs w:val="44"/>
        </w:rPr>
        <w:t>2022年度</w:t>
      </w:r>
      <w:r>
        <w:rPr>
          <w:rFonts w:hint="eastAsia" w:cs="Tahoma" w:asciiTheme="majorEastAsia" w:hAnsiTheme="majorEastAsia" w:eastAsiaTheme="majorEastAsia"/>
          <w:kern w:val="0"/>
          <w:sz w:val="44"/>
          <w:szCs w:val="44"/>
          <w:lang w:val="en-US" w:eastAsia="zh-CN"/>
        </w:rPr>
        <w:t>隆尧县供销合作社</w:t>
      </w:r>
    </w:p>
    <w:p>
      <w:pPr>
        <w:snapToGrid w:val="0"/>
        <w:spacing w:line="580" w:lineRule="exact"/>
        <w:jc w:val="center"/>
        <w:rPr>
          <w:rFonts w:asciiTheme="majorEastAsia" w:hAnsiTheme="majorEastAsia" w:eastAsiaTheme="majorEastAsia"/>
          <w:sz w:val="44"/>
          <w:szCs w:val="44"/>
        </w:rPr>
      </w:pPr>
      <w:r>
        <w:rPr>
          <w:rFonts w:hint="eastAsia" w:cs="Tahoma" w:asciiTheme="majorEastAsia" w:hAnsiTheme="majorEastAsia" w:eastAsiaTheme="majorEastAsia"/>
          <w:kern w:val="0"/>
          <w:sz w:val="44"/>
          <w:szCs w:val="44"/>
        </w:rPr>
        <w:t>部门整体</w:t>
      </w:r>
      <w:r>
        <w:rPr>
          <w:rFonts w:hint="eastAsia" w:asciiTheme="majorEastAsia" w:hAnsiTheme="majorEastAsia" w:eastAsiaTheme="majorEastAsia"/>
          <w:sz w:val="44"/>
          <w:szCs w:val="44"/>
        </w:rPr>
        <w:t>绩效自评工作报告</w:t>
      </w:r>
    </w:p>
    <w:p>
      <w:pPr>
        <w:snapToGrid w:val="0"/>
        <w:spacing w:line="400" w:lineRule="exact"/>
        <w:ind w:firstLine="643" w:firstLineChars="200"/>
        <w:rPr>
          <w:rFonts w:ascii="仿宋_GB2312" w:hAnsi="宋体" w:eastAsia="仿宋_GB2312"/>
          <w:b/>
          <w:sz w:val="32"/>
          <w:szCs w:val="32"/>
        </w:rPr>
      </w:pPr>
    </w:p>
    <w:p>
      <w:pPr>
        <w:snapToGrid w:val="0"/>
        <w:spacing w:line="580" w:lineRule="exact"/>
        <w:ind w:firstLine="800" w:firstLineChars="250"/>
        <w:rPr>
          <w:rFonts w:ascii="黑体" w:hAnsi="黑体" w:eastAsia="黑体"/>
          <w:sz w:val="32"/>
          <w:szCs w:val="32"/>
        </w:rPr>
      </w:pPr>
      <w:r>
        <w:rPr>
          <w:rFonts w:hint="eastAsia" w:ascii="黑体" w:hAnsi="黑体" w:eastAsia="黑体"/>
          <w:sz w:val="32"/>
          <w:szCs w:val="32"/>
        </w:rPr>
        <w:t>一、绩效自评工作组织开展情况</w:t>
      </w:r>
    </w:p>
    <w:p>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600" w:lineRule="exact"/>
        <w:ind w:firstLine="641"/>
        <w:textAlignment w:val="auto"/>
        <w:rPr>
          <w:rFonts w:hint="eastAsia" w:ascii="仿宋" w:hAnsi="仿宋" w:eastAsia="仿宋" w:cs="Times New Roman"/>
          <w:sz w:val="32"/>
          <w:szCs w:val="32"/>
        </w:rPr>
      </w:pPr>
      <w:r>
        <w:rPr>
          <w:rFonts w:hint="eastAsia" w:ascii="仿宋" w:hAnsi="仿宋" w:eastAsia="仿宋" w:cs="Times New Roman"/>
          <w:sz w:val="32"/>
          <w:szCs w:val="32"/>
          <w:lang w:val="en-US" w:eastAsia="zh-CN"/>
        </w:rPr>
        <w:t>为全面实施预算项目绩效管理，我单位一是加强预算编制绩效管理，每年对本单位所申报预算项目进行全面梳理、加强审核、合理保障，所有项目均有详细的资金预算；二是积极推进项目绩效评价，在加强预算编制环节的基础上，加强预算执行监管和执行结果评价，将财务监督渗透到预算管理的事前、事中、事后各个环节。</w:t>
      </w:r>
    </w:p>
    <w:p>
      <w:pPr>
        <w:snapToGrid w:val="0"/>
        <w:spacing w:line="580" w:lineRule="exact"/>
        <w:ind w:firstLine="800" w:firstLineChars="250"/>
        <w:rPr>
          <w:rFonts w:ascii="黑体" w:hAnsi="黑体" w:eastAsia="黑体"/>
          <w:sz w:val="32"/>
          <w:szCs w:val="32"/>
        </w:rPr>
      </w:pPr>
      <w:r>
        <w:rPr>
          <w:rFonts w:hint="eastAsia" w:ascii="黑体" w:hAnsi="黑体" w:eastAsia="黑体"/>
          <w:sz w:val="32"/>
          <w:szCs w:val="32"/>
        </w:rPr>
        <w:t>二、绩效目标实现情况</w:t>
      </w:r>
    </w:p>
    <w:p>
      <w:pPr>
        <w:pStyle w:val="6"/>
        <w:keepNext w:val="0"/>
        <w:keepLines w:val="0"/>
        <w:pageBreakBefore w:val="0"/>
        <w:widowControl/>
        <w:suppressLineNumbers w:val="0"/>
        <w:kinsoku/>
        <w:wordWrap/>
        <w:overflowPunct/>
        <w:topLinePunct w:val="0"/>
        <w:autoSpaceDE/>
        <w:autoSpaceDN/>
        <w:bidi w:val="0"/>
        <w:adjustRightInd/>
        <w:snapToGrid/>
        <w:spacing w:before="210" w:beforeAutospacing="0" w:after="210" w:afterAutospacing="0" w:line="600" w:lineRule="atLeast"/>
        <w:ind w:left="0" w:right="0" w:firstLine="640" w:firstLineChars="200"/>
        <w:jc w:val="left"/>
        <w:textAlignment w:val="auto"/>
        <w:rPr>
          <w:rFonts w:hint="eastAsia" w:ascii="仿宋" w:hAnsi="仿宋" w:eastAsia="仿宋" w:cs="仿宋"/>
          <w:sz w:val="32"/>
          <w:szCs w:val="32"/>
          <w:shd w:val="clear" w:fill="FFFFFF"/>
        </w:rPr>
      </w:pP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根据本单位年初工作规划和重点工作，围绕</w:t>
      </w:r>
      <w:r>
        <w:rPr>
          <w:rFonts w:hint="eastAsia" w:ascii="仿宋" w:hAnsi="仿宋" w:eastAsia="仿宋" w:cs="仿宋"/>
          <w:sz w:val="32"/>
          <w:szCs w:val="32"/>
          <w:lang w:eastAsia="zh-CN"/>
        </w:rPr>
        <w:t>县</w:t>
      </w:r>
      <w:r>
        <w:rPr>
          <w:rFonts w:hint="eastAsia" w:ascii="仿宋" w:hAnsi="仿宋" w:eastAsia="仿宋" w:cs="仿宋"/>
          <w:sz w:val="32"/>
          <w:szCs w:val="32"/>
        </w:rPr>
        <w:t>委、</w:t>
      </w:r>
      <w:r>
        <w:rPr>
          <w:rFonts w:hint="eastAsia" w:ascii="仿宋" w:hAnsi="仿宋" w:eastAsia="仿宋" w:cs="仿宋"/>
          <w:sz w:val="32"/>
          <w:szCs w:val="32"/>
          <w:lang w:eastAsia="zh-CN"/>
        </w:rPr>
        <w:t>县</w:t>
      </w:r>
      <w:r>
        <w:rPr>
          <w:rFonts w:hint="eastAsia" w:ascii="仿宋" w:hAnsi="仿宋" w:eastAsia="仿宋" w:cs="仿宋"/>
          <w:sz w:val="32"/>
          <w:szCs w:val="32"/>
        </w:rPr>
        <w:t>政府以及</w:t>
      </w:r>
      <w:r>
        <w:rPr>
          <w:rFonts w:hint="eastAsia" w:ascii="仿宋" w:hAnsi="仿宋" w:eastAsia="仿宋" w:cs="仿宋"/>
          <w:sz w:val="32"/>
          <w:szCs w:val="32"/>
          <w:lang w:eastAsia="zh-CN"/>
        </w:rPr>
        <w:t>市残联</w:t>
      </w:r>
      <w:r>
        <w:rPr>
          <w:rFonts w:hint="eastAsia" w:ascii="仿宋" w:hAnsi="仿宋" w:eastAsia="仿宋" w:cs="仿宋"/>
          <w:sz w:val="32"/>
          <w:szCs w:val="32"/>
        </w:rPr>
        <w:t>的工作部署，积极履行职责，强化管理，较好地完成了年度工作目标，同时加强预算收支的管理，建立健全内部管理制度，严格内部管理流程，单位整体支出管理得到了提升</w:t>
      </w:r>
      <w:r>
        <w:rPr>
          <w:rFonts w:hint="eastAsia" w:ascii="仿宋" w:hAnsi="仿宋" w:eastAsia="仿宋" w:cs="仿宋"/>
          <w:sz w:val="32"/>
          <w:szCs w:val="32"/>
          <w:lang w:eastAsia="zh-CN"/>
        </w:rPr>
        <w:t>。</w:t>
      </w:r>
      <w:r>
        <w:rPr>
          <w:rFonts w:hint="eastAsia" w:ascii="仿宋" w:hAnsi="仿宋" w:eastAsia="仿宋" w:cs="仿宋"/>
          <w:sz w:val="32"/>
          <w:szCs w:val="32"/>
          <w:shd w:val="clear" w:fill="FFFFFF"/>
        </w:rPr>
        <w:t>通过对20</w:t>
      </w:r>
      <w:r>
        <w:rPr>
          <w:rFonts w:hint="eastAsia" w:ascii="仿宋" w:hAnsi="仿宋" w:eastAsia="仿宋" w:cs="仿宋"/>
          <w:sz w:val="32"/>
          <w:szCs w:val="32"/>
          <w:shd w:val="clear" w:fill="FFFFFF"/>
          <w:lang w:val="en-US" w:eastAsia="zh-CN"/>
        </w:rPr>
        <w:t>22</w:t>
      </w:r>
      <w:r>
        <w:rPr>
          <w:rFonts w:hint="eastAsia" w:ascii="仿宋" w:hAnsi="仿宋" w:eastAsia="仿宋" w:cs="仿宋"/>
          <w:sz w:val="32"/>
          <w:szCs w:val="32"/>
          <w:shd w:val="clear" w:fill="FFFFFF"/>
        </w:rPr>
        <w:t>年部门整体支出绩效自评的结果分析如下：</w:t>
      </w:r>
    </w:p>
    <w:p>
      <w:pPr>
        <w:numPr>
          <w:ilvl w:val="0"/>
          <w:numId w:val="1"/>
        </w:numPr>
        <w:adjustRightInd w:val="0"/>
        <w:ind w:left="-480" w:leftChars="0" w:firstLine="480" w:firstLineChars="0"/>
        <w:rPr>
          <w:rFonts w:hint="eastAsia" w:ascii="仿宋" w:hAnsi="仿宋" w:eastAsia="仿宋" w:cs="仿宋"/>
          <w:sz w:val="32"/>
          <w:szCs w:val="32"/>
        </w:rPr>
      </w:pPr>
      <w:r>
        <w:rPr>
          <w:rFonts w:hint="eastAsia" w:ascii="仿宋" w:hAnsi="仿宋" w:eastAsia="仿宋" w:cs="仿宋"/>
          <w:sz w:val="32"/>
          <w:szCs w:val="32"/>
        </w:rPr>
        <w:t>部门开展预算绩效管理情况。</w:t>
      </w:r>
    </w:p>
    <w:p>
      <w:pPr>
        <w:pStyle w:val="6"/>
        <w:keepNext w:val="0"/>
        <w:keepLines w:val="0"/>
        <w:pageBreakBefore w:val="0"/>
        <w:widowControl/>
        <w:suppressLineNumbers w:val="0"/>
        <w:kinsoku/>
        <w:wordWrap/>
        <w:overflowPunct/>
        <w:topLinePunct w:val="0"/>
        <w:autoSpaceDE/>
        <w:autoSpaceDN/>
        <w:bidi w:val="0"/>
        <w:adjustRightInd/>
        <w:snapToGrid/>
        <w:spacing w:before="210" w:beforeAutospacing="0" w:after="210" w:afterAutospacing="0" w:line="600" w:lineRule="atLeast"/>
        <w:ind w:right="0"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shd w:val="clear" w:fill="FFFFFF"/>
          <w:lang w:val="en-US" w:eastAsia="zh-CN"/>
        </w:rPr>
        <w:t>1</w:t>
      </w:r>
      <w:r>
        <w:rPr>
          <w:rFonts w:hint="eastAsia" w:ascii="仿宋" w:hAnsi="仿宋" w:eastAsia="仿宋" w:cs="仿宋"/>
          <w:sz w:val="32"/>
          <w:szCs w:val="32"/>
          <w:shd w:val="clear" w:fill="FFFFFF"/>
        </w:rPr>
        <w:t>、管理制度健全性：本单位根据&lt;中华人民共和国会计法&gt;、&lt;会计基础工作规范&gt;</w:t>
      </w:r>
      <w:r>
        <w:rPr>
          <w:rFonts w:hint="eastAsia" w:ascii="仿宋" w:hAnsi="仿宋" w:eastAsia="仿宋" w:cs="仿宋"/>
          <w:sz w:val="32"/>
          <w:szCs w:val="32"/>
          <w:shd w:val="clear" w:fill="FFFFFF"/>
          <w:lang w:eastAsia="zh-CN"/>
        </w:rPr>
        <w:t>及</w:t>
      </w:r>
      <w:r>
        <w:rPr>
          <w:rFonts w:hint="eastAsia" w:ascii="仿宋" w:hAnsi="仿宋" w:eastAsia="仿宋" w:cs="仿宋"/>
          <w:sz w:val="32"/>
          <w:szCs w:val="32"/>
          <w:shd w:val="clear" w:fill="FFFFFF"/>
        </w:rPr>
        <w:t>《</w:t>
      </w:r>
      <w:r>
        <w:rPr>
          <w:rFonts w:hint="eastAsia" w:ascii="仿宋" w:hAnsi="仿宋" w:eastAsia="仿宋" w:cs="仿宋"/>
          <w:sz w:val="32"/>
          <w:szCs w:val="32"/>
          <w:shd w:val="clear" w:fill="FFFFFF"/>
          <w:lang w:eastAsia="zh-CN"/>
        </w:rPr>
        <w:t>工会会计制度</w:t>
      </w:r>
      <w:r>
        <w:rPr>
          <w:rFonts w:hint="eastAsia" w:ascii="仿宋" w:hAnsi="仿宋" w:eastAsia="仿宋" w:cs="仿宋"/>
          <w:sz w:val="32"/>
          <w:szCs w:val="32"/>
          <w:shd w:val="clear" w:fill="FFFFFF"/>
        </w:rPr>
        <w:t>》结合本单位的实际情况制定了相关的财务管理制度。</w:t>
      </w:r>
    </w:p>
    <w:p>
      <w:pPr>
        <w:pStyle w:val="6"/>
        <w:keepNext w:val="0"/>
        <w:keepLines w:val="0"/>
        <w:pageBreakBefore w:val="0"/>
        <w:widowControl/>
        <w:suppressLineNumbers w:val="0"/>
        <w:kinsoku/>
        <w:wordWrap/>
        <w:overflowPunct/>
        <w:topLinePunct w:val="0"/>
        <w:autoSpaceDE/>
        <w:autoSpaceDN/>
        <w:bidi w:val="0"/>
        <w:adjustRightInd/>
        <w:snapToGrid/>
        <w:spacing w:before="210" w:beforeAutospacing="0" w:after="210" w:afterAutospacing="0" w:line="600" w:lineRule="atLeast"/>
        <w:ind w:left="0" w:right="0"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shd w:val="clear" w:fill="FFFFFF"/>
          <w:lang w:val="en-US" w:eastAsia="zh-CN"/>
        </w:rPr>
        <w:t>2</w:t>
      </w:r>
      <w:r>
        <w:rPr>
          <w:rFonts w:hint="eastAsia" w:ascii="仿宋" w:hAnsi="仿宋" w:eastAsia="仿宋" w:cs="仿宋"/>
          <w:sz w:val="32"/>
          <w:szCs w:val="32"/>
          <w:shd w:val="clear" w:fill="FFFFFF"/>
        </w:rPr>
        <w:t>、资金使用合规性：本单位在资金使用上一直按照国家财经法规和本单位财务管理制度规定以及有关资金管理办法的规定收支，资金拨付有完整的审批程序和手续</w:t>
      </w:r>
      <w:r>
        <w:rPr>
          <w:rFonts w:hint="eastAsia" w:ascii="仿宋" w:hAnsi="仿宋" w:eastAsia="仿宋" w:cs="仿宋"/>
          <w:color w:val="555555"/>
          <w:sz w:val="32"/>
          <w:szCs w:val="32"/>
          <w:shd w:val="clear" w:fill="FFFFFF"/>
        </w:rPr>
        <w:t>，</w:t>
      </w:r>
      <w:r>
        <w:rPr>
          <w:rFonts w:hint="eastAsia" w:ascii="仿宋" w:hAnsi="仿宋" w:eastAsia="仿宋" w:cs="仿宋"/>
          <w:sz w:val="32"/>
          <w:szCs w:val="32"/>
          <w:shd w:val="clear" w:fill="FFFFFF"/>
        </w:rPr>
        <w:t>单位财务</w:t>
      </w:r>
      <w:r>
        <w:rPr>
          <w:rFonts w:hint="eastAsia" w:ascii="仿宋" w:hAnsi="仿宋" w:eastAsia="仿宋" w:cs="仿宋"/>
          <w:sz w:val="32"/>
          <w:szCs w:val="32"/>
          <w:shd w:val="clear" w:fill="FFFFFF"/>
          <w:lang w:val="en-US" w:eastAsia="zh-CN"/>
        </w:rPr>
        <w:t>股长</w:t>
      </w:r>
      <w:r>
        <w:rPr>
          <w:rFonts w:hint="eastAsia" w:ascii="仿宋" w:hAnsi="仿宋" w:eastAsia="仿宋" w:cs="仿宋"/>
          <w:sz w:val="32"/>
          <w:szCs w:val="32"/>
          <w:shd w:val="clear" w:fill="FFFFFF"/>
        </w:rPr>
        <w:t>和分管财务领导对资金的使用进行全程监督</w:t>
      </w:r>
      <w:r>
        <w:rPr>
          <w:rFonts w:hint="eastAsia" w:ascii="仿宋" w:hAnsi="仿宋" w:eastAsia="仿宋" w:cs="仿宋"/>
          <w:color w:val="555555"/>
          <w:sz w:val="32"/>
          <w:szCs w:val="32"/>
          <w:shd w:val="clear" w:fill="FFFFFF"/>
        </w:rPr>
        <w:t>，</w:t>
      </w:r>
      <w:r>
        <w:rPr>
          <w:rFonts w:hint="eastAsia" w:ascii="仿宋" w:hAnsi="仿宋" w:eastAsia="仿宋" w:cs="仿宋"/>
          <w:sz w:val="32"/>
          <w:szCs w:val="32"/>
          <w:shd w:val="clear" w:fill="FFFFFF"/>
        </w:rPr>
        <w:t>按照财经制度的有关要求，保证资金使用的合规性。</w:t>
      </w:r>
    </w:p>
    <w:p>
      <w:pPr>
        <w:pStyle w:val="6"/>
        <w:keepNext w:val="0"/>
        <w:keepLines w:val="0"/>
        <w:pageBreakBefore w:val="0"/>
        <w:widowControl/>
        <w:suppressLineNumbers w:val="0"/>
        <w:kinsoku/>
        <w:wordWrap/>
        <w:overflowPunct/>
        <w:topLinePunct w:val="0"/>
        <w:autoSpaceDE/>
        <w:autoSpaceDN/>
        <w:bidi w:val="0"/>
        <w:adjustRightInd/>
        <w:snapToGrid/>
        <w:spacing w:before="210" w:beforeAutospacing="0" w:after="210" w:afterAutospacing="0" w:line="600" w:lineRule="atLeast"/>
        <w:ind w:left="0" w:right="0" w:firstLine="640" w:firstLineChars="200"/>
        <w:jc w:val="left"/>
        <w:textAlignment w:val="auto"/>
        <w:rPr>
          <w:rFonts w:hint="default" w:ascii="仿宋" w:hAnsi="仿宋" w:eastAsia="仿宋" w:cs="仿宋"/>
          <w:sz w:val="32"/>
          <w:szCs w:val="32"/>
          <w:lang w:val="en-US" w:eastAsia="zh-CN"/>
        </w:rPr>
      </w:pPr>
      <w:r>
        <w:rPr>
          <w:rFonts w:hint="eastAsia" w:ascii="仿宋" w:hAnsi="仿宋" w:eastAsia="仿宋" w:cs="仿宋"/>
          <w:sz w:val="32"/>
          <w:szCs w:val="32"/>
          <w:shd w:val="clear" w:fill="FFFFFF"/>
          <w:lang w:val="en-US" w:eastAsia="zh-CN"/>
        </w:rPr>
        <w:t>3</w:t>
      </w:r>
      <w:r>
        <w:rPr>
          <w:rFonts w:hint="eastAsia" w:ascii="仿宋" w:hAnsi="仿宋" w:eastAsia="仿宋" w:cs="仿宋"/>
          <w:sz w:val="32"/>
          <w:szCs w:val="32"/>
          <w:shd w:val="clear" w:fill="FFFFFF"/>
        </w:rPr>
        <w:t>.预决算信息公开性：本单位20</w:t>
      </w:r>
      <w:r>
        <w:rPr>
          <w:rFonts w:hint="eastAsia" w:ascii="仿宋" w:hAnsi="仿宋" w:eastAsia="仿宋" w:cs="仿宋"/>
          <w:sz w:val="32"/>
          <w:szCs w:val="32"/>
          <w:shd w:val="clear" w:fill="FFFFFF"/>
          <w:lang w:val="en-US" w:eastAsia="zh-CN"/>
        </w:rPr>
        <w:t>22</w:t>
      </w:r>
      <w:r>
        <w:rPr>
          <w:rFonts w:hint="eastAsia" w:ascii="仿宋" w:hAnsi="仿宋" w:eastAsia="仿宋" w:cs="仿宋"/>
          <w:sz w:val="32"/>
          <w:szCs w:val="32"/>
          <w:shd w:val="clear" w:fill="FFFFFF"/>
        </w:rPr>
        <w:t>年度的预决算数据已经按照</w:t>
      </w:r>
      <w:r>
        <w:rPr>
          <w:rFonts w:hint="eastAsia" w:ascii="仿宋" w:hAnsi="仿宋" w:eastAsia="仿宋" w:cs="仿宋"/>
          <w:sz w:val="32"/>
          <w:szCs w:val="32"/>
          <w:shd w:val="clear" w:fill="FFFFFF"/>
          <w:lang w:eastAsia="zh-CN"/>
        </w:rPr>
        <w:t>县</w:t>
      </w:r>
      <w:r>
        <w:rPr>
          <w:rFonts w:hint="eastAsia" w:ascii="仿宋" w:hAnsi="仿宋" w:eastAsia="仿宋" w:cs="仿宋"/>
          <w:sz w:val="32"/>
          <w:szCs w:val="32"/>
          <w:shd w:val="clear" w:fill="FFFFFF"/>
        </w:rPr>
        <w:t>财政局的相关要求及时报送</w:t>
      </w:r>
      <w:r>
        <w:rPr>
          <w:rFonts w:hint="eastAsia" w:ascii="仿宋" w:hAnsi="仿宋" w:eastAsia="仿宋" w:cs="仿宋"/>
          <w:sz w:val="32"/>
          <w:szCs w:val="32"/>
          <w:shd w:val="clear" w:fill="FFFFFF"/>
          <w:lang w:eastAsia="zh-CN"/>
        </w:rPr>
        <w:t>县</w:t>
      </w:r>
      <w:r>
        <w:rPr>
          <w:rFonts w:hint="eastAsia" w:ascii="仿宋" w:hAnsi="仿宋" w:eastAsia="仿宋" w:cs="仿宋"/>
          <w:sz w:val="32"/>
          <w:szCs w:val="32"/>
          <w:shd w:val="clear" w:fill="FFFFFF"/>
        </w:rPr>
        <w:t>财政局有关部门，并在单位全体人员会议上公开。</w:t>
      </w:r>
    </w:p>
    <w:p>
      <w:pPr>
        <w:adjustRightInd w:val="0"/>
        <w:ind w:firstLine="480" w:firstLineChars="150"/>
        <w:rPr>
          <w:rFonts w:hint="eastAsia" w:ascii="仿宋" w:hAnsi="仿宋" w:eastAsia="仿宋" w:cs="仿宋"/>
          <w:sz w:val="32"/>
          <w:szCs w:val="32"/>
        </w:rPr>
      </w:pPr>
      <w:r>
        <w:rPr>
          <w:rFonts w:hint="eastAsia" w:ascii="仿宋" w:hAnsi="仿宋" w:eastAsia="仿宋" w:cs="仿宋"/>
          <w:sz w:val="32"/>
          <w:szCs w:val="32"/>
        </w:rPr>
        <w:t>（二）工作履行活动完成情况。</w:t>
      </w:r>
    </w:p>
    <w:p>
      <w:pPr>
        <w:numPr>
          <w:ilvl w:val="0"/>
          <w:numId w:val="0"/>
        </w:numPr>
        <w:adjustRightInd w:val="0"/>
        <w:ind w:left="420" w:leftChars="0"/>
        <w:rPr>
          <w:rFonts w:hint="eastAsia" w:ascii="仿宋" w:hAnsi="仿宋" w:eastAsia="仿宋" w:cs="Times New Roman"/>
          <w:color w:val="000000"/>
          <w:sz w:val="32"/>
          <w:szCs w:val="32"/>
          <w:lang w:val="en-US" w:eastAsia="zh-CN"/>
        </w:rPr>
      </w:pPr>
      <w:r>
        <w:rPr>
          <w:rFonts w:hint="eastAsia" w:ascii="仿宋" w:hAnsi="仿宋" w:eastAsia="仿宋" w:cs="仿宋"/>
          <w:sz w:val="32"/>
          <w:szCs w:val="32"/>
          <w:lang w:eastAsia="zh-CN"/>
        </w:rPr>
        <w:t>本部门绩效评价工作活动由</w:t>
      </w:r>
      <w:r>
        <w:rPr>
          <w:rFonts w:hint="eastAsia" w:ascii="仿宋" w:hAnsi="仿宋" w:eastAsia="仿宋" w:cs="仿宋"/>
          <w:sz w:val="32"/>
          <w:szCs w:val="32"/>
          <w:lang w:val="en-US" w:eastAsia="zh-CN"/>
        </w:rPr>
        <w:t>县社主任董献忠</w:t>
      </w:r>
      <w:r>
        <w:rPr>
          <w:rFonts w:hint="eastAsia" w:ascii="仿宋" w:hAnsi="仿宋" w:eastAsia="仿宋" w:cs="仿宋"/>
          <w:sz w:val="32"/>
          <w:szCs w:val="32"/>
          <w:lang w:eastAsia="zh-CN"/>
        </w:rPr>
        <w:t>任组长，</w:t>
      </w:r>
      <w:r>
        <w:rPr>
          <w:rFonts w:hint="eastAsia" w:ascii="仿宋" w:hAnsi="仿宋" w:eastAsia="仿宋" w:cs="仿宋"/>
          <w:sz w:val="32"/>
          <w:szCs w:val="32"/>
          <w:lang w:val="en-US" w:eastAsia="zh-CN"/>
        </w:rPr>
        <w:t>李云霞</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路永杰</w:t>
      </w:r>
      <w:r>
        <w:rPr>
          <w:rFonts w:hint="eastAsia" w:ascii="仿宋" w:hAnsi="仿宋" w:eastAsia="仿宋" w:cs="仿宋"/>
          <w:sz w:val="32"/>
          <w:szCs w:val="32"/>
          <w:lang w:eastAsia="zh-CN"/>
        </w:rPr>
        <w:t>为成员，</w:t>
      </w:r>
      <w:r>
        <w:rPr>
          <w:rFonts w:hint="eastAsia" w:ascii="仿宋" w:hAnsi="仿宋" w:eastAsia="仿宋" w:cs="Times New Roman"/>
          <w:color w:val="000000"/>
          <w:sz w:val="32"/>
          <w:szCs w:val="32"/>
          <w:lang w:val="en-US" w:eastAsia="zh-CN"/>
        </w:rPr>
        <w:t>项目绩效目标均已完成。</w:t>
      </w:r>
    </w:p>
    <w:p>
      <w:pPr>
        <w:numPr>
          <w:ilvl w:val="0"/>
          <w:numId w:val="0"/>
        </w:numPr>
        <w:adjustRightInd w:val="0"/>
        <w:ind w:left="420" w:leftChars="0"/>
        <w:rPr>
          <w:rFonts w:hint="eastAsia"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三</w:t>
      </w:r>
      <w:r>
        <w:rPr>
          <w:rFonts w:hint="eastAsia" w:ascii="仿宋" w:hAnsi="仿宋" w:eastAsia="仿宋" w:cs="仿宋"/>
          <w:sz w:val="32"/>
          <w:szCs w:val="32"/>
          <w:lang w:eastAsia="zh-CN"/>
        </w:rPr>
        <w:t>）</w:t>
      </w:r>
      <w:r>
        <w:rPr>
          <w:rFonts w:hint="eastAsia" w:ascii="仿宋" w:hAnsi="仿宋" w:eastAsia="仿宋" w:cs="仿宋"/>
          <w:sz w:val="32"/>
          <w:szCs w:val="32"/>
        </w:rPr>
        <w:t>实施履职活动产生的效果或服务对象满意程度。</w:t>
      </w:r>
    </w:p>
    <w:p>
      <w:pPr>
        <w:snapToGrid/>
        <w:spacing w:line="240" w:lineRule="auto"/>
        <w:ind w:firstLine="640" w:firstLineChars="200"/>
        <w:rPr>
          <w:rFonts w:hint="eastAsia" w:ascii="仿宋" w:hAnsi="仿宋" w:eastAsia="仿宋" w:cs="仿宋"/>
          <w:sz w:val="32"/>
          <w:szCs w:val="32"/>
        </w:rPr>
      </w:pPr>
      <w:r>
        <w:rPr>
          <w:rFonts w:ascii="仿宋" w:hAnsi="仿宋" w:eastAsia="仿宋" w:cs="仿宋"/>
          <w:sz w:val="32"/>
          <w:szCs w:val="32"/>
        </w:rPr>
        <w:t>20</w:t>
      </w:r>
      <w:r>
        <w:rPr>
          <w:rFonts w:hint="eastAsia" w:ascii="仿宋" w:hAnsi="仿宋" w:eastAsia="仿宋" w:cs="仿宋"/>
          <w:sz w:val="32"/>
          <w:szCs w:val="32"/>
          <w:lang w:val="en-US" w:eastAsia="zh-CN"/>
        </w:rPr>
        <w:t>22</w:t>
      </w:r>
      <w:r>
        <w:rPr>
          <w:rFonts w:hint="eastAsia" w:ascii="仿宋" w:hAnsi="仿宋" w:eastAsia="仿宋" w:cs="仿宋"/>
          <w:sz w:val="32"/>
          <w:szCs w:val="32"/>
        </w:rPr>
        <w:t>年度</w:t>
      </w:r>
      <w:r>
        <w:rPr>
          <w:rFonts w:hint="eastAsia" w:ascii="仿宋" w:hAnsi="仿宋" w:eastAsia="仿宋" w:cs="仿宋"/>
          <w:sz w:val="32"/>
          <w:szCs w:val="32"/>
          <w:lang w:val="en-US" w:eastAsia="zh-CN"/>
        </w:rPr>
        <w:t>预算</w:t>
      </w:r>
      <w:r>
        <w:rPr>
          <w:rFonts w:hint="eastAsia" w:ascii="仿宋" w:hAnsi="仿宋" w:eastAsia="仿宋" w:cs="仿宋"/>
          <w:sz w:val="32"/>
          <w:szCs w:val="32"/>
          <w:lang w:eastAsia="zh-CN"/>
        </w:rPr>
        <w:t>项目活动</w:t>
      </w:r>
      <w:r>
        <w:rPr>
          <w:rFonts w:hint="eastAsia" w:ascii="仿宋" w:hAnsi="仿宋" w:eastAsia="仿宋" w:cs="仿宋"/>
          <w:sz w:val="32"/>
          <w:szCs w:val="32"/>
        </w:rPr>
        <w:t>已全部完成，完成率</w:t>
      </w:r>
      <w:r>
        <w:rPr>
          <w:rFonts w:ascii="仿宋" w:hAnsi="仿宋" w:eastAsia="仿宋" w:cs="仿宋"/>
          <w:sz w:val="32"/>
          <w:szCs w:val="32"/>
        </w:rPr>
        <w:t>100%</w:t>
      </w:r>
      <w:r>
        <w:rPr>
          <w:rFonts w:hint="eastAsia" w:ascii="仿宋" w:hAnsi="仿宋" w:eastAsia="仿宋" w:cs="仿宋"/>
          <w:sz w:val="32"/>
          <w:szCs w:val="32"/>
        </w:rPr>
        <w:t>，项目</w:t>
      </w:r>
      <w:r>
        <w:rPr>
          <w:rFonts w:hint="eastAsia" w:ascii="仿宋" w:hAnsi="仿宋" w:eastAsia="仿宋" w:cs="仿宋"/>
          <w:sz w:val="32"/>
          <w:szCs w:val="32"/>
          <w:lang w:val="en-US" w:eastAsia="zh-CN"/>
        </w:rPr>
        <w:t>为</w:t>
      </w:r>
      <w:r>
        <w:rPr>
          <w:rFonts w:hint="eastAsia" w:ascii="仿宋_GB2312" w:eastAsia="仿宋_GB2312"/>
          <w:sz w:val="32"/>
          <w:szCs w:val="32"/>
          <w:lang w:val="en-US" w:eastAsia="zh-CN"/>
        </w:rPr>
        <w:t>提高供销合作社</w:t>
      </w:r>
      <w:r>
        <w:rPr>
          <w:rFonts w:hint="eastAsia" w:ascii="仿宋_GB2312" w:eastAsia="仿宋_GB2312"/>
          <w:sz w:val="32"/>
          <w:szCs w:val="32"/>
          <w:lang w:eastAsia="zh-CN"/>
        </w:rPr>
        <w:t>服务</w:t>
      </w:r>
      <w:r>
        <w:rPr>
          <w:rFonts w:hint="eastAsia" w:ascii="仿宋_GB2312" w:eastAsia="仿宋_GB2312"/>
          <w:sz w:val="32"/>
          <w:szCs w:val="32"/>
        </w:rPr>
        <w:t>乡村振兴</w:t>
      </w:r>
      <w:r>
        <w:rPr>
          <w:rFonts w:hint="eastAsia" w:ascii="仿宋_GB2312" w:eastAsia="仿宋_GB2312"/>
          <w:sz w:val="32"/>
          <w:szCs w:val="32"/>
          <w:lang w:eastAsia="zh-CN"/>
        </w:rPr>
        <w:t>和农业农村现代化的能力</w:t>
      </w:r>
      <w:r>
        <w:rPr>
          <w:rFonts w:hint="eastAsia" w:ascii="仿宋_GB2312" w:eastAsia="仿宋_GB2312"/>
          <w:sz w:val="32"/>
          <w:szCs w:val="32"/>
        </w:rPr>
        <w:t>，</w:t>
      </w:r>
      <w:r>
        <w:rPr>
          <w:rFonts w:hint="eastAsia" w:ascii="仿宋_GB2312" w:eastAsia="仿宋_GB2312"/>
          <w:sz w:val="32"/>
          <w:szCs w:val="32"/>
          <w:lang w:val="en-US" w:eastAsia="zh-CN"/>
        </w:rPr>
        <w:t>进一步促使全县农民合作社（家庭农场）成为我县农业农村现代化的中坚力量，</w:t>
      </w:r>
      <w:r>
        <w:rPr>
          <w:rFonts w:hint="eastAsia" w:ascii="仿宋" w:hAnsi="仿宋" w:eastAsia="仿宋" w:cs="宋体"/>
          <w:kern w:val="0"/>
          <w:sz w:val="32"/>
          <w:szCs w:val="32"/>
          <w:shd w:val="clear" w:color="auto" w:fill="FFFFFF"/>
        </w:rPr>
        <w:t>资金全部用于</w:t>
      </w:r>
      <w:r>
        <w:rPr>
          <w:rFonts w:hint="eastAsia" w:ascii="仿宋" w:hAnsi="仿宋" w:eastAsia="仿宋" w:cs="宋体"/>
          <w:kern w:val="0"/>
          <w:sz w:val="32"/>
          <w:szCs w:val="32"/>
          <w:shd w:val="clear" w:color="auto" w:fill="FFFFFF"/>
          <w:lang w:val="en-US" w:eastAsia="zh-CN"/>
        </w:rPr>
        <w:t>服务农民</w:t>
      </w:r>
      <w:r>
        <w:rPr>
          <w:rFonts w:hint="eastAsia" w:ascii="仿宋" w:hAnsi="仿宋" w:eastAsia="仿宋" w:cs="仿宋"/>
          <w:sz w:val="32"/>
          <w:szCs w:val="32"/>
        </w:rPr>
        <w:t>，资金使用合理规规，得到</w:t>
      </w:r>
      <w:r>
        <w:rPr>
          <w:rFonts w:hint="eastAsia" w:ascii="仿宋" w:hAnsi="仿宋" w:eastAsia="仿宋" w:cs="仿宋"/>
          <w:sz w:val="32"/>
          <w:szCs w:val="32"/>
          <w:lang w:val="en-US" w:eastAsia="zh-CN"/>
        </w:rPr>
        <w:t>农民</w:t>
      </w:r>
      <w:r>
        <w:rPr>
          <w:rFonts w:hint="eastAsia" w:ascii="仿宋" w:hAnsi="仿宋" w:eastAsia="仿宋" w:cs="仿宋"/>
          <w:sz w:val="32"/>
          <w:szCs w:val="32"/>
        </w:rPr>
        <w:t>认可</w:t>
      </w:r>
      <w:r>
        <w:rPr>
          <w:rFonts w:hint="eastAsia" w:ascii="仿宋" w:hAnsi="仿宋" w:eastAsia="仿宋" w:cs="宋体"/>
          <w:kern w:val="0"/>
          <w:sz w:val="32"/>
          <w:szCs w:val="32"/>
          <w:shd w:val="clear" w:color="auto" w:fill="FFFFFF"/>
        </w:rPr>
        <w:t>并取得了很好的社会反响</w:t>
      </w:r>
      <w:r>
        <w:rPr>
          <w:rFonts w:hint="eastAsia" w:ascii="仿宋" w:hAnsi="仿宋" w:eastAsia="仿宋" w:cs="仿宋"/>
          <w:sz w:val="32"/>
          <w:szCs w:val="32"/>
        </w:rPr>
        <w:t>。</w:t>
      </w:r>
    </w:p>
    <w:p>
      <w:pPr>
        <w:snapToGrid w:val="0"/>
        <w:spacing w:line="580" w:lineRule="exact"/>
        <w:ind w:firstLine="640" w:firstLineChars="200"/>
        <w:rPr>
          <w:rFonts w:ascii="黑体" w:hAnsi="黑体" w:eastAsia="黑体"/>
          <w:sz w:val="32"/>
          <w:szCs w:val="32"/>
        </w:rPr>
      </w:pPr>
      <w:r>
        <w:rPr>
          <w:rFonts w:hint="eastAsia" w:ascii="黑体" w:hAnsi="黑体" w:eastAsia="黑体"/>
          <w:sz w:val="32"/>
          <w:szCs w:val="32"/>
        </w:rPr>
        <w:t>三、绩效目标设定质量情况</w:t>
      </w:r>
    </w:p>
    <w:p>
      <w:pPr>
        <w:snapToGrid w:val="0"/>
        <w:spacing w:line="580" w:lineRule="exact"/>
        <w:ind w:firstLine="640" w:firstLineChars="200"/>
        <w:rPr>
          <w:rFonts w:hint="eastAsia" w:ascii="仿宋_GB2312" w:hAnsi="仿宋_GB2312" w:eastAsia="仿宋_GB2312" w:cs="仿宋_GB2312"/>
          <w:sz w:val="32"/>
          <w:szCs w:val="40"/>
          <w:lang w:val="en-US" w:eastAsia="zh-CN"/>
        </w:rPr>
      </w:pPr>
      <w:r>
        <w:rPr>
          <w:rFonts w:hint="eastAsia" w:ascii="仿宋_GB2312" w:hAnsi="仿宋_GB2312" w:eastAsia="仿宋_GB2312" w:cs="仿宋_GB2312"/>
          <w:sz w:val="32"/>
          <w:szCs w:val="40"/>
          <w:lang w:val="en-US" w:eastAsia="zh-CN"/>
        </w:rPr>
        <w:t>隆尧县供销合作社2022年项目绩效目标设定质量严格，</w:t>
      </w:r>
      <w:r>
        <w:rPr>
          <w:rFonts w:hint="eastAsia" w:ascii="仿宋" w:hAnsi="仿宋" w:eastAsia="仿宋" w:cs="仿宋"/>
          <w:sz w:val="32"/>
          <w:szCs w:val="32"/>
          <w:lang w:eastAsia="zh-CN"/>
        </w:rPr>
        <w:t>评价标准依据行业标准</w:t>
      </w:r>
      <w:bookmarkStart w:id="0" w:name="_GoBack"/>
      <w:bookmarkEnd w:id="0"/>
      <w:r>
        <w:rPr>
          <w:rFonts w:hint="eastAsia" w:ascii="仿宋" w:hAnsi="仿宋" w:eastAsia="仿宋" w:cs="仿宋"/>
          <w:sz w:val="32"/>
          <w:szCs w:val="32"/>
          <w:lang w:eastAsia="zh-CN"/>
        </w:rPr>
        <w:t>。</w:t>
      </w:r>
      <w:r>
        <w:rPr>
          <w:rFonts w:hint="eastAsia" w:ascii="仿宋" w:hAnsi="仿宋" w:eastAsia="仿宋"/>
          <w:sz w:val="32"/>
          <w:szCs w:val="32"/>
        </w:rPr>
        <w:t>全面总结绩效目标设定清晰准确，绩效指标全面完整、科学合理，绩效标准恰当适宜、易于评价，</w:t>
      </w:r>
      <w:r>
        <w:rPr>
          <w:rFonts w:hint="eastAsia" w:ascii="仿宋_GB2312" w:hAnsi="仿宋_GB2312" w:eastAsia="仿宋_GB2312" w:cs="仿宋_GB2312"/>
          <w:sz w:val="32"/>
          <w:szCs w:val="40"/>
          <w:lang w:val="en-US" w:eastAsia="zh-CN"/>
        </w:rPr>
        <w:t>项目立项规范，绩效目标合理，绩效指标明确。财政的相关资金到位及时，为资金的使用提供了保障。</w:t>
      </w:r>
    </w:p>
    <w:p>
      <w:pPr>
        <w:snapToGrid w:val="0"/>
        <w:spacing w:line="580" w:lineRule="exact"/>
        <w:ind w:firstLine="800" w:firstLineChars="250"/>
        <w:rPr>
          <w:rFonts w:ascii="黑体" w:hAnsi="黑体" w:eastAsia="黑体"/>
          <w:sz w:val="32"/>
          <w:szCs w:val="32"/>
        </w:rPr>
      </w:pPr>
      <w:r>
        <w:rPr>
          <w:rFonts w:hint="eastAsia" w:ascii="黑体" w:hAnsi="黑体" w:eastAsia="黑体"/>
          <w:sz w:val="32"/>
          <w:szCs w:val="32"/>
        </w:rPr>
        <w:t>四、整改措施及结果应用</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auto"/>
        <w:ind w:left="0" w:right="0"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1、</w:t>
      </w:r>
      <w:r>
        <w:rPr>
          <w:rFonts w:hint="eastAsia" w:ascii="仿宋" w:hAnsi="仿宋" w:eastAsia="仿宋" w:cs="仿宋"/>
          <w:sz w:val="32"/>
          <w:szCs w:val="32"/>
        </w:rPr>
        <w:t>按照预算规定的项目和用途严格财务审核，经费支出严格按预算规定项目的财务支出内容进行财务核算，在预算金额内严格控制费用的支出。</w:t>
      </w:r>
    </w:p>
    <w:p>
      <w:pPr>
        <w:snapToGrid w:val="0"/>
        <w:spacing w:line="580" w:lineRule="exact"/>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val="en-US" w:eastAsia="zh-CN"/>
        </w:rPr>
        <w:t>2、</w:t>
      </w:r>
      <w:r>
        <w:rPr>
          <w:rFonts w:hint="eastAsia" w:ascii="仿宋" w:hAnsi="仿宋" w:eastAsia="仿宋" w:cs="仿宋"/>
          <w:sz w:val="32"/>
          <w:szCs w:val="32"/>
        </w:rPr>
        <w:t>预算财务分析常态化，定期做好预算支出财务分析，做好单位整体支出预算评价工作。</w:t>
      </w:r>
      <w:r>
        <w:rPr>
          <w:rFonts w:hint="eastAsia" w:ascii="仿宋" w:hAnsi="仿宋" w:eastAsia="仿宋"/>
          <w:sz w:val="32"/>
          <w:szCs w:val="32"/>
        </w:rPr>
        <w:t>全面提升预算绩效管理质量加强业务培训，树立责任意识，提高绩效目标管理意识和能力。</w:t>
      </w:r>
    </w:p>
    <w:p>
      <w:pPr>
        <w:snapToGrid w:val="0"/>
        <w:spacing w:line="580" w:lineRule="exact"/>
        <w:ind w:firstLine="640" w:firstLineChars="200"/>
        <w:rPr>
          <w:rFonts w:ascii="仿宋" w:hAnsi="仿宋" w:eastAsia="仿宋"/>
          <w:sz w:val="32"/>
          <w:szCs w:val="32"/>
        </w:rPr>
      </w:pPr>
      <w:r>
        <w:rPr>
          <w:rFonts w:hint="eastAsia" w:ascii="仿宋" w:hAnsi="仿宋" w:eastAsia="仿宋"/>
          <w:sz w:val="32"/>
          <w:szCs w:val="32"/>
          <w:lang w:val="en-US" w:eastAsia="zh-CN"/>
        </w:rPr>
        <w:t>3、</w:t>
      </w:r>
      <w:r>
        <w:rPr>
          <w:rFonts w:hint="eastAsia" w:ascii="仿宋" w:hAnsi="仿宋" w:eastAsia="仿宋"/>
          <w:sz w:val="32"/>
          <w:szCs w:val="32"/>
        </w:rPr>
        <w:t>切实加快预算支出进度。从源头上控制好预算编制，与各职能处室充分沟通，对项目实施的必要性、可行性、经济性进行论证，增强预算资金安排的科学性。</w:t>
      </w:r>
    </w:p>
    <w:p>
      <w:pPr>
        <w:snapToGrid w:val="0"/>
        <w:spacing w:line="580" w:lineRule="exact"/>
        <w:ind w:firstLine="640" w:firstLineChars="200"/>
        <w:rPr>
          <w:rFonts w:ascii="仿宋" w:hAnsi="仿宋" w:eastAsia="仿宋"/>
          <w:sz w:val="32"/>
          <w:szCs w:val="32"/>
        </w:rPr>
      </w:pPr>
    </w:p>
    <w:p>
      <w:pPr>
        <w:snapToGrid w:val="0"/>
        <w:spacing w:line="580" w:lineRule="exact"/>
        <w:ind w:firstLine="640" w:firstLineChars="200"/>
        <w:rPr>
          <w:rFonts w:ascii="仿宋" w:hAnsi="仿宋" w:eastAsia="仿宋"/>
          <w:sz w:val="32"/>
          <w:szCs w:val="32"/>
        </w:rPr>
      </w:pPr>
    </w:p>
    <w:sectPr>
      <w:pgSz w:w="11906" w:h="16838"/>
      <w:pgMar w:top="2098" w:right="1418" w:bottom="1531" w:left="141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Segoe UI"/>
    <w:panose1 w:val="020F0502020204030204"/>
    <w:charset w:val="00"/>
    <w:family w:val="swiss"/>
    <w:pitch w:val="default"/>
    <w:sig w:usb0="00000000" w:usb1="00000000" w:usb2="00000001" w:usb3="00000000" w:csb0="0000019F" w:csb1="00000000"/>
  </w:font>
  <w:font w:name="方正仿宋_GBK">
    <w:altName w:val="微软雅黑"/>
    <w:panose1 w:val="00000000000000000000"/>
    <w:charset w:val="86"/>
    <w:family w:val="script"/>
    <w:pitch w:val="default"/>
    <w:sig w:usb0="00000000" w:usb1="00000000" w:usb2="00000010" w:usb3="00000000" w:csb0="00040000" w:csb1="00000000"/>
  </w:font>
  <w:font w:name="Tahoma">
    <w:panose1 w:val="020B0604030504040204"/>
    <w:charset w:val="00"/>
    <w:family w:val="swiss"/>
    <w:pitch w:val="default"/>
    <w:sig w:usb0="E1002EFF" w:usb1="C000605B" w:usb2="00000029" w:usb3="00000000" w:csb0="200101FF" w:csb1="2028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Segoe UI">
    <w:panose1 w:val="020B0502040204020203"/>
    <w:charset w:val="00"/>
    <w:family w:val="auto"/>
    <w:pitch w:val="default"/>
    <w:sig w:usb0="E4002EFF" w:usb1="C000E47F"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11941B4"/>
    <w:multiLevelType w:val="singleLevel"/>
    <w:tmpl w:val="B11941B4"/>
    <w:lvl w:ilvl="0" w:tentative="0">
      <w:start w:val="1"/>
      <w:numFmt w:val="chineseCounting"/>
      <w:suff w:val="nothing"/>
      <w:lvlText w:val="（%1）"/>
      <w:lvlJc w:val="left"/>
      <w:pPr>
        <w:ind w:left="-48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OGZiYjg2OWQzYWIwMGNhMDg3ZTgxYmMyMjNhMzAwOTQifQ=="/>
  </w:docVars>
  <w:rsids>
    <w:rsidRoot w:val="00EF16A3"/>
    <w:rsid w:val="0003266D"/>
    <w:rsid w:val="000B5213"/>
    <w:rsid w:val="001627CF"/>
    <w:rsid w:val="00172022"/>
    <w:rsid w:val="00176210"/>
    <w:rsid w:val="001D2D4C"/>
    <w:rsid w:val="002B509A"/>
    <w:rsid w:val="003444DB"/>
    <w:rsid w:val="00383AC5"/>
    <w:rsid w:val="003A03E0"/>
    <w:rsid w:val="003B412A"/>
    <w:rsid w:val="00432709"/>
    <w:rsid w:val="0047487F"/>
    <w:rsid w:val="00491FCD"/>
    <w:rsid w:val="004E6C05"/>
    <w:rsid w:val="004F6F9F"/>
    <w:rsid w:val="00546BCB"/>
    <w:rsid w:val="005A559F"/>
    <w:rsid w:val="005B7C01"/>
    <w:rsid w:val="005C236C"/>
    <w:rsid w:val="005C5417"/>
    <w:rsid w:val="005E6EC9"/>
    <w:rsid w:val="00605123"/>
    <w:rsid w:val="00665896"/>
    <w:rsid w:val="00693A60"/>
    <w:rsid w:val="006E7D57"/>
    <w:rsid w:val="0071336C"/>
    <w:rsid w:val="0071475B"/>
    <w:rsid w:val="00793214"/>
    <w:rsid w:val="007D43DA"/>
    <w:rsid w:val="007E50DB"/>
    <w:rsid w:val="007E661D"/>
    <w:rsid w:val="007F4797"/>
    <w:rsid w:val="007F5EE6"/>
    <w:rsid w:val="0081530B"/>
    <w:rsid w:val="00816543"/>
    <w:rsid w:val="008C31C3"/>
    <w:rsid w:val="008E0E58"/>
    <w:rsid w:val="00941865"/>
    <w:rsid w:val="00986803"/>
    <w:rsid w:val="0099577A"/>
    <w:rsid w:val="009F1522"/>
    <w:rsid w:val="00A06D88"/>
    <w:rsid w:val="00A909F6"/>
    <w:rsid w:val="00AA64AC"/>
    <w:rsid w:val="00AB70A8"/>
    <w:rsid w:val="00AF5C06"/>
    <w:rsid w:val="00B0713E"/>
    <w:rsid w:val="00B20499"/>
    <w:rsid w:val="00B273F9"/>
    <w:rsid w:val="00B27489"/>
    <w:rsid w:val="00B8177D"/>
    <w:rsid w:val="00B86365"/>
    <w:rsid w:val="00BA723B"/>
    <w:rsid w:val="00BE032C"/>
    <w:rsid w:val="00BE07DC"/>
    <w:rsid w:val="00C242EC"/>
    <w:rsid w:val="00CE156F"/>
    <w:rsid w:val="00CE74D5"/>
    <w:rsid w:val="00D20FB9"/>
    <w:rsid w:val="00D23678"/>
    <w:rsid w:val="00D43ED6"/>
    <w:rsid w:val="00DA1AC7"/>
    <w:rsid w:val="00DC2768"/>
    <w:rsid w:val="00DE50A2"/>
    <w:rsid w:val="00DF6FF4"/>
    <w:rsid w:val="00E57322"/>
    <w:rsid w:val="00E841B7"/>
    <w:rsid w:val="00E963F0"/>
    <w:rsid w:val="00ED5E84"/>
    <w:rsid w:val="00EE0B52"/>
    <w:rsid w:val="00EF16A3"/>
    <w:rsid w:val="00F57E52"/>
    <w:rsid w:val="04DD3F64"/>
    <w:rsid w:val="05616943"/>
    <w:rsid w:val="07830DF3"/>
    <w:rsid w:val="0AA277E2"/>
    <w:rsid w:val="0D3265B4"/>
    <w:rsid w:val="0ED2440E"/>
    <w:rsid w:val="101F3682"/>
    <w:rsid w:val="15A5462A"/>
    <w:rsid w:val="169C5A2D"/>
    <w:rsid w:val="19A075E2"/>
    <w:rsid w:val="19B906A4"/>
    <w:rsid w:val="1A0A0EFF"/>
    <w:rsid w:val="1A231FC1"/>
    <w:rsid w:val="27196C26"/>
    <w:rsid w:val="27D50D9F"/>
    <w:rsid w:val="28125B4F"/>
    <w:rsid w:val="28577A06"/>
    <w:rsid w:val="29560C35"/>
    <w:rsid w:val="2A816FBC"/>
    <w:rsid w:val="2CFA3055"/>
    <w:rsid w:val="2D6B7AAF"/>
    <w:rsid w:val="3175714F"/>
    <w:rsid w:val="31886E82"/>
    <w:rsid w:val="33925D96"/>
    <w:rsid w:val="34030A42"/>
    <w:rsid w:val="350031D3"/>
    <w:rsid w:val="37EB1F18"/>
    <w:rsid w:val="391F00CC"/>
    <w:rsid w:val="39CE38A0"/>
    <w:rsid w:val="3E1748E9"/>
    <w:rsid w:val="41630D72"/>
    <w:rsid w:val="42116A20"/>
    <w:rsid w:val="4A94213C"/>
    <w:rsid w:val="4C043151"/>
    <w:rsid w:val="569A1834"/>
    <w:rsid w:val="5C3D2493"/>
    <w:rsid w:val="62B40FD5"/>
    <w:rsid w:val="65826AB4"/>
    <w:rsid w:val="65FF6A0B"/>
    <w:rsid w:val="68EA5751"/>
    <w:rsid w:val="6F3239AE"/>
    <w:rsid w:val="72041F72"/>
    <w:rsid w:val="745443C6"/>
    <w:rsid w:val="7A831561"/>
    <w:rsid w:val="7B073F40"/>
    <w:rsid w:val="7C0E7550"/>
    <w:rsid w:val="7E49487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next w:val="1"/>
    <w:qFormat/>
    <w:uiPriority w:val="0"/>
    <w:pPr>
      <w:ind w:firstLine="420"/>
    </w:pPr>
  </w:style>
  <w:style w:type="paragraph" w:styleId="3">
    <w:name w:val="Body Text Indent"/>
    <w:basedOn w:val="1"/>
    <w:qFormat/>
    <w:uiPriority w:val="0"/>
    <w:pPr>
      <w:spacing w:line="600" w:lineRule="exact"/>
      <w:ind w:firstLine="560" w:firstLineChars="200"/>
      <w:textAlignment w:val="center"/>
    </w:pPr>
    <w:rPr>
      <w:rFonts w:ascii="宋体" w:hAnsi="宋体"/>
      <w:color w:val="FF0000"/>
      <w:sz w:val="28"/>
      <w:szCs w:val="28"/>
    </w:rPr>
  </w:style>
  <w:style w:type="paragraph" w:styleId="4">
    <w:name w:val="footer"/>
    <w:basedOn w:val="1"/>
    <w:link w:val="10"/>
    <w:unhideWhenUsed/>
    <w:qFormat/>
    <w:uiPriority w:val="99"/>
    <w:pPr>
      <w:tabs>
        <w:tab w:val="center" w:pos="4153"/>
        <w:tab w:val="right" w:pos="8306"/>
      </w:tabs>
      <w:snapToGrid w:val="0"/>
      <w:jc w:val="left"/>
    </w:pPr>
    <w:rPr>
      <w:sz w:val="18"/>
      <w:szCs w:val="18"/>
    </w:rPr>
  </w:style>
  <w:style w:type="paragraph" w:styleId="5">
    <w:name w:val="header"/>
    <w:basedOn w:val="1"/>
    <w:link w:val="9"/>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Normal (Web)"/>
    <w:basedOn w:val="1"/>
    <w:qFormat/>
    <w:uiPriority w:val="99"/>
    <w:pPr>
      <w:widowControl/>
      <w:spacing w:before="100" w:beforeAutospacing="1" w:after="100" w:afterAutospacing="1"/>
      <w:jc w:val="left"/>
    </w:pPr>
    <w:rPr>
      <w:rFonts w:ascii="宋体" w:hAnsi="宋体" w:eastAsia="宋体" w:cs="宋体"/>
      <w:kern w:val="0"/>
      <w:sz w:val="24"/>
      <w:szCs w:val="24"/>
    </w:rPr>
  </w:style>
  <w:style w:type="character" w:customStyle="1" w:styleId="9">
    <w:name w:val="页眉 Char"/>
    <w:basedOn w:val="8"/>
    <w:link w:val="5"/>
    <w:qFormat/>
    <w:uiPriority w:val="99"/>
    <w:rPr>
      <w:sz w:val="18"/>
      <w:szCs w:val="18"/>
    </w:rPr>
  </w:style>
  <w:style w:type="character" w:customStyle="1" w:styleId="10">
    <w:name w:val="页脚 Char"/>
    <w:basedOn w:val="8"/>
    <w:link w:val="4"/>
    <w:qFormat/>
    <w:uiPriority w:val="99"/>
    <w:rPr>
      <w:sz w:val="18"/>
      <w:szCs w:val="1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numbering.xml" Type="http://schemas.openxmlformats.org/officeDocument/2006/relationships/numbering"/><Relationship Id="rId5"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Lenovo</Company>
  <Pages>3</Pages>
  <Words>1020</Words>
  <Characters>1036</Characters>
  <Lines>3</Lines>
  <Paragraphs>1</Paragraphs>
  <TotalTime>2</TotalTime>
  <ScaleCrop>false</ScaleCrop>
  <LinksUpToDate>false</LinksUpToDate>
  <CharactersWithSpaces>1037</CharactersWithSpaces>
  <Application>WPS Office_11.1.0.13703_F1E327BC-269C-435d-A152-05C5408002CA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2019-11-14T00:58:00Z</dcterms:created>
  <dc:creator>user</dc:creator>
  <cp:lastModifiedBy>Administrator</cp:lastModifiedBy>
  <cp:lastPrinted>2020-01-06T00:47:00Z</cp:lastPrinted>
  <dcterms:modified xsi:type="dcterms:W3CDTF">2023-03-24T01:43:04Z</dcterms:modified>
  <cp:revision>28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AF3445CFD1094BD5BA4A8B7BA9843539</vt:lpwstr>
  </property>
</Properties>
</file>