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6"/>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6"/>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6"/>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6"/>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6"/>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6"/>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6"/>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6"/>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6"/>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6"/>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6"/>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6"/>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16</w:t>
      </w:r>
      <w:r>
        <w:fldChar w:fldCharType="end"/>
      </w:r>
      <w:r>
        <w:fldChar w:fldCharType="end"/>
      </w:r>
    </w:p>
    <w:p>
      <w:pPr>
        <w:pStyle w:val="36"/>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19</w:t>
      </w:r>
      <w:r>
        <w:fldChar w:fldCharType="end"/>
      </w:r>
      <w:r>
        <w:fldChar w:fldCharType="end"/>
      </w:r>
    </w:p>
    <w:p>
      <w:pPr>
        <w:pStyle w:val="36"/>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20</w:t>
      </w:r>
      <w:r>
        <w:fldChar w:fldCharType="end"/>
      </w:r>
      <w:r>
        <w:fldChar w:fldCharType="end"/>
      </w:r>
    </w:p>
    <w:p>
      <w:pPr>
        <w:pStyle w:val="36"/>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21</w:t>
      </w:r>
      <w:r>
        <w:fldChar w:fldCharType="end"/>
      </w:r>
      <w:r>
        <w:fldChar w:fldCharType="end"/>
      </w:r>
    </w:p>
    <w:p>
      <w:pPr>
        <w:pStyle w:val="36"/>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22</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766隆尧县工业经济联合会秘书处</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80.43</w:t>
            </w:r>
          </w:p>
        </w:tc>
        <w:tc>
          <w:tcPr>
            <w:tcW w:w="4535" w:type="dxa"/>
            <w:vAlign w:val="center"/>
          </w:tcPr>
          <w:p>
            <w:pPr>
              <w:pStyle w:val="12"/>
            </w:pPr>
            <w:r>
              <w:t>一、一般公共服务支出</w:t>
            </w:r>
          </w:p>
        </w:tc>
        <w:tc>
          <w:tcPr>
            <w:tcW w:w="2126" w:type="dxa"/>
            <w:vAlign w:val="center"/>
          </w:tcPr>
          <w:p>
            <w:pPr>
              <w:pStyle w:val="11"/>
            </w:pPr>
            <w:r>
              <w:t>70.55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80.43</w:t>
            </w:r>
          </w:p>
        </w:tc>
        <w:tc>
          <w:tcPr>
            <w:tcW w:w="4535" w:type="dxa"/>
            <w:vAlign w:val="center"/>
          </w:tcPr>
          <w:p>
            <w:pPr>
              <w:pStyle w:val="14"/>
            </w:pPr>
            <w:r>
              <w:t>本年支出合计</w:t>
            </w:r>
          </w:p>
        </w:tc>
        <w:tc>
          <w:tcPr>
            <w:tcW w:w="2126" w:type="dxa"/>
            <w:vAlign w:val="center"/>
          </w:tcPr>
          <w:p>
            <w:pPr>
              <w:pStyle w:val="15"/>
            </w:pPr>
            <w:r>
              <w:t>80.43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80.43</w:t>
            </w:r>
          </w:p>
        </w:tc>
        <w:tc>
          <w:tcPr>
            <w:tcW w:w="4535" w:type="dxa"/>
            <w:vAlign w:val="center"/>
          </w:tcPr>
          <w:p>
            <w:pPr>
              <w:pStyle w:val="14"/>
            </w:pPr>
            <w:r>
              <w:t>支出总计</w:t>
            </w:r>
          </w:p>
        </w:tc>
        <w:tc>
          <w:tcPr>
            <w:tcW w:w="2126" w:type="dxa"/>
            <w:vAlign w:val="center"/>
          </w:tcPr>
          <w:p>
            <w:pPr>
              <w:pStyle w:val="15"/>
            </w:pPr>
            <w:r>
              <w:t>80.43</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766隆尧县工业经济联合会秘书处</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80.43</w:t>
            </w:r>
          </w:p>
        </w:tc>
        <w:tc>
          <w:tcPr>
            <w:tcW w:w="1134" w:type="dxa"/>
            <w:vAlign w:val="center"/>
          </w:tcPr>
          <w:p>
            <w:pPr>
              <w:pStyle w:val="15"/>
            </w:pPr>
            <w:r>
              <w:t>80.43</w:t>
            </w:r>
          </w:p>
        </w:tc>
        <w:tc>
          <w:tcPr>
            <w:tcW w:w="1134" w:type="dxa"/>
            <w:vAlign w:val="center"/>
          </w:tcPr>
          <w:p>
            <w:pPr>
              <w:pStyle w:val="15"/>
            </w:pPr>
            <w:r>
              <w:t>80.43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70.55</w:t>
            </w:r>
          </w:p>
        </w:tc>
        <w:tc>
          <w:tcPr>
            <w:tcW w:w="1134" w:type="dxa"/>
            <w:vAlign w:val="center"/>
          </w:tcPr>
          <w:p>
            <w:pPr>
              <w:pStyle w:val="11"/>
            </w:pPr>
            <w:r>
              <w:t>70.55</w:t>
            </w:r>
          </w:p>
        </w:tc>
        <w:tc>
          <w:tcPr>
            <w:tcW w:w="1134" w:type="dxa"/>
            <w:vAlign w:val="center"/>
          </w:tcPr>
          <w:p>
            <w:pPr>
              <w:pStyle w:val="11"/>
            </w:pPr>
            <w:r>
              <w:t>70.55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70.55</w:t>
            </w:r>
          </w:p>
        </w:tc>
        <w:tc>
          <w:tcPr>
            <w:tcW w:w="1134" w:type="dxa"/>
            <w:vAlign w:val="center"/>
          </w:tcPr>
          <w:p>
            <w:pPr>
              <w:pStyle w:val="11"/>
            </w:pPr>
            <w:r>
              <w:t>70.55</w:t>
            </w:r>
          </w:p>
        </w:tc>
        <w:tc>
          <w:tcPr>
            <w:tcW w:w="1134" w:type="dxa"/>
            <w:vAlign w:val="center"/>
          </w:tcPr>
          <w:p>
            <w:pPr>
              <w:pStyle w:val="11"/>
            </w:pPr>
            <w:r>
              <w:t>70.55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2012901</w:t>
            </w:r>
          </w:p>
        </w:tc>
        <w:tc>
          <w:tcPr>
            <w:tcW w:w="1559" w:type="dxa"/>
            <w:vAlign w:val="center"/>
          </w:tcPr>
          <w:p>
            <w:pPr>
              <w:pStyle w:val="12"/>
            </w:pPr>
            <w:r>
              <w:t>行政运行</w:t>
            </w:r>
          </w:p>
        </w:tc>
        <w:tc>
          <w:tcPr>
            <w:tcW w:w="1134" w:type="dxa"/>
            <w:vAlign w:val="center"/>
          </w:tcPr>
          <w:p>
            <w:pPr>
              <w:pStyle w:val="11"/>
            </w:pPr>
            <w:r>
              <w:t>70.55</w:t>
            </w:r>
          </w:p>
        </w:tc>
        <w:tc>
          <w:tcPr>
            <w:tcW w:w="1134" w:type="dxa"/>
            <w:vAlign w:val="center"/>
          </w:tcPr>
          <w:p>
            <w:pPr>
              <w:pStyle w:val="11"/>
            </w:pPr>
            <w:r>
              <w:t>70.55</w:t>
            </w:r>
          </w:p>
        </w:tc>
        <w:tc>
          <w:tcPr>
            <w:tcW w:w="1134" w:type="dxa"/>
            <w:vAlign w:val="center"/>
          </w:tcPr>
          <w:p>
            <w:pPr>
              <w:pStyle w:val="11"/>
            </w:pPr>
            <w:r>
              <w:t>70.55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4.23</w:t>
            </w:r>
          </w:p>
        </w:tc>
        <w:tc>
          <w:tcPr>
            <w:tcW w:w="1134" w:type="dxa"/>
            <w:vAlign w:val="center"/>
          </w:tcPr>
          <w:p>
            <w:pPr>
              <w:pStyle w:val="11"/>
            </w:pPr>
            <w:r>
              <w:t>4.23</w:t>
            </w:r>
          </w:p>
        </w:tc>
        <w:tc>
          <w:tcPr>
            <w:tcW w:w="1134" w:type="dxa"/>
            <w:vAlign w:val="center"/>
          </w:tcPr>
          <w:p>
            <w:pPr>
              <w:pStyle w:val="11"/>
            </w:pPr>
            <w:r>
              <w:t>4.23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4.23</w:t>
            </w:r>
          </w:p>
        </w:tc>
        <w:tc>
          <w:tcPr>
            <w:tcW w:w="1134" w:type="dxa"/>
            <w:vAlign w:val="center"/>
          </w:tcPr>
          <w:p>
            <w:pPr>
              <w:pStyle w:val="11"/>
            </w:pPr>
            <w:r>
              <w:t>4.23</w:t>
            </w:r>
          </w:p>
        </w:tc>
        <w:tc>
          <w:tcPr>
            <w:tcW w:w="1134" w:type="dxa"/>
            <w:vAlign w:val="center"/>
          </w:tcPr>
          <w:p>
            <w:pPr>
              <w:pStyle w:val="11"/>
            </w:pPr>
            <w:r>
              <w:t>4.23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4.23</w:t>
            </w:r>
          </w:p>
        </w:tc>
        <w:tc>
          <w:tcPr>
            <w:tcW w:w="1134" w:type="dxa"/>
            <w:vAlign w:val="center"/>
          </w:tcPr>
          <w:p>
            <w:pPr>
              <w:pStyle w:val="11"/>
            </w:pPr>
            <w:r>
              <w:t>4.23</w:t>
            </w:r>
          </w:p>
        </w:tc>
        <w:tc>
          <w:tcPr>
            <w:tcW w:w="1134" w:type="dxa"/>
            <w:vAlign w:val="center"/>
          </w:tcPr>
          <w:p>
            <w:pPr>
              <w:pStyle w:val="11"/>
            </w:pPr>
            <w:r>
              <w:t>4.23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2.01</w:t>
            </w:r>
          </w:p>
        </w:tc>
        <w:tc>
          <w:tcPr>
            <w:tcW w:w="1134" w:type="dxa"/>
            <w:vAlign w:val="center"/>
          </w:tcPr>
          <w:p>
            <w:pPr>
              <w:pStyle w:val="11"/>
            </w:pPr>
            <w:r>
              <w:t>2.01</w:t>
            </w:r>
          </w:p>
        </w:tc>
        <w:tc>
          <w:tcPr>
            <w:tcW w:w="1134" w:type="dxa"/>
            <w:vAlign w:val="center"/>
          </w:tcPr>
          <w:p>
            <w:pPr>
              <w:pStyle w:val="11"/>
            </w:pPr>
            <w:r>
              <w:t>2.01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2.01</w:t>
            </w:r>
          </w:p>
        </w:tc>
        <w:tc>
          <w:tcPr>
            <w:tcW w:w="1134" w:type="dxa"/>
            <w:vAlign w:val="center"/>
          </w:tcPr>
          <w:p>
            <w:pPr>
              <w:pStyle w:val="11"/>
            </w:pPr>
            <w:r>
              <w:t>2.01</w:t>
            </w:r>
          </w:p>
        </w:tc>
        <w:tc>
          <w:tcPr>
            <w:tcW w:w="1134" w:type="dxa"/>
            <w:vAlign w:val="center"/>
          </w:tcPr>
          <w:p>
            <w:pPr>
              <w:pStyle w:val="11"/>
            </w:pPr>
            <w:r>
              <w:t>2.01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2.01</w:t>
            </w:r>
          </w:p>
        </w:tc>
        <w:tc>
          <w:tcPr>
            <w:tcW w:w="1134" w:type="dxa"/>
            <w:vAlign w:val="center"/>
          </w:tcPr>
          <w:p>
            <w:pPr>
              <w:pStyle w:val="11"/>
            </w:pPr>
            <w:r>
              <w:t>2.01</w:t>
            </w:r>
          </w:p>
        </w:tc>
        <w:tc>
          <w:tcPr>
            <w:tcW w:w="1134" w:type="dxa"/>
            <w:vAlign w:val="center"/>
          </w:tcPr>
          <w:p>
            <w:pPr>
              <w:pStyle w:val="11"/>
            </w:pPr>
            <w:r>
              <w:t>2.01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3.64</w:t>
            </w:r>
          </w:p>
        </w:tc>
        <w:tc>
          <w:tcPr>
            <w:tcW w:w="1134" w:type="dxa"/>
            <w:vAlign w:val="center"/>
          </w:tcPr>
          <w:p>
            <w:pPr>
              <w:pStyle w:val="11"/>
            </w:pPr>
            <w:r>
              <w:t>3.64</w:t>
            </w:r>
          </w:p>
        </w:tc>
        <w:tc>
          <w:tcPr>
            <w:tcW w:w="1134" w:type="dxa"/>
            <w:vAlign w:val="center"/>
          </w:tcPr>
          <w:p>
            <w:pPr>
              <w:pStyle w:val="11"/>
            </w:pPr>
            <w:r>
              <w:t>3.64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3.64</w:t>
            </w:r>
          </w:p>
        </w:tc>
        <w:tc>
          <w:tcPr>
            <w:tcW w:w="1134" w:type="dxa"/>
            <w:vAlign w:val="center"/>
          </w:tcPr>
          <w:p>
            <w:pPr>
              <w:pStyle w:val="11"/>
            </w:pPr>
            <w:r>
              <w:t>3.64</w:t>
            </w:r>
          </w:p>
        </w:tc>
        <w:tc>
          <w:tcPr>
            <w:tcW w:w="1134" w:type="dxa"/>
            <w:vAlign w:val="center"/>
          </w:tcPr>
          <w:p>
            <w:pPr>
              <w:pStyle w:val="11"/>
            </w:pPr>
            <w:r>
              <w:t>3.64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3.64</w:t>
            </w:r>
          </w:p>
        </w:tc>
        <w:tc>
          <w:tcPr>
            <w:tcW w:w="1134" w:type="dxa"/>
            <w:vAlign w:val="center"/>
          </w:tcPr>
          <w:p>
            <w:pPr>
              <w:pStyle w:val="11"/>
            </w:pPr>
            <w:r>
              <w:t>3.64</w:t>
            </w:r>
          </w:p>
        </w:tc>
        <w:tc>
          <w:tcPr>
            <w:tcW w:w="1134" w:type="dxa"/>
            <w:vAlign w:val="center"/>
          </w:tcPr>
          <w:p>
            <w:pPr>
              <w:pStyle w:val="11"/>
            </w:pPr>
            <w:r>
              <w:t>3.64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766隆尧县工业经济联合会秘书处</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80.43</w:t>
            </w:r>
          </w:p>
        </w:tc>
        <w:tc>
          <w:tcPr>
            <w:tcW w:w="1361" w:type="dxa"/>
            <w:vAlign w:val="center"/>
          </w:tcPr>
          <w:p>
            <w:pPr>
              <w:pStyle w:val="15"/>
            </w:pPr>
            <w:r>
              <w:t>53.23</w:t>
            </w:r>
          </w:p>
        </w:tc>
        <w:tc>
          <w:tcPr>
            <w:tcW w:w="1361" w:type="dxa"/>
            <w:vAlign w:val="center"/>
          </w:tcPr>
          <w:p>
            <w:pPr>
              <w:pStyle w:val="15"/>
            </w:pPr>
            <w:r>
              <w:t>27.20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70.55</w:t>
            </w:r>
          </w:p>
        </w:tc>
        <w:tc>
          <w:tcPr>
            <w:tcW w:w="1361" w:type="dxa"/>
            <w:vAlign w:val="center"/>
          </w:tcPr>
          <w:p>
            <w:pPr>
              <w:pStyle w:val="11"/>
            </w:pPr>
            <w:r>
              <w:t>43.35</w:t>
            </w:r>
          </w:p>
        </w:tc>
        <w:tc>
          <w:tcPr>
            <w:tcW w:w="1361" w:type="dxa"/>
            <w:vAlign w:val="center"/>
          </w:tcPr>
          <w:p>
            <w:pPr>
              <w:pStyle w:val="11"/>
            </w:pPr>
            <w:r>
              <w:t>27.20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70.55</w:t>
            </w:r>
          </w:p>
        </w:tc>
        <w:tc>
          <w:tcPr>
            <w:tcW w:w="1361" w:type="dxa"/>
            <w:vAlign w:val="center"/>
          </w:tcPr>
          <w:p>
            <w:pPr>
              <w:pStyle w:val="11"/>
            </w:pPr>
            <w:r>
              <w:t>43.35</w:t>
            </w:r>
          </w:p>
        </w:tc>
        <w:tc>
          <w:tcPr>
            <w:tcW w:w="1361" w:type="dxa"/>
            <w:vAlign w:val="center"/>
          </w:tcPr>
          <w:p>
            <w:pPr>
              <w:pStyle w:val="11"/>
            </w:pPr>
            <w:r>
              <w:t>27.20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2012901</w:t>
            </w:r>
          </w:p>
        </w:tc>
        <w:tc>
          <w:tcPr>
            <w:tcW w:w="4535" w:type="dxa"/>
            <w:vAlign w:val="center"/>
          </w:tcPr>
          <w:p>
            <w:pPr>
              <w:pStyle w:val="12"/>
            </w:pPr>
            <w:r>
              <w:t>行政运行</w:t>
            </w:r>
          </w:p>
        </w:tc>
        <w:tc>
          <w:tcPr>
            <w:tcW w:w="1361" w:type="dxa"/>
            <w:vAlign w:val="center"/>
          </w:tcPr>
          <w:p>
            <w:pPr>
              <w:pStyle w:val="11"/>
            </w:pPr>
            <w:r>
              <w:t>70.55</w:t>
            </w:r>
          </w:p>
        </w:tc>
        <w:tc>
          <w:tcPr>
            <w:tcW w:w="1361" w:type="dxa"/>
            <w:vAlign w:val="center"/>
          </w:tcPr>
          <w:p>
            <w:pPr>
              <w:pStyle w:val="11"/>
            </w:pPr>
            <w:r>
              <w:t>43.35</w:t>
            </w:r>
          </w:p>
        </w:tc>
        <w:tc>
          <w:tcPr>
            <w:tcW w:w="1361" w:type="dxa"/>
            <w:vAlign w:val="center"/>
          </w:tcPr>
          <w:p>
            <w:pPr>
              <w:pStyle w:val="11"/>
            </w:pPr>
            <w:r>
              <w:t>27.20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4.23</w:t>
            </w:r>
          </w:p>
        </w:tc>
        <w:tc>
          <w:tcPr>
            <w:tcW w:w="1361" w:type="dxa"/>
            <w:vAlign w:val="center"/>
          </w:tcPr>
          <w:p>
            <w:pPr>
              <w:pStyle w:val="11"/>
            </w:pPr>
            <w:r>
              <w:t>4.23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4.23</w:t>
            </w:r>
          </w:p>
        </w:tc>
        <w:tc>
          <w:tcPr>
            <w:tcW w:w="1361" w:type="dxa"/>
            <w:vAlign w:val="center"/>
          </w:tcPr>
          <w:p>
            <w:pPr>
              <w:pStyle w:val="11"/>
            </w:pPr>
            <w:r>
              <w:t>4.23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4.23</w:t>
            </w:r>
          </w:p>
        </w:tc>
        <w:tc>
          <w:tcPr>
            <w:tcW w:w="1361" w:type="dxa"/>
            <w:vAlign w:val="center"/>
          </w:tcPr>
          <w:p>
            <w:pPr>
              <w:pStyle w:val="11"/>
            </w:pPr>
            <w:r>
              <w:t>4.23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2.01</w:t>
            </w:r>
          </w:p>
        </w:tc>
        <w:tc>
          <w:tcPr>
            <w:tcW w:w="1361" w:type="dxa"/>
            <w:vAlign w:val="center"/>
          </w:tcPr>
          <w:p>
            <w:pPr>
              <w:pStyle w:val="11"/>
            </w:pPr>
            <w:r>
              <w:t>2.01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2.01</w:t>
            </w:r>
          </w:p>
        </w:tc>
        <w:tc>
          <w:tcPr>
            <w:tcW w:w="1361" w:type="dxa"/>
            <w:vAlign w:val="center"/>
          </w:tcPr>
          <w:p>
            <w:pPr>
              <w:pStyle w:val="11"/>
            </w:pPr>
            <w:r>
              <w:t>2.01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2.01</w:t>
            </w:r>
          </w:p>
        </w:tc>
        <w:tc>
          <w:tcPr>
            <w:tcW w:w="1361" w:type="dxa"/>
            <w:vAlign w:val="center"/>
          </w:tcPr>
          <w:p>
            <w:pPr>
              <w:pStyle w:val="11"/>
            </w:pPr>
            <w:r>
              <w:t>2.01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3.64</w:t>
            </w:r>
          </w:p>
        </w:tc>
        <w:tc>
          <w:tcPr>
            <w:tcW w:w="1361" w:type="dxa"/>
            <w:vAlign w:val="center"/>
          </w:tcPr>
          <w:p>
            <w:pPr>
              <w:pStyle w:val="11"/>
            </w:pPr>
            <w:r>
              <w:t>3.64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3.64</w:t>
            </w:r>
          </w:p>
        </w:tc>
        <w:tc>
          <w:tcPr>
            <w:tcW w:w="1361" w:type="dxa"/>
            <w:vAlign w:val="center"/>
          </w:tcPr>
          <w:p>
            <w:pPr>
              <w:pStyle w:val="11"/>
            </w:pPr>
            <w:r>
              <w:t>3.64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3.64</w:t>
            </w:r>
          </w:p>
        </w:tc>
        <w:tc>
          <w:tcPr>
            <w:tcW w:w="1361" w:type="dxa"/>
            <w:vAlign w:val="center"/>
          </w:tcPr>
          <w:p>
            <w:pPr>
              <w:pStyle w:val="11"/>
            </w:pPr>
            <w:r>
              <w:t>3.64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766隆尧县工业经济联合会秘书处</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80.43</w:t>
            </w:r>
          </w:p>
        </w:tc>
        <w:tc>
          <w:tcPr>
            <w:tcW w:w="3402" w:type="dxa"/>
            <w:vAlign w:val="center"/>
          </w:tcPr>
          <w:p>
            <w:pPr>
              <w:pStyle w:val="12"/>
            </w:pPr>
            <w:r>
              <w:t>一、一般公共服务支出</w:t>
            </w:r>
          </w:p>
        </w:tc>
        <w:tc>
          <w:tcPr>
            <w:tcW w:w="1474" w:type="dxa"/>
            <w:vAlign w:val="center"/>
          </w:tcPr>
          <w:p>
            <w:pPr>
              <w:pStyle w:val="11"/>
            </w:pPr>
            <w:r>
              <w:t>70.55</w:t>
            </w:r>
          </w:p>
        </w:tc>
        <w:tc>
          <w:tcPr>
            <w:tcW w:w="1474" w:type="dxa"/>
            <w:vAlign w:val="center"/>
          </w:tcPr>
          <w:p>
            <w:pPr>
              <w:pStyle w:val="11"/>
            </w:pPr>
            <w:r>
              <w:t>70.55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4.23</w:t>
            </w:r>
          </w:p>
        </w:tc>
        <w:tc>
          <w:tcPr>
            <w:tcW w:w="1474" w:type="dxa"/>
            <w:vAlign w:val="center"/>
          </w:tcPr>
          <w:p>
            <w:pPr>
              <w:pStyle w:val="11"/>
            </w:pPr>
            <w:r>
              <w:t>4.23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2.01</w:t>
            </w:r>
          </w:p>
        </w:tc>
        <w:tc>
          <w:tcPr>
            <w:tcW w:w="1474" w:type="dxa"/>
            <w:vAlign w:val="center"/>
          </w:tcPr>
          <w:p>
            <w:pPr>
              <w:pStyle w:val="11"/>
            </w:pPr>
            <w:r>
              <w:t>2.01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3.64</w:t>
            </w:r>
          </w:p>
        </w:tc>
        <w:tc>
          <w:tcPr>
            <w:tcW w:w="1474" w:type="dxa"/>
            <w:vAlign w:val="center"/>
          </w:tcPr>
          <w:p>
            <w:pPr>
              <w:pStyle w:val="11"/>
            </w:pPr>
            <w:r>
              <w:t>3.64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80.43</w:t>
            </w:r>
          </w:p>
        </w:tc>
        <w:tc>
          <w:tcPr>
            <w:tcW w:w="3402" w:type="dxa"/>
            <w:vAlign w:val="center"/>
          </w:tcPr>
          <w:p>
            <w:pPr>
              <w:pStyle w:val="14"/>
            </w:pPr>
            <w:r>
              <w:t>本年支出合计</w:t>
            </w:r>
          </w:p>
        </w:tc>
        <w:tc>
          <w:tcPr>
            <w:tcW w:w="1474" w:type="dxa"/>
            <w:vAlign w:val="center"/>
          </w:tcPr>
          <w:p>
            <w:pPr>
              <w:pStyle w:val="15"/>
            </w:pPr>
            <w:r>
              <w:t>80.43</w:t>
            </w:r>
          </w:p>
        </w:tc>
        <w:tc>
          <w:tcPr>
            <w:tcW w:w="1474" w:type="dxa"/>
            <w:vAlign w:val="center"/>
          </w:tcPr>
          <w:p>
            <w:pPr>
              <w:pStyle w:val="15"/>
            </w:pPr>
            <w:r>
              <w:t>80.43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80.43</w:t>
            </w:r>
          </w:p>
        </w:tc>
        <w:tc>
          <w:tcPr>
            <w:tcW w:w="3402" w:type="dxa"/>
            <w:vAlign w:val="center"/>
          </w:tcPr>
          <w:p>
            <w:pPr>
              <w:pStyle w:val="14"/>
            </w:pPr>
            <w:r>
              <w:t>支出总计</w:t>
            </w:r>
          </w:p>
        </w:tc>
        <w:tc>
          <w:tcPr>
            <w:tcW w:w="1474" w:type="dxa"/>
            <w:vAlign w:val="center"/>
          </w:tcPr>
          <w:p>
            <w:pPr>
              <w:pStyle w:val="15"/>
            </w:pPr>
            <w:r>
              <w:t>80.43</w:t>
            </w:r>
          </w:p>
        </w:tc>
        <w:tc>
          <w:tcPr>
            <w:tcW w:w="1474" w:type="dxa"/>
            <w:vAlign w:val="center"/>
          </w:tcPr>
          <w:p>
            <w:pPr>
              <w:pStyle w:val="15"/>
            </w:pPr>
            <w:r>
              <w:t>80.43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766隆尧县工业经济联合会秘书处</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80.43</w:t>
            </w:r>
          </w:p>
        </w:tc>
        <w:tc>
          <w:tcPr>
            <w:tcW w:w="2551" w:type="dxa"/>
            <w:vAlign w:val="center"/>
          </w:tcPr>
          <w:p>
            <w:pPr>
              <w:pStyle w:val="15"/>
            </w:pPr>
            <w:r>
              <w:t>53.23</w:t>
            </w:r>
          </w:p>
        </w:tc>
        <w:tc>
          <w:tcPr>
            <w:tcW w:w="2551" w:type="dxa"/>
            <w:vAlign w:val="center"/>
          </w:tcPr>
          <w:p>
            <w:pPr>
              <w:pStyle w:val="15"/>
            </w:pPr>
            <w:r>
              <w:t>27.20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70.55</w:t>
            </w:r>
          </w:p>
        </w:tc>
        <w:tc>
          <w:tcPr>
            <w:tcW w:w="2551" w:type="dxa"/>
            <w:vAlign w:val="center"/>
          </w:tcPr>
          <w:p>
            <w:pPr>
              <w:pStyle w:val="11"/>
            </w:pPr>
            <w:r>
              <w:t>43.35</w:t>
            </w:r>
          </w:p>
        </w:tc>
        <w:tc>
          <w:tcPr>
            <w:tcW w:w="2551" w:type="dxa"/>
            <w:vAlign w:val="center"/>
          </w:tcPr>
          <w:p>
            <w:pPr>
              <w:pStyle w:val="11"/>
            </w:pPr>
            <w:r>
              <w:t>27.20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70.55</w:t>
            </w:r>
          </w:p>
        </w:tc>
        <w:tc>
          <w:tcPr>
            <w:tcW w:w="2551" w:type="dxa"/>
            <w:vAlign w:val="center"/>
          </w:tcPr>
          <w:p>
            <w:pPr>
              <w:pStyle w:val="11"/>
            </w:pPr>
            <w:r>
              <w:t>43.35</w:t>
            </w:r>
          </w:p>
        </w:tc>
        <w:tc>
          <w:tcPr>
            <w:tcW w:w="2551" w:type="dxa"/>
            <w:vAlign w:val="center"/>
          </w:tcPr>
          <w:p>
            <w:pPr>
              <w:pStyle w:val="11"/>
            </w:pPr>
            <w:r>
              <w:t>27.20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1"/>
            </w:pPr>
            <w:r>
              <w:t>70.55</w:t>
            </w:r>
          </w:p>
        </w:tc>
        <w:tc>
          <w:tcPr>
            <w:tcW w:w="2551" w:type="dxa"/>
            <w:vAlign w:val="center"/>
          </w:tcPr>
          <w:p>
            <w:pPr>
              <w:pStyle w:val="11"/>
            </w:pPr>
            <w:r>
              <w:t>43.35</w:t>
            </w:r>
          </w:p>
        </w:tc>
        <w:tc>
          <w:tcPr>
            <w:tcW w:w="2551" w:type="dxa"/>
            <w:vAlign w:val="center"/>
          </w:tcPr>
          <w:p>
            <w:pPr>
              <w:pStyle w:val="11"/>
            </w:pPr>
            <w:r>
              <w:t>27.20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4.23</w:t>
            </w:r>
          </w:p>
        </w:tc>
        <w:tc>
          <w:tcPr>
            <w:tcW w:w="2551" w:type="dxa"/>
            <w:vAlign w:val="center"/>
          </w:tcPr>
          <w:p>
            <w:pPr>
              <w:pStyle w:val="11"/>
            </w:pPr>
            <w:r>
              <w:t>4.23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4.23</w:t>
            </w:r>
          </w:p>
        </w:tc>
        <w:tc>
          <w:tcPr>
            <w:tcW w:w="2551" w:type="dxa"/>
            <w:vAlign w:val="center"/>
          </w:tcPr>
          <w:p>
            <w:pPr>
              <w:pStyle w:val="11"/>
            </w:pPr>
            <w:r>
              <w:t>4.23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4.23</w:t>
            </w:r>
          </w:p>
        </w:tc>
        <w:tc>
          <w:tcPr>
            <w:tcW w:w="2551" w:type="dxa"/>
            <w:vAlign w:val="center"/>
          </w:tcPr>
          <w:p>
            <w:pPr>
              <w:pStyle w:val="11"/>
            </w:pPr>
            <w:r>
              <w:t>4.23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2.01</w:t>
            </w:r>
          </w:p>
        </w:tc>
        <w:tc>
          <w:tcPr>
            <w:tcW w:w="2551" w:type="dxa"/>
            <w:vAlign w:val="center"/>
          </w:tcPr>
          <w:p>
            <w:pPr>
              <w:pStyle w:val="11"/>
            </w:pPr>
            <w:r>
              <w:t>2.01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2.01</w:t>
            </w:r>
          </w:p>
        </w:tc>
        <w:tc>
          <w:tcPr>
            <w:tcW w:w="2551" w:type="dxa"/>
            <w:vAlign w:val="center"/>
          </w:tcPr>
          <w:p>
            <w:pPr>
              <w:pStyle w:val="11"/>
            </w:pPr>
            <w:r>
              <w:t>2.01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2.01</w:t>
            </w:r>
          </w:p>
        </w:tc>
        <w:tc>
          <w:tcPr>
            <w:tcW w:w="2551" w:type="dxa"/>
            <w:vAlign w:val="center"/>
          </w:tcPr>
          <w:p>
            <w:pPr>
              <w:pStyle w:val="11"/>
            </w:pPr>
            <w:r>
              <w:t>2.01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3.64</w:t>
            </w:r>
          </w:p>
        </w:tc>
        <w:tc>
          <w:tcPr>
            <w:tcW w:w="2551" w:type="dxa"/>
            <w:vAlign w:val="center"/>
          </w:tcPr>
          <w:p>
            <w:pPr>
              <w:pStyle w:val="11"/>
            </w:pPr>
            <w:r>
              <w:t>3.64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3.64</w:t>
            </w:r>
          </w:p>
        </w:tc>
        <w:tc>
          <w:tcPr>
            <w:tcW w:w="2551" w:type="dxa"/>
            <w:vAlign w:val="center"/>
          </w:tcPr>
          <w:p>
            <w:pPr>
              <w:pStyle w:val="11"/>
            </w:pPr>
            <w:r>
              <w:t>3.64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3.64</w:t>
            </w:r>
          </w:p>
        </w:tc>
        <w:tc>
          <w:tcPr>
            <w:tcW w:w="2551" w:type="dxa"/>
            <w:vAlign w:val="center"/>
          </w:tcPr>
          <w:p>
            <w:pPr>
              <w:pStyle w:val="11"/>
            </w:pPr>
            <w:r>
              <w:t>3.64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766隆尧县工业经济联合会秘书处</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53.23</w:t>
            </w:r>
          </w:p>
        </w:tc>
        <w:tc>
          <w:tcPr>
            <w:tcW w:w="2551" w:type="dxa"/>
            <w:vAlign w:val="center"/>
          </w:tcPr>
          <w:p>
            <w:pPr>
              <w:pStyle w:val="15"/>
            </w:pPr>
            <w:r>
              <w:t>48.77</w:t>
            </w:r>
          </w:p>
        </w:tc>
        <w:tc>
          <w:tcPr>
            <w:tcW w:w="2551" w:type="dxa"/>
            <w:vAlign w:val="center"/>
          </w:tcPr>
          <w:p>
            <w:pPr>
              <w:pStyle w:val="15"/>
            </w:pPr>
            <w:r>
              <w:t>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47.72</w:t>
            </w:r>
          </w:p>
        </w:tc>
        <w:tc>
          <w:tcPr>
            <w:tcW w:w="2551" w:type="dxa"/>
            <w:vAlign w:val="center"/>
          </w:tcPr>
          <w:p>
            <w:pPr>
              <w:pStyle w:val="11"/>
            </w:pPr>
            <w:r>
              <w:t>47.72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18.18</w:t>
            </w:r>
          </w:p>
        </w:tc>
        <w:tc>
          <w:tcPr>
            <w:tcW w:w="2551" w:type="dxa"/>
            <w:vAlign w:val="center"/>
          </w:tcPr>
          <w:p>
            <w:pPr>
              <w:pStyle w:val="11"/>
            </w:pPr>
            <w:r>
              <w:t>18.18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17.46</w:t>
            </w:r>
          </w:p>
        </w:tc>
        <w:tc>
          <w:tcPr>
            <w:tcW w:w="2551" w:type="dxa"/>
            <w:vAlign w:val="center"/>
          </w:tcPr>
          <w:p>
            <w:pPr>
              <w:pStyle w:val="11"/>
            </w:pPr>
            <w:r>
              <w:t>17.46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1.51</w:t>
            </w:r>
          </w:p>
        </w:tc>
        <w:tc>
          <w:tcPr>
            <w:tcW w:w="2551" w:type="dxa"/>
            <w:vAlign w:val="center"/>
          </w:tcPr>
          <w:p>
            <w:pPr>
              <w:pStyle w:val="11"/>
            </w:pPr>
            <w:r>
              <w:t>1.51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0.07</w:t>
            </w:r>
          </w:p>
        </w:tc>
        <w:tc>
          <w:tcPr>
            <w:tcW w:w="2551" w:type="dxa"/>
            <w:vAlign w:val="center"/>
          </w:tcPr>
          <w:p>
            <w:pPr>
              <w:pStyle w:val="11"/>
            </w:pPr>
            <w:r>
              <w:t>0.07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4.23</w:t>
            </w:r>
          </w:p>
        </w:tc>
        <w:tc>
          <w:tcPr>
            <w:tcW w:w="2551" w:type="dxa"/>
            <w:vAlign w:val="center"/>
          </w:tcPr>
          <w:p>
            <w:pPr>
              <w:pStyle w:val="11"/>
            </w:pPr>
            <w:r>
              <w:t>4.23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2.01</w:t>
            </w:r>
          </w:p>
        </w:tc>
        <w:tc>
          <w:tcPr>
            <w:tcW w:w="2551" w:type="dxa"/>
            <w:vAlign w:val="center"/>
          </w:tcPr>
          <w:p>
            <w:pPr>
              <w:pStyle w:val="11"/>
            </w:pPr>
            <w:r>
              <w:t>2.01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0.62</w:t>
            </w:r>
          </w:p>
        </w:tc>
        <w:tc>
          <w:tcPr>
            <w:tcW w:w="2551" w:type="dxa"/>
            <w:vAlign w:val="center"/>
          </w:tcPr>
          <w:p>
            <w:pPr>
              <w:pStyle w:val="11"/>
            </w:pPr>
            <w:r>
              <w:t>0.62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3.64</w:t>
            </w:r>
          </w:p>
        </w:tc>
        <w:tc>
          <w:tcPr>
            <w:tcW w:w="2551" w:type="dxa"/>
            <w:vAlign w:val="center"/>
          </w:tcPr>
          <w:p>
            <w:pPr>
              <w:pStyle w:val="11"/>
            </w:pPr>
            <w:r>
              <w:t>3.64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4.46</w:t>
            </w:r>
          </w:p>
        </w:tc>
        <w:tc>
          <w:tcPr>
            <w:tcW w:w="2551" w:type="dxa"/>
            <w:vAlign w:val="center"/>
          </w:tcPr>
          <w:p>
            <w:pPr>
              <w:pStyle w:val="11"/>
            </w:pPr>
          </w:p>
        </w:tc>
        <w:tc>
          <w:tcPr>
            <w:tcW w:w="2551" w:type="dxa"/>
            <w:vAlign w:val="center"/>
          </w:tcPr>
          <w:p>
            <w:pPr>
              <w:pStyle w:val="11"/>
            </w:pPr>
            <w:r>
              <w:t>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2.46</w:t>
            </w:r>
          </w:p>
        </w:tc>
        <w:tc>
          <w:tcPr>
            <w:tcW w:w="2551" w:type="dxa"/>
            <w:vAlign w:val="center"/>
          </w:tcPr>
          <w:p>
            <w:pPr>
              <w:pStyle w:val="11"/>
            </w:pPr>
          </w:p>
        </w:tc>
        <w:tc>
          <w:tcPr>
            <w:tcW w:w="2551" w:type="dxa"/>
            <w:vAlign w:val="center"/>
          </w:tcPr>
          <w:p>
            <w:pPr>
              <w:pStyle w:val="11"/>
            </w:pPr>
            <w:r>
              <w:t>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1.05</w:t>
            </w:r>
          </w:p>
        </w:tc>
        <w:tc>
          <w:tcPr>
            <w:tcW w:w="2551" w:type="dxa"/>
            <w:vAlign w:val="center"/>
          </w:tcPr>
          <w:p>
            <w:pPr>
              <w:pStyle w:val="11"/>
            </w:pPr>
            <w:r>
              <w:t>1.05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1.05</w:t>
            </w:r>
          </w:p>
        </w:tc>
        <w:tc>
          <w:tcPr>
            <w:tcW w:w="2551" w:type="dxa"/>
            <w:vAlign w:val="center"/>
          </w:tcPr>
          <w:p>
            <w:pPr>
              <w:pStyle w:val="11"/>
            </w:pPr>
            <w:r>
              <w:t>1.05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766隆尧县工业经济联合会秘书处</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766隆尧县工业经济联合会秘书处</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766隆尧县工业经济联合会秘书处</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隆尧县工业经济联合会秘书处2022年部门预算信息公开情况说明</w:t>
      </w:r>
    </w:p>
    <w:p>
      <w:pPr>
        <w:jc w:val="center"/>
      </w:pPr>
      <w:r>
        <w:rPr>
          <w:rFonts w:ascii="方正小标宋_GBK" w:hAnsi="方正小标宋_GBK" w:eastAsia="方正小标宋_GBK" w:cs="方正小标宋_GBK"/>
          <w:color w:val="000000"/>
          <w:sz w:val="44"/>
        </w:rPr>
        <w:t>隆尧县工业经济联合会秘书处2022年部门预算信息公开情况说明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按照《预算法》、《地方预决算公开操作规程》和《关于进一步推进预算公开工作的实施意见》规定，现将隆尧县工业经济联合会秘书处2022年部门预算公开如下：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(1)贯彻执行党和国家的路线、方针和政策，加强和完善对会员单位的思想政治工作，围绕县委、县政府的中心工作开展各项活动，保证协会组织的社会主义方向。</w:t>
      </w:r>
    </w:p>
    <w:p>
      <w:pPr>
        <w:pStyle w:val="17"/>
      </w:pPr>
      <w:r>
        <w:t>(2)对全县工业、基建、交通、邮电等行业和企业发展战略、体制创新、技术创新和机构调整等重大问题进行调查研究，为县政府及有关部门决策提供建议，为行业、企业经济发展提供咨询、信息和调研成果等方面的服务。</w:t>
      </w:r>
    </w:p>
    <w:p>
      <w:pPr>
        <w:pStyle w:val="17"/>
      </w:pPr>
      <w:r>
        <w:t>(3)研究行业协会建设和加强自律性行业管理等问题，为政府有关部门加强对行业协会工作的领导提供决策依据和服务，推进全县工建交邮行业协会组织的培育、发展；参与全县工建交邮行业协会的发展规划；指导行业协会工作的开展，交流经验，沟通信息，加强行业自律，促进行业发展。</w:t>
      </w:r>
    </w:p>
    <w:p>
      <w:pPr>
        <w:pStyle w:val="17"/>
      </w:pPr>
      <w:r>
        <w:t>(4)反映会员要求，协调会员关系，维护会员的合法权益。</w:t>
      </w:r>
    </w:p>
    <w:p>
      <w:pPr>
        <w:pStyle w:val="17"/>
      </w:pPr>
      <w:r>
        <w:t>(5)开展经济理论研究和学术交流活动，编辑出版经济类刊物，培训经济管理人才。</w:t>
      </w:r>
    </w:p>
    <w:p>
      <w:pPr>
        <w:pStyle w:val="17"/>
      </w:pPr>
      <w:r>
        <w:t>(6)发展与境内外社会经济团体的联系，促进地区、行业、企业间开展多种形式经济协作与交流，为企业加强对外经济技术交流服务。</w:t>
      </w:r>
    </w:p>
    <w:p>
      <w:pPr>
        <w:pStyle w:val="17"/>
      </w:pPr>
      <w:r>
        <w:t>(7)参与全县工建交邮经济领域的重大活动。</w:t>
      </w:r>
    </w:p>
    <w:p>
      <w:pPr>
        <w:pStyle w:val="17"/>
      </w:pPr>
      <w:r>
        <w:t>(8)承办县委、县政府交办的其他事项。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隆尧县工业经济联合会秘书处本级</w:t>
            </w:r>
          </w:p>
        </w:tc>
        <w:tc>
          <w:tcPr>
            <w:tcW w:w="1843" w:type="dxa"/>
            <w:vAlign w:val="center"/>
          </w:tcPr>
          <w:p>
            <w:pPr>
              <w:pStyle w:val="13"/>
            </w:pPr>
            <w:r>
              <w:rPr>
                <w:rFonts w:hint="eastAsia"/>
                <w:lang w:eastAsia="zh-CN"/>
              </w:rPr>
              <w:t>参公</w:t>
            </w:r>
            <w:r>
              <w:t>事业</w:t>
            </w:r>
          </w:p>
        </w:tc>
        <w:tc>
          <w:tcPr>
            <w:tcW w:w="2126" w:type="dxa"/>
            <w:vAlign w:val="center"/>
          </w:tcPr>
          <w:p>
            <w:pPr>
              <w:pStyle w:val="13"/>
            </w:pPr>
            <w:r>
              <w:t>正科级</w:t>
            </w:r>
          </w:p>
        </w:tc>
        <w:tc>
          <w:tcPr>
            <w:tcW w:w="3827" w:type="dxa"/>
            <w:vAlign w:val="center"/>
          </w:tcPr>
          <w:p>
            <w:pPr>
              <w:pStyle w:val="13"/>
              <w:rPr>
                <w:rFonts w:hint="eastAsia" w:eastAsia="方正书宋_GBK"/>
                <w:lang w:eastAsia="zh-CN"/>
              </w:rPr>
            </w:pPr>
            <w:r>
              <w:rPr>
                <w:rFonts w:hint="eastAsia"/>
                <w:lang w:eastAsia="zh-CN"/>
              </w:rP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县</w:t>
      </w:r>
      <w:r>
        <w:rPr>
          <w:rFonts w:eastAsia="方正仿宋_GBK"/>
          <w:color w:val="000000"/>
          <w:sz w:val="28"/>
        </w:rPr>
        <w:t>部门预算的编制实行综合预算管理，即全部收入和支出都反映在预算中。隆尧县工业经济联合会秘书处机关及所属事业单位的收支包含在部门预算中。</w:t>
      </w:r>
    </w:p>
    <w:p>
      <w:pPr>
        <w:pStyle w:val="18"/>
      </w:pPr>
      <w:r>
        <w:t>1、收入说明</w:t>
      </w:r>
    </w:p>
    <w:p>
      <w:pPr>
        <w:pStyle w:val="18"/>
      </w:pPr>
      <w:r>
        <w:t>2022年预算收入80.43万元，其中：一般公共预算收入80.43万元，基金预算收入0万元，财政专户核拨收入0万元，其他来源收入（单位资金）0万元。</w:t>
      </w:r>
    </w:p>
    <w:p>
      <w:pPr>
        <w:pStyle w:val="18"/>
      </w:pPr>
      <w:r>
        <w:t>2、支出说明</w:t>
      </w:r>
    </w:p>
    <w:p>
      <w:pPr>
        <w:pStyle w:val="18"/>
      </w:pPr>
      <w:r>
        <w:t>2022年预算支出80.43万元，其中基本支出53.23万元，包括人员经费48.77万元和日常公用经费4.46万元；项目支出27.2万元。</w:t>
      </w:r>
    </w:p>
    <w:p>
      <w:pPr>
        <w:pStyle w:val="18"/>
      </w:pPr>
      <w:r>
        <w:t>3、比上年增减情况</w:t>
      </w:r>
    </w:p>
    <w:p>
      <w:pPr>
        <w:pStyle w:val="18"/>
      </w:pPr>
      <w:r>
        <w:t>2022年预算收支安排80.43万元，较2021年年初预算增加35.61万元，其中：基本支出增加16.97万元，主要为增加人员经费支出；项目支出增加18.64万元，主要为《隆尧县工业志》编纂项目费用增加。</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2022年，我部门机关运行经费共计安排4.46万元，主要用于保证机关正常运转的办公费、邮电费、电费等日常运行支出。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2022年，我单位财政拨款“三公”经费预算安排0万元，其中因公出国（境）费0万元；公务用车购置及运维费0万元（其中：公务用车购置费为0万元，公务用车运维费0万元)；公务接待费0万元。无“三公”经费，“三公”经费与上年持平，无增减变化。</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r>
        <w:t>在县委、县政府的正确领导下，高举习近平新时代中国特色社会主义思想伟大旗帜，严格按照“严纪律、优作风、强落实”工作要求，坚持服务政府当好助手、服务企业当好帮手、服务协会当好推手、服务社会当好抓手的工作宗旨，凝心聚力抗疫情，全力以赴抓防控，规范行业协会发展，着力破解企业发展中的重点难点问题，全力发挥工经联的桥梁和纽带作用，以良好的精神状态扎实开展工作。</w:t>
      </w:r>
    </w:p>
    <w:p>
      <w:pPr>
        <w:spacing w:line="500" w:lineRule="exact"/>
        <w:ind w:firstLine="560"/>
      </w:pPr>
      <w:r>
        <w:rPr>
          <w:rFonts w:eastAsia="方正仿宋_GBK"/>
          <w:color w:val="000000"/>
          <w:sz w:val="28"/>
        </w:rPr>
        <w:t>（二）分项绩效目标</w:t>
      </w:r>
    </w:p>
    <w:p>
      <w:pPr>
        <w:pStyle w:val="22"/>
      </w:pPr>
      <w:r>
        <w:t>1、深入企业进行调研，了解企业发展中的困难和问题，帮助企业建言献策，协调解决问题。</w:t>
      </w:r>
    </w:p>
    <w:p>
      <w:pPr>
        <w:pStyle w:val="22"/>
      </w:pPr>
      <w:r>
        <w:t>2、开展企业家培训会，组织会员企业到我县龙头企业参观学习，提升企业家综合素质，激发企业做大做强热情。</w:t>
      </w:r>
    </w:p>
    <w:p>
      <w:pPr>
        <w:pStyle w:val="22"/>
      </w:pPr>
      <w:r>
        <w:t>3、按计划完成《隆尧县工业志》编纂工作。</w:t>
      </w:r>
    </w:p>
    <w:p>
      <w:pPr>
        <w:pStyle w:val="22"/>
      </w:pPr>
      <w:r>
        <w:t>4、承办县委、</w:t>
      </w:r>
      <w:r>
        <w:rPr>
          <w:rFonts w:hint="eastAsia"/>
          <w:lang w:eastAsia="zh-CN"/>
        </w:rPr>
        <w:t>县</w:t>
      </w:r>
      <w:bookmarkStart w:id="18" w:name="_GoBack"/>
      <w:bookmarkEnd w:id="18"/>
      <w:r>
        <w:t>政府交办的其他事项。</w:t>
      </w:r>
    </w:p>
    <w:p>
      <w:pPr>
        <w:spacing w:line="500" w:lineRule="exact"/>
        <w:ind w:firstLine="560"/>
      </w:pPr>
      <w:r>
        <w:rPr>
          <w:rFonts w:eastAsia="方正仿宋_GBK"/>
          <w:color w:val="000000"/>
          <w:sz w:val="28"/>
        </w:rPr>
        <w:t>（三）工作保障措施</w:t>
      </w:r>
    </w:p>
    <w:p>
      <w:pPr>
        <w:pStyle w:val="23"/>
      </w:pPr>
      <w:r>
        <w:t>1、加强政治理论学习，完善机关规章制度。继续紧跟形势发展，增强政治敏感性和责任意识，集中深入地学习</w:t>
      </w:r>
      <w:r>
        <w:rPr>
          <w:rFonts w:hint="eastAsia"/>
        </w:rPr>
        <w:t>党的十九大和十九届历次全会精神</w:t>
      </w:r>
      <w:r>
        <w:t>和习近平新时代中国特色社会主义思想，召开专门学习研讨会，撰写学习心得体会。</w:t>
      </w:r>
    </w:p>
    <w:p>
      <w:pPr>
        <w:pStyle w:val="23"/>
      </w:pPr>
      <w:r>
        <w:t>2、严谨细致筹备，做好编纂《隆尧县工业志》的组织协调工作。作为《隆尧县工业志》编纂的牵头和承办单位，扎实开展组织、协调、编纂和修订工作，按时完成《隆尧县工业志》编纂工作。</w:t>
      </w:r>
    </w:p>
    <w:p>
      <w:pPr>
        <w:pStyle w:val="23"/>
      </w:pPr>
      <w:r>
        <w:t>3、深入企业开展调研，助力民营经济发展。发展与境内外社会经济团体的联系，促进地区、行业、企业间开展多种形式经济协作与交流。</w:t>
      </w:r>
    </w:p>
    <w:p>
      <w:pPr>
        <w:pStyle w:val="23"/>
      </w:pPr>
      <w:r>
        <w:t>4、积极参加全市工经联系统各项重要活动，主动对接市工经联，联合邢台日报社等主流媒体对我县骨干企业进行采访、对接，完成一系列专栏的策划、采编等工作，积极推介、宣传我县知名企业，提高我县企业的知名度、美誉度。</w:t>
      </w:r>
    </w:p>
    <w:p>
      <w:pPr>
        <w:pStyle w:val="23"/>
      </w:pPr>
      <w:r>
        <w:t>5、认真完成县委、县政府交办的其他事项。</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ind w:firstLine="64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本年度无专项资金。</w:t>
      </w:r>
    </w:p>
    <w:p>
      <w:pPr>
        <w:pStyle w:val="24"/>
        <w:ind w:firstLine="640"/>
      </w:pPr>
      <w:r>
        <w:rPr>
          <w:rFonts w:ascii="方正楷体_GBK" w:hAnsi="方正楷体_GBK" w:eastAsia="方正楷体_GBK" w:cs="方正楷体_GBK"/>
          <w:b/>
          <w:color w:val="000000"/>
          <w:sz w:val="32"/>
        </w:rPr>
        <w:t>第三部分  预算项目绩效目标</w:t>
      </w:r>
    </w:p>
    <w:p>
      <w:pPr>
        <w:pStyle w:val="24"/>
        <w:ind w:firstLine="560"/>
      </w:pPr>
      <w:r>
        <w:rPr>
          <w:rFonts w:ascii="方正仿宋_GBK" w:hAnsi="方正仿宋_GBK" w:eastAsia="方正仿宋_GBK" w:cs="方正仿宋_GBK"/>
          <w:b/>
          <w:color w:val="000000"/>
          <w:sz w:val="28"/>
        </w:rPr>
        <w:t>1、《隆尧县工业志》编纂绩效目标表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1.完成《隆尧县工业志》的出版发行。</w:t>
            </w:r>
          </w:p>
          <w:p>
            <w:pPr>
              <w:pStyle w:val="26"/>
            </w:pPr>
            <w:r>
              <w:t>2.全面系统、客观真实、丰富准确地记载隆尧县工业发展历程。</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编纂数量</w:t>
            </w:r>
          </w:p>
        </w:tc>
        <w:tc>
          <w:tcPr>
            <w:tcW w:w="2835" w:type="dxa"/>
            <w:vAlign w:val="center"/>
          </w:tcPr>
          <w:p>
            <w:pPr>
              <w:pStyle w:val="26"/>
            </w:pPr>
            <w:r>
              <w:t>《隆尧县工业志》1本</w:t>
            </w:r>
          </w:p>
        </w:tc>
        <w:tc>
          <w:tcPr>
            <w:tcW w:w="2551" w:type="dxa"/>
            <w:vAlign w:val="center"/>
          </w:tcPr>
          <w:p>
            <w:pPr>
              <w:pStyle w:val="26"/>
            </w:pPr>
            <w:r>
              <w:t>1本</w:t>
            </w:r>
          </w:p>
        </w:tc>
        <w:tc>
          <w:tcPr>
            <w:tcW w:w="2268" w:type="dxa"/>
            <w:vAlign w:val="center"/>
          </w:tcPr>
          <w:p>
            <w:pPr>
              <w:pStyle w:val="26"/>
            </w:pPr>
            <w:r>
              <w:t>工经联【2017】04号请示文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编纂质量</w:t>
            </w:r>
          </w:p>
        </w:tc>
        <w:tc>
          <w:tcPr>
            <w:tcW w:w="2835" w:type="dxa"/>
            <w:vAlign w:val="center"/>
          </w:tcPr>
          <w:p>
            <w:pPr>
              <w:pStyle w:val="26"/>
            </w:pPr>
            <w:r>
              <w:t>全面系统、客观真实、丰富准确且社会反响良好</w:t>
            </w:r>
          </w:p>
        </w:tc>
        <w:tc>
          <w:tcPr>
            <w:tcW w:w="2551" w:type="dxa"/>
            <w:vAlign w:val="center"/>
          </w:tcPr>
          <w:p>
            <w:pPr>
              <w:pStyle w:val="26"/>
            </w:pPr>
            <w:r>
              <w:t>社会反响良好</w:t>
            </w:r>
          </w:p>
        </w:tc>
        <w:tc>
          <w:tcPr>
            <w:tcW w:w="2268" w:type="dxa"/>
            <w:vAlign w:val="center"/>
          </w:tcPr>
          <w:p>
            <w:pPr>
              <w:pStyle w:val="26"/>
            </w:pPr>
            <w:r>
              <w:t>工经联【2017】04号请示文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出版发行时间</w:t>
            </w:r>
          </w:p>
        </w:tc>
        <w:tc>
          <w:tcPr>
            <w:tcW w:w="2835" w:type="dxa"/>
            <w:vAlign w:val="center"/>
          </w:tcPr>
          <w:p>
            <w:pPr>
              <w:pStyle w:val="26"/>
            </w:pPr>
            <w:r>
              <w:t>出版发行时间</w:t>
            </w:r>
          </w:p>
        </w:tc>
        <w:tc>
          <w:tcPr>
            <w:tcW w:w="2551" w:type="dxa"/>
            <w:vAlign w:val="center"/>
          </w:tcPr>
          <w:p>
            <w:pPr>
              <w:pStyle w:val="26"/>
            </w:pPr>
            <w:r>
              <w:t>按时出版发行</w:t>
            </w:r>
          </w:p>
        </w:tc>
        <w:tc>
          <w:tcPr>
            <w:tcW w:w="2268" w:type="dxa"/>
            <w:vAlign w:val="center"/>
          </w:tcPr>
          <w:p>
            <w:pPr>
              <w:pStyle w:val="26"/>
            </w:pPr>
            <w:r>
              <w:t>工经联【2017】04号请示文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w:t>
            </w:r>
          </w:p>
        </w:tc>
        <w:tc>
          <w:tcPr>
            <w:tcW w:w="2835" w:type="dxa"/>
            <w:vAlign w:val="center"/>
          </w:tcPr>
          <w:p>
            <w:pPr>
              <w:pStyle w:val="26"/>
            </w:pPr>
            <w:r>
              <w:t>项目成本支出</w:t>
            </w:r>
          </w:p>
        </w:tc>
        <w:tc>
          <w:tcPr>
            <w:tcW w:w="2551" w:type="dxa"/>
            <w:vAlign w:val="center"/>
          </w:tcPr>
          <w:p>
            <w:pPr>
              <w:pStyle w:val="26"/>
            </w:pPr>
            <w:r>
              <w:t>不超出预算</w:t>
            </w:r>
          </w:p>
        </w:tc>
        <w:tc>
          <w:tcPr>
            <w:tcW w:w="2268" w:type="dxa"/>
            <w:vAlign w:val="center"/>
          </w:tcPr>
          <w:p>
            <w:pPr>
              <w:pStyle w:val="26"/>
            </w:pPr>
            <w:r>
              <w:t>工经联【2017】04号请示文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是否准确记录隆尧工业发展历程</w:t>
            </w:r>
          </w:p>
        </w:tc>
        <w:tc>
          <w:tcPr>
            <w:tcW w:w="2835" w:type="dxa"/>
            <w:vAlign w:val="center"/>
          </w:tcPr>
          <w:p>
            <w:pPr>
              <w:pStyle w:val="26"/>
            </w:pPr>
            <w:r>
              <w:t>全面系统、客观真实、丰富准确地记载隆尧县工业发展历程</w:t>
            </w:r>
          </w:p>
        </w:tc>
        <w:tc>
          <w:tcPr>
            <w:tcW w:w="2551" w:type="dxa"/>
            <w:vAlign w:val="center"/>
          </w:tcPr>
          <w:p>
            <w:pPr>
              <w:pStyle w:val="26"/>
            </w:pPr>
            <w:r>
              <w:t>社会反响良好</w:t>
            </w:r>
          </w:p>
        </w:tc>
        <w:tc>
          <w:tcPr>
            <w:tcW w:w="2268" w:type="dxa"/>
            <w:vAlign w:val="center"/>
          </w:tcPr>
          <w:p>
            <w:pPr>
              <w:pStyle w:val="26"/>
            </w:pPr>
            <w:r>
              <w:t>工经联【2017】04号请示文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社会反响良好，群众满意度高</w:t>
            </w:r>
          </w:p>
        </w:tc>
        <w:tc>
          <w:tcPr>
            <w:tcW w:w="2551" w:type="dxa"/>
            <w:vAlign w:val="center"/>
          </w:tcPr>
          <w:p>
            <w:pPr>
              <w:pStyle w:val="26"/>
            </w:pPr>
            <w:r>
              <w:t>≥90百分比</w:t>
            </w:r>
          </w:p>
        </w:tc>
        <w:tc>
          <w:tcPr>
            <w:tcW w:w="2268" w:type="dxa"/>
            <w:vAlign w:val="center"/>
          </w:tcPr>
          <w:p>
            <w:pPr>
              <w:pStyle w:val="26"/>
            </w:pPr>
            <w:r>
              <w:t>年初工作计划安排</w:t>
            </w:r>
          </w:p>
        </w:tc>
      </w:tr>
    </w:tbl>
    <w:p>
      <w:pPr>
        <w:pStyle w:val="24"/>
      </w:pPr>
    </w:p>
    <w:p>
      <w:pPr>
        <w:pStyle w:val="24"/>
        <w:ind w:firstLine="560"/>
      </w:pPr>
      <w:r>
        <w:rPr>
          <w:rFonts w:ascii="方正仿宋_GBK" w:hAnsi="方正仿宋_GBK" w:eastAsia="方正仿宋_GBK" w:cs="方正仿宋_GBK"/>
          <w:b/>
          <w:color w:val="000000"/>
          <w:sz w:val="28"/>
        </w:rPr>
        <w:t>2、工经联专项经费绩效目标表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1.通过深入企业走访调研，了解企业生产经营情况，帮助企业提出对策，协调解决问题。</w:t>
            </w:r>
          </w:p>
          <w:p>
            <w:pPr>
              <w:pStyle w:val="26"/>
            </w:pPr>
            <w:r>
              <w:t>2.工经联各项工作正常开展，服务企业发展。</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企业调研数量</w:t>
            </w:r>
          </w:p>
        </w:tc>
        <w:tc>
          <w:tcPr>
            <w:tcW w:w="2835" w:type="dxa"/>
            <w:vAlign w:val="center"/>
          </w:tcPr>
          <w:p>
            <w:pPr>
              <w:pStyle w:val="26"/>
            </w:pPr>
            <w:r>
              <w:t>深入10家以上企业开展走访调研</w:t>
            </w:r>
          </w:p>
        </w:tc>
        <w:tc>
          <w:tcPr>
            <w:tcW w:w="2551" w:type="dxa"/>
            <w:vAlign w:val="center"/>
          </w:tcPr>
          <w:p>
            <w:pPr>
              <w:pStyle w:val="26"/>
            </w:pPr>
            <w:r>
              <w:t>10家</w:t>
            </w:r>
          </w:p>
        </w:tc>
        <w:tc>
          <w:tcPr>
            <w:tcW w:w="2268" w:type="dxa"/>
            <w:vAlign w:val="center"/>
          </w:tcPr>
          <w:p>
            <w:pPr>
              <w:pStyle w:val="26"/>
            </w:pPr>
            <w: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工作质量</w:t>
            </w:r>
          </w:p>
        </w:tc>
        <w:tc>
          <w:tcPr>
            <w:tcW w:w="2835" w:type="dxa"/>
            <w:vAlign w:val="center"/>
          </w:tcPr>
          <w:p>
            <w:pPr>
              <w:pStyle w:val="26"/>
            </w:pPr>
            <w:r>
              <w:t>按上级要求，保质保量完成工作任务</w:t>
            </w:r>
          </w:p>
        </w:tc>
        <w:tc>
          <w:tcPr>
            <w:tcW w:w="2551" w:type="dxa"/>
            <w:vAlign w:val="center"/>
          </w:tcPr>
          <w:p>
            <w:pPr>
              <w:pStyle w:val="26"/>
            </w:pPr>
            <w:r>
              <w:t>高质量完成各项工作</w:t>
            </w:r>
          </w:p>
        </w:tc>
        <w:tc>
          <w:tcPr>
            <w:tcW w:w="2268" w:type="dxa"/>
            <w:vAlign w:val="center"/>
          </w:tcPr>
          <w:p>
            <w:pPr>
              <w:pStyle w:val="26"/>
            </w:pPr>
            <w: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年度内完成各项工作</w:t>
            </w:r>
          </w:p>
        </w:tc>
        <w:tc>
          <w:tcPr>
            <w:tcW w:w="2835" w:type="dxa"/>
            <w:vAlign w:val="center"/>
          </w:tcPr>
          <w:p>
            <w:pPr>
              <w:pStyle w:val="26"/>
            </w:pPr>
            <w:r>
              <w:t>年内按时完成各项工作</w:t>
            </w:r>
          </w:p>
        </w:tc>
        <w:tc>
          <w:tcPr>
            <w:tcW w:w="2551" w:type="dxa"/>
            <w:vAlign w:val="center"/>
          </w:tcPr>
          <w:p>
            <w:pPr>
              <w:pStyle w:val="26"/>
            </w:pPr>
            <w:r>
              <w:t>年内完成安排工作</w:t>
            </w:r>
          </w:p>
        </w:tc>
        <w:tc>
          <w:tcPr>
            <w:tcW w:w="2268" w:type="dxa"/>
            <w:vAlign w:val="center"/>
          </w:tcPr>
          <w:p>
            <w:pPr>
              <w:pStyle w:val="26"/>
            </w:pPr>
            <w: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w:t>
            </w:r>
          </w:p>
        </w:tc>
        <w:tc>
          <w:tcPr>
            <w:tcW w:w="2835" w:type="dxa"/>
            <w:vAlign w:val="center"/>
          </w:tcPr>
          <w:p>
            <w:pPr>
              <w:pStyle w:val="26"/>
            </w:pPr>
            <w:r>
              <w:t>根据预算批复，各项支出控制在预算范围内</w:t>
            </w:r>
          </w:p>
        </w:tc>
        <w:tc>
          <w:tcPr>
            <w:tcW w:w="2551" w:type="dxa"/>
            <w:vAlign w:val="center"/>
          </w:tcPr>
          <w:p>
            <w:pPr>
              <w:pStyle w:val="26"/>
            </w:pPr>
            <w:r>
              <w:t>不超出计划成本金额</w:t>
            </w:r>
          </w:p>
        </w:tc>
        <w:tc>
          <w:tcPr>
            <w:tcW w:w="2268" w:type="dxa"/>
            <w:vAlign w:val="center"/>
          </w:tcPr>
          <w:p>
            <w:pPr>
              <w:pStyle w:val="26"/>
            </w:pPr>
            <w: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服务企业发展</w:t>
            </w:r>
          </w:p>
        </w:tc>
        <w:tc>
          <w:tcPr>
            <w:tcW w:w="2835" w:type="dxa"/>
            <w:vAlign w:val="center"/>
          </w:tcPr>
          <w:p>
            <w:pPr>
              <w:pStyle w:val="26"/>
            </w:pPr>
            <w:r>
              <w:t>服务企业发展</w:t>
            </w:r>
          </w:p>
        </w:tc>
        <w:tc>
          <w:tcPr>
            <w:tcW w:w="2551" w:type="dxa"/>
            <w:vAlign w:val="center"/>
          </w:tcPr>
          <w:p>
            <w:pPr>
              <w:pStyle w:val="26"/>
            </w:pPr>
            <w:r>
              <w:t>助力会员企业发展</w:t>
            </w:r>
          </w:p>
        </w:tc>
        <w:tc>
          <w:tcPr>
            <w:tcW w:w="2268" w:type="dxa"/>
            <w:vAlign w:val="center"/>
          </w:tcPr>
          <w:p>
            <w:pPr>
              <w:pStyle w:val="26"/>
            </w:pPr>
            <w: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企业满意度</w:t>
            </w:r>
          </w:p>
        </w:tc>
        <w:tc>
          <w:tcPr>
            <w:tcW w:w="2835" w:type="dxa"/>
            <w:vAlign w:val="center"/>
          </w:tcPr>
          <w:p>
            <w:pPr>
              <w:pStyle w:val="26"/>
            </w:pPr>
            <w:r>
              <w:t>企业满意度</w:t>
            </w:r>
          </w:p>
        </w:tc>
        <w:tc>
          <w:tcPr>
            <w:tcW w:w="2551" w:type="dxa"/>
            <w:vAlign w:val="center"/>
          </w:tcPr>
          <w:p>
            <w:pPr>
              <w:pStyle w:val="26"/>
            </w:pPr>
            <w:r>
              <w:t>90百分比</w:t>
            </w:r>
          </w:p>
        </w:tc>
        <w:tc>
          <w:tcPr>
            <w:tcW w:w="2268" w:type="dxa"/>
            <w:vAlign w:val="center"/>
          </w:tcPr>
          <w:p>
            <w:pPr>
              <w:pStyle w:val="26"/>
            </w:pPr>
            <w:r>
              <w:t>年初工作计划安排</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2022年，隆尧县工业经济联合会秘书处安排政府采购预算0.42万元。具体内容见下表。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766隆尧县工业经济联合会秘书处</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0.42</w:t>
            </w:r>
          </w:p>
        </w:tc>
        <w:tc>
          <w:tcPr>
            <w:tcW w:w="964" w:type="dxa"/>
            <w:vAlign w:val="center"/>
          </w:tcPr>
          <w:p>
            <w:pPr>
              <w:pStyle w:val="15"/>
            </w:pPr>
            <w:r>
              <w:t>0.42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隆尧县工业经济联合会秘书处本级小计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0.42</w:t>
            </w:r>
          </w:p>
        </w:tc>
        <w:tc>
          <w:tcPr>
            <w:tcW w:w="964" w:type="dxa"/>
            <w:vAlign w:val="center"/>
          </w:tcPr>
          <w:p>
            <w:pPr>
              <w:pStyle w:val="15"/>
            </w:pPr>
            <w:r>
              <w:t>0.42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工经联专项经费</w:t>
            </w:r>
          </w:p>
        </w:tc>
        <w:tc>
          <w:tcPr>
            <w:tcW w:w="964" w:type="dxa"/>
            <w:vAlign w:val="center"/>
          </w:tcPr>
          <w:p>
            <w:pPr>
              <w:pStyle w:val="11"/>
            </w:pPr>
            <w:r>
              <w:t>2.20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包</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0.22</w:t>
            </w:r>
          </w:p>
        </w:tc>
        <w:tc>
          <w:tcPr>
            <w:tcW w:w="964" w:type="dxa"/>
            <w:vAlign w:val="center"/>
          </w:tcPr>
          <w:p>
            <w:pPr>
              <w:pStyle w:val="11"/>
            </w:pPr>
            <w:r>
              <w:t>0.22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工经联专项经费</w:t>
            </w:r>
          </w:p>
        </w:tc>
        <w:tc>
          <w:tcPr>
            <w:tcW w:w="964" w:type="dxa"/>
            <w:vAlign w:val="center"/>
          </w:tcPr>
          <w:p>
            <w:pPr>
              <w:pStyle w:val="11"/>
            </w:pPr>
            <w:r>
              <w:t>2.20</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次</w:t>
            </w:r>
          </w:p>
        </w:tc>
        <w:tc>
          <w:tcPr>
            <w:tcW w:w="850" w:type="dxa"/>
            <w:vAlign w:val="center"/>
          </w:tcPr>
          <w:p>
            <w:pPr>
              <w:pStyle w:val="11"/>
            </w:pPr>
            <w:r>
              <w:t>2</w:t>
            </w:r>
          </w:p>
        </w:tc>
        <w:tc>
          <w:tcPr>
            <w:tcW w:w="850" w:type="dxa"/>
            <w:vAlign w:val="center"/>
          </w:tcPr>
          <w:p>
            <w:pPr>
              <w:pStyle w:val="11"/>
            </w:pPr>
            <w:r>
              <w:t>0.10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隆尧县工业经济联合会秘书处（含所属单位）上年末固定资产金额为6.82万元（详见下表）。本年度拟购置固定资产总额为0.00万元，已按要求列入政府采购预算，详见政府采购预算表。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766隆尧县工业经济联合会秘书处</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6.82</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rPr>
          <w:rFonts w:eastAsia="方正仿宋_GBK"/>
          <w:color w:val="000000"/>
          <w:sz w:val="28"/>
        </w:rPr>
      </w:pPr>
      <w:r>
        <w:rPr>
          <w:rFonts w:eastAsia="方正仿宋_GBK"/>
          <w:color w:val="000000"/>
          <w:sz w:val="28"/>
        </w:rPr>
        <w:t>我部门无其他需要说明的事项。</w:t>
      </w:r>
    </w:p>
    <w:p>
      <w:pPr>
        <w:spacing w:line="500" w:lineRule="exact"/>
        <w:ind w:firstLine="560"/>
        <w:rPr>
          <w:rFonts w:eastAsia="方正仿宋_GBK"/>
          <w:color w:val="000000"/>
          <w:sz w:val="28"/>
        </w:rPr>
      </w:pPr>
    </w:p>
    <w:sectPr>
      <w:pgSz w:w="16840" w:h="11900" w:orient="landscape"/>
      <w:pgMar w:top="1361" w:right="1020" w:bottom="1134" w:left="1020" w:header="720" w:footer="720"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roman"/>
    <w:pitch w:val="default"/>
    <w:sig w:usb0="00000001" w:usb1="080E0000" w:usb2="00000000" w:usb3="00000000" w:csb0="00040000"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dmOGQ5MDZlMWY1YTYxNmRkNzMyZDc1OGFmODQ5ODIifQ=="/>
  </w:docVars>
  <w:rsids>
    <w:rsidRoot w:val="006E6C72"/>
    <w:rsid w:val="003F78C2"/>
    <w:rsid w:val="006E6C72"/>
    <w:rsid w:val="007878D3"/>
    <w:rsid w:val="00CD0FE9"/>
    <w:rsid w:val="00D62184"/>
    <w:rsid w:val="00F143DA"/>
    <w:rsid w:val="00FF6B50"/>
    <w:rsid w:val="12E80297"/>
    <w:rsid w:val="20F07B1D"/>
    <w:rsid w:val="25224714"/>
    <w:rsid w:val="7BC97C83"/>
    <w:rsid w:val="7D47776E"/>
    <w:rsid w:val="F9BBED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8"/>
    <w:semiHidden/>
    <w:unhideWhenUsed/>
    <w:qFormat/>
    <w:uiPriority w:val="99"/>
    <w:pPr>
      <w:tabs>
        <w:tab w:val="center" w:pos="4153"/>
        <w:tab w:val="right" w:pos="8306"/>
      </w:tabs>
      <w:snapToGrid w:val="0"/>
    </w:pPr>
    <w:rPr>
      <w:sz w:val="18"/>
      <w:szCs w:val="18"/>
    </w:rPr>
  </w:style>
  <w:style w:type="paragraph" w:styleId="3">
    <w:name w:val="header"/>
    <w:basedOn w:val="1"/>
    <w:link w:val="37"/>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Normal_8571f05b-269c-49ca-80df-aa9c5ec00021"/>
    <w:qFormat/>
    <w:uiPriority w:val="0"/>
    <w:rPr>
      <w:rFonts w:ascii="Times New Roman" w:hAnsi="Times New Roman" w:eastAsia="Times New Roman" w:cs="Times New Roman"/>
      <w:sz w:val="24"/>
      <w:szCs w:val="24"/>
      <w:lang w:val="en-US" w:eastAsia="uk-UA" w:bidi="ar-SA"/>
    </w:rPr>
  </w:style>
  <w:style w:type="paragraph" w:customStyle="1" w:styleId="25">
    <w:name w:val="单元格样式1_eaaa1eac-e2d8-41f7-8f53-a0abd146536e"/>
    <w:basedOn w:val="1"/>
    <w:qFormat/>
    <w:uiPriority w:val="0"/>
    <w:pPr>
      <w:jc w:val="center"/>
    </w:pPr>
    <w:rPr>
      <w:rFonts w:ascii="方正书宋_GBK" w:hAnsi="方正书宋_GBK" w:eastAsia="方正书宋_GBK" w:cs="方正书宋_GBK"/>
      <w:b/>
      <w:sz w:val="21"/>
    </w:rPr>
  </w:style>
  <w:style w:type="paragraph" w:customStyle="1" w:styleId="26">
    <w:name w:val="单元格样式2_243851c6-7f0c-4871-b2f8-17b8726fcb91"/>
    <w:basedOn w:val="1"/>
    <w:qFormat/>
    <w:uiPriority w:val="0"/>
    <w:rPr>
      <w:rFonts w:ascii="方正书宋_GBK" w:hAnsi="方正书宋_GBK" w:eastAsia="方正书宋_GBK" w:cs="方正书宋_GBK"/>
      <w:sz w:val="21"/>
    </w:rPr>
  </w:style>
  <w:style w:type="paragraph" w:customStyle="1" w:styleId="27">
    <w:name w:val="单元格样式3_7bd1a18f-2f5d-438a-8e73-57e15efd21ed"/>
    <w:basedOn w:val="1"/>
    <w:qFormat/>
    <w:uiPriority w:val="0"/>
    <w:pPr>
      <w:jc w:val="center"/>
    </w:pPr>
    <w:rPr>
      <w:rFonts w:ascii="方正书宋_GBK" w:hAnsi="方正书宋_GBK" w:eastAsia="方正书宋_GBK" w:cs="方正书宋_GBK"/>
      <w:sz w:val="21"/>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TOC 2"/>
    <w:basedOn w:val="1"/>
    <w:qFormat/>
    <w:uiPriority w:val="0"/>
    <w:pPr>
      <w:ind w:left="240"/>
    </w:pPr>
  </w:style>
  <w:style w:type="paragraph" w:customStyle="1" w:styleId="34">
    <w:name w:val="TOC 3"/>
    <w:basedOn w:val="1"/>
    <w:qFormat/>
    <w:uiPriority w:val="0"/>
    <w:pPr>
      <w:ind w:left="480"/>
    </w:pPr>
  </w:style>
  <w:style w:type="paragraph" w:customStyle="1" w:styleId="35">
    <w:name w:val="TOC 4"/>
    <w:basedOn w:val="1"/>
    <w:qFormat/>
    <w:uiPriority w:val="0"/>
    <w:pPr>
      <w:ind w:left="720"/>
    </w:pPr>
  </w:style>
  <w:style w:type="paragraph" w:customStyle="1" w:styleId="36">
    <w:name w:val="TOC 1"/>
    <w:basedOn w:val="1"/>
    <w:qFormat/>
    <w:uiPriority w:val="0"/>
    <w:pPr>
      <w:spacing w:before="120"/>
      <w:ind w:firstLine="560"/>
    </w:pPr>
    <w:rPr>
      <w:rFonts w:eastAsia="方正仿宋_GBK"/>
      <w:color w:val="000000"/>
      <w:sz w:val="28"/>
    </w:rPr>
  </w:style>
  <w:style w:type="character" w:customStyle="1" w:styleId="37">
    <w:name w:val="页眉 Char"/>
    <w:basedOn w:val="6"/>
    <w:link w:val="3"/>
    <w:semiHidden/>
    <w:qFormat/>
    <w:uiPriority w:val="99"/>
    <w:rPr>
      <w:rFonts w:eastAsia="Times New Roman"/>
      <w:sz w:val="18"/>
      <w:szCs w:val="18"/>
      <w:lang w:eastAsia="uk-UA"/>
    </w:rPr>
  </w:style>
  <w:style w:type="character" w:customStyle="1" w:styleId="38">
    <w:name w:val="页脚 Char"/>
    <w:basedOn w:val="6"/>
    <w:link w:val="2"/>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24</Pages>
  <Words>6391</Words>
  <Characters>7456</Characters>
  <Lines>135</Lines>
  <Paragraphs>38</Paragraphs>
  <TotalTime>4</TotalTime>
  <ScaleCrop>false</ScaleCrop>
  <LinksUpToDate>false</LinksUpToDate>
  <CharactersWithSpaces>7608</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2022-02-15T10:35:00Z</dcterms:created>
  <dc:creator>Administrator</dc:creator>
  <cp:lastModifiedBy>小张</cp:lastModifiedBy>
  <dcterms:modified xsi:type="dcterms:W3CDTF">2024-07-18T01:05:34Z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34B3CB99411084B4E3670A651B857CFE</vt:lpwstr>
  </property>
</Properties>
</file>