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隆尧县机关事务管理局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w:t>
      </w:r>
      <w:r>
        <w:rPr>
          <w:rFonts w:hint="eastAsia" w:ascii="方正小标宋_GBK" w:hAnsi="Times New Roman" w:eastAsia="方正小标宋_GBK" w:cs="Times New Roman"/>
          <w:bCs/>
          <w:sz w:val="44"/>
          <w:szCs w:val="44"/>
          <w:lang w:val="en-US" w:eastAsia="zh-CN"/>
        </w:rPr>
        <w:t>1</w:t>
      </w:r>
      <w:r>
        <w:rPr>
          <w:rFonts w:hint="eastAsia" w:ascii="方正小标宋_GBK" w:hAnsi="Times New Roman" w:eastAsia="方正小标宋_GBK" w:cs="Times New Roman"/>
          <w:bCs/>
          <w:sz w:val="44"/>
          <w:szCs w:val="44"/>
        </w:rPr>
        <w:t>年预算信息公开情况说明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隆尧县机关事务管理局</w:t>
      </w: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年预算公开如下：</w:t>
      </w:r>
      <w:bookmarkStart w:id="8" w:name="_GoBack"/>
      <w:bookmarkEnd w:id="8"/>
    </w:p>
    <w:p>
      <w:pPr>
        <w:ind w:firstLine="640"/>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职责及机构设置情况</w:t>
      </w:r>
    </w:p>
    <w:p>
      <w:pPr>
        <w:adjustRightInd w:val="0"/>
        <w:spacing w:line="600" w:lineRule="exact"/>
        <w:ind w:firstLine="640"/>
        <w:rPr>
          <w:rFonts w:ascii="仿宋" w:hAnsi="仿宋" w:eastAsia="仿宋" w:cs="仿宋"/>
          <w:sz w:val="32"/>
          <w:szCs w:val="32"/>
        </w:rPr>
      </w:pPr>
      <w:r>
        <w:rPr>
          <w:rFonts w:hint="eastAsia" w:ascii="仿宋" w:hAnsi="仿宋" w:eastAsia="仿宋" w:cs="仿宋"/>
          <w:sz w:val="32"/>
          <w:szCs w:val="32"/>
        </w:rPr>
        <w:t>机关事务管理局职责</w:t>
      </w:r>
    </w:p>
    <w:p>
      <w:pPr>
        <w:rPr>
          <w:rFonts w:ascii="仿宋" w:hAnsi="仿宋" w:eastAsia="仿宋" w:cs="仿宋"/>
          <w:sz w:val="32"/>
          <w:szCs w:val="32"/>
        </w:rPr>
      </w:pPr>
      <w:r>
        <w:rPr>
          <w:rFonts w:hint="eastAsia" w:ascii="仿宋" w:hAnsi="仿宋" w:eastAsia="仿宋" w:cs="仿宋"/>
          <w:sz w:val="32"/>
          <w:szCs w:val="32"/>
        </w:rPr>
        <w:t xml:space="preserve">    1、研究制定本县各级机关事务管理工作的政策措施并组织实施；</w:t>
      </w:r>
    </w:p>
    <w:p>
      <w:pPr>
        <w:rPr>
          <w:rFonts w:ascii="仿宋" w:hAnsi="仿宋" w:eastAsia="仿宋" w:cs="仿宋"/>
          <w:sz w:val="32"/>
          <w:szCs w:val="32"/>
        </w:rPr>
      </w:pPr>
      <w:r>
        <w:rPr>
          <w:rFonts w:hint="eastAsia" w:ascii="仿宋" w:hAnsi="仿宋" w:eastAsia="仿宋" w:cs="仿宋"/>
          <w:sz w:val="32"/>
          <w:szCs w:val="32"/>
        </w:rPr>
        <w:t xml:space="preserve">    2、负责指定区域内的机关后勤管理和服务工作；</w:t>
      </w:r>
    </w:p>
    <w:p>
      <w:pPr>
        <w:rPr>
          <w:rFonts w:ascii="仿宋" w:hAnsi="仿宋" w:eastAsia="仿宋" w:cs="仿宋"/>
          <w:sz w:val="32"/>
          <w:szCs w:val="32"/>
        </w:rPr>
      </w:pPr>
      <w:r>
        <w:rPr>
          <w:rFonts w:hint="eastAsia" w:ascii="仿宋" w:hAnsi="仿宋" w:eastAsia="仿宋" w:cs="仿宋"/>
          <w:sz w:val="32"/>
          <w:szCs w:val="32"/>
        </w:rPr>
        <w:t xml:space="preserve">    3、负责车改后保留公务用车的管理、调度；</w:t>
      </w:r>
    </w:p>
    <w:p>
      <w:pPr>
        <w:rPr>
          <w:rFonts w:ascii="仿宋" w:hAnsi="仿宋" w:eastAsia="仿宋" w:cs="仿宋"/>
          <w:sz w:val="32"/>
          <w:szCs w:val="32"/>
        </w:rPr>
      </w:pPr>
      <w:r>
        <w:rPr>
          <w:rFonts w:hint="eastAsia" w:ascii="仿宋" w:hAnsi="仿宋" w:eastAsia="仿宋" w:cs="仿宋"/>
          <w:sz w:val="32"/>
          <w:szCs w:val="32"/>
        </w:rPr>
        <w:t xml:space="preserve">    4、负责机关办公用房配置管理； </w:t>
      </w:r>
    </w:p>
    <w:p>
      <w:pPr>
        <w:rPr>
          <w:rFonts w:ascii="仿宋" w:hAnsi="仿宋" w:eastAsia="仿宋" w:cs="仿宋"/>
          <w:sz w:val="32"/>
          <w:szCs w:val="32"/>
        </w:rPr>
      </w:pPr>
      <w:r>
        <w:rPr>
          <w:rFonts w:hint="eastAsia" w:ascii="仿宋" w:hAnsi="仿宋" w:eastAsia="仿宋" w:cs="仿宋"/>
          <w:sz w:val="32"/>
          <w:szCs w:val="32"/>
        </w:rPr>
        <w:t xml:space="preserve">    5、负责全县公共机构资源节约的工作。</w:t>
      </w:r>
    </w:p>
    <w:p>
      <w:pPr>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机构设置情况</w:t>
      </w:r>
    </w:p>
    <w:tbl>
      <w:tblPr>
        <w:tblStyle w:val="8"/>
        <w:tblpPr w:leftFromText="180" w:rightFromText="180" w:vertAnchor="text" w:horzAnchor="page" w:tblpX="1423" w:tblpY="189"/>
        <w:tblOverlap w:val="never"/>
        <w:tblW w:w="91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07"/>
        <w:gridCol w:w="1463"/>
        <w:gridCol w:w="1493"/>
        <w:gridCol w:w="22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7" w:hRule="atLeast"/>
        </w:trPr>
        <w:tc>
          <w:tcPr>
            <w:tcW w:w="3907"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单位名称</w:t>
            </w:r>
          </w:p>
        </w:tc>
        <w:tc>
          <w:tcPr>
            <w:tcW w:w="1463"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单位性质</w:t>
            </w:r>
          </w:p>
        </w:tc>
        <w:tc>
          <w:tcPr>
            <w:tcW w:w="1493"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单位规格</w:t>
            </w:r>
          </w:p>
        </w:tc>
        <w:tc>
          <w:tcPr>
            <w:tcW w:w="2255" w:type="dxa"/>
          </w:tcPr>
          <w:p>
            <w:pPr>
              <w:autoSpaceDE w:val="0"/>
              <w:autoSpaceDN w:val="0"/>
              <w:adjustRightInd w:val="0"/>
              <w:jc w:val="left"/>
              <w:rPr>
                <w:rFonts w:ascii="仿宋_GB2312" w:hAnsi="仿宋_GB2312" w:eastAsia="仿宋_GB2312" w:cs="仿宋_GB2312"/>
                <w:b/>
                <w:kern w:val="0"/>
                <w:sz w:val="28"/>
                <w:szCs w:val="28"/>
              </w:rPr>
            </w:pPr>
            <w:r>
              <w:rPr>
                <w:rFonts w:hint="eastAsia" w:ascii="仿宋_GB2312" w:hAnsi="仿宋_GB2312" w:eastAsia="仿宋_GB2312" w:cs="仿宋_GB2312"/>
                <w:b/>
                <w:sz w:val="28"/>
                <w:szCs w:val="28"/>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7" w:hRule="atLeast"/>
        </w:trPr>
        <w:tc>
          <w:tcPr>
            <w:tcW w:w="3907" w:type="dxa"/>
            <w:vAlign w:val="top"/>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sz w:val="28"/>
                <w:szCs w:val="28"/>
              </w:rPr>
              <w:t>隆尧县机关事务管理局</w:t>
            </w:r>
          </w:p>
        </w:tc>
        <w:tc>
          <w:tcPr>
            <w:tcW w:w="1463" w:type="dxa"/>
            <w:vAlign w:val="top"/>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事业</w:t>
            </w:r>
          </w:p>
        </w:tc>
        <w:tc>
          <w:tcPr>
            <w:tcW w:w="1493" w:type="dxa"/>
            <w:vAlign w:val="top"/>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副科级</w:t>
            </w:r>
          </w:p>
        </w:tc>
        <w:tc>
          <w:tcPr>
            <w:tcW w:w="2255" w:type="dxa"/>
            <w:vAlign w:val="top"/>
          </w:tcPr>
          <w:p>
            <w:pPr>
              <w:autoSpaceDE w:val="0"/>
              <w:autoSpaceDN w:val="0"/>
              <w:adjustRightInd w:val="0"/>
              <w:jc w:val="left"/>
              <w:rPr>
                <w:rFonts w:ascii="仿宋_GB2312" w:hAnsi="仿宋_GB2312" w:eastAsia="仿宋_GB2312" w:cs="仿宋_GB2312"/>
                <w:bCs/>
                <w:kern w:val="0"/>
                <w:sz w:val="28"/>
                <w:szCs w:val="28"/>
              </w:rPr>
            </w:pPr>
            <w:r>
              <w:rPr>
                <w:rFonts w:hint="eastAsia" w:ascii="仿宋_GB2312" w:hAnsi="仿宋_GB2312" w:eastAsia="仿宋_GB2312" w:cs="仿宋_GB2312"/>
                <w:bCs/>
                <w:kern w:val="0"/>
                <w:sz w:val="28"/>
                <w:szCs w:val="28"/>
              </w:rPr>
              <w:t>财政拨款</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w:t>
      </w: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单位</w:t>
      </w:r>
      <w:r>
        <w:rPr>
          <w:rFonts w:ascii="Times New Roman" w:hAnsi="Times New Roman" w:eastAsia="仿宋" w:cs="Times New Roman"/>
          <w:sz w:val="32"/>
          <w:szCs w:val="32"/>
        </w:rPr>
        <w:t>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w:t>
      </w:r>
      <w:r>
        <w:rPr>
          <w:rFonts w:hint="eastAsia" w:ascii="Times New Roman" w:hAnsi="Times New Roman" w:eastAsia="仿宋" w:cs="Times New Roman"/>
          <w:sz w:val="32"/>
          <w:szCs w:val="32"/>
        </w:rPr>
        <w:t>在</w:t>
      </w:r>
      <w:r>
        <w:rPr>
          <w:rFonts w:ascii="Times New Roman" w:hAnsi="Times New Roman" w:eastAsia="仿宋" w:cs="Times New Roman"/>
          <w:sz w:val="32"/>
          <w:szCs w:val="32"/>
        </w:rPr>
        <w:t>预算中。</w:t>
      </w:r>
      <w:r>
        <w:rPr>
          <w:rFonts w:hint="eastAsia" w:ascii="仿宋" w:hAnsi="仿宋" w:eastAsia="仿宋" w:cs="仿宋"/>
          <w:sz w:val="32"/>
          <w:szCs w:val="32"/>
          <w:lang w:eastAsia="zh-CN"/>
        </w:rPr>
        <w:t>隆尧县机关事务管理局</w:t>
      </w:r>
      <w:r>
        <w:rPr>
          <w:rFonts w:ascii="Times New Roman" w:hAnsi="Times New Roman" w:eastAsia="仿宋" w:cs="Times New Roman"/>
          <w:sz w:val="32"/>
          <w:szCs w:val="32"/>
        </w:rPr>
        <w:t>的收支包含在预算中。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当年全部收入。202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345.52</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345.52</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隆尧县机关事务管理局</w:t>
      </w:r>
      <w:r>
        <w:rPr>
          <w:rFonts w:hint="eastAsia" w:ascii="Times New Roman" w:hAnsi="Times New Roman" w:eastAsia="仿宋" w:cs="Times New Roman"/>
          <w:sz w:val="32"/>
          <w:szCs w:val="32"/>
        </w:rPr>
        <w:t>预算中支出预算的总体情况。202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ascii="Times New Roman" w:hAnsi="Times New Roman" w:eastAsia="仿宋" w:cs="Times New Roman"/>
          <w:sz w:val="32"/>
          <w:szCs w:val="32"/>
          <w:lang w:val="en-US" w:eastAsia="zh-CN"/>
        </w:rPr>
        <w:t>345.52</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345.52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其中</w:t>
      </w:r>
      <w:r>
        <w:rPr>
          <w:rFonts w:hint="eastAsia" w:ascii="Times New Roman" w:hAnsi="Times New Roman" w:eastAsia="仿宋" w:cs="Times New Roman"/>
          <w:sz w:val="32"/>
          <w:szCs w:val="32"/>
        </w:rPr>
        <w:t>专项业务</w:t>
      </w:r>
      <w:r>
        <w:rPr>
          <w:rFonts w:hint="eastAsia" w:ascii="Times New Roman" w:hAnsi="Times New Roman" w:eastAsia="仿宋" w:cs="Times New Roman"/>
          <w:sz w:val="32"/>
          <w:szCs w:val="32"/>
          <w:lang w:val="en-US" w:eastAsia="zh-CN"/>
        </w:rPr>
        <w:t>234.81</w:t>
      </w:r>
      <w:r>
        <w:rPr>
          <w:rFonts w:hint="eastAsia" w:ascii="Times New Roman" w:hAnsi="Times New Roman" w:eastAsia="仿宋" w:cs="Times New Roman"/>
          <w:sz w:val="32"/>
          <w:szCs w:val="32"/>
        </w:rPr>
        <w:t>万元，事业运行</w:t>
      </w:r>
      <w:r>
        <w:rPr>
          <w:rFonts w:hint="eastAsia" w:ascii="Times New Roman" w:hAnsi="Times New Roman" w:eastAsia="仿宋" w:cs="Times New Roman"/>
          <w:sz w:val="32"/>
          <w:szCs w:val="32"/>
          <w:lang w:val="en-US" w:eastAsia="zh-CN"/>
        </w:rPr>
        <w:t>110.72</w:t>
      </w:r>
      <w:r>
        <w:rPr>
          <w:rFonts w:hint="eastAsia" w:ascii="Times New Roman" w:hAnsi="Times New Roman" w:eastAsia="仿宋" w:cs="Times New Roman"/>
          <w:sz w:val="32"/>
          <w:szCs w:val="32"/>
        </w:rPr>
        <w:t>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w:t>
      </w:r>
      <w:r>
        <w:rPr>
          <w:rFonts w:hint="eastAsia" w:ascii="Times New Roman" w:hAnsi="Times New Roman" w:eastAsia="仿宋" w:cs="Times New Roman"/>
          <w:color w:val="000000"/>
          <w:sz w:val="32"/>
          <w:szCs w:val="32"/>
          <w:lang w:val="en-US" w:eastAsia="zh-CN"/>
        </w:rPr>
        <w:t>1</w:t>
      </w:r>
      <w:r>
        <w:rPr>
          <w:rFonts w:hint="eastAsia" w:ascii="Times New Roman" w:hAnsi="Times New Roman" w:eastAsia="仿宋" w:cs="Times New Roman"/>
          <w:color w:val="000000"/>
          <w:sz w:val="32"/>
          <w:szCs w:val="32"/>
        </w:rPr>
        <w:t>年</w:t>
      </w:r>
      <w:r>
        <w:rPr>
          <w:rFonts w:hint="eastAsia" w:ascii="Times New Roman" w:hAnsi="Times New Roman"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ascii="Times New Roman" w:hAnsi="Times New Roman" w:eastAsia="仿宋" w:cs="Times New Roman"/>
          <w:color w:val="000000"/>
          <w:sz w:val="32"/>
          <w:szCs w:val="32"/>
          <w:lang w:val="en-US" w:eastAsia="zh-CN"/>
        </w:rPr>
        <w:t>345.52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年增加</w:t>
      </w:r>
      <w:r>
        <w:rPr>
          <w:rFonts w:hint="eastAsia" w:ascii="Times New Roman" w:hAnsi="Times New Roman" w:eastAsia="仿宋" w:cs="Times New Roman"/>
          <w:sz w:val="32"/>
          <w:szCs w:val="32"/>
          <w:lang w:val="en-US" w:eastAsia="zh-CN"/>
        </w:rPr>
        <w:t>130.53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130.53</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增加了公务用车购置及划拨其他单位执法用车经费；</w:t>
      </w:r>
      <w:r>
        <w:rPr>
          <w:rFonts w:hint="eastAsia" w:ascii="Times New Roman" w:hAnsi="Times New Roman" w:eastAsia="仿宋" w:cs="Times New Roman"/>
          <w:sz w:val="32"/>
          <w:szCs w:val="32"/>
        </w:rPr>
        <w:t>其他支出无增减变化。</w:t>
      </w:r>
    </w:p>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 xml:space="preserve">    三、机关运行经费安排情况</w:t>
      </w:r>
    </w:p>
    <w:p>
      <w:pPr>
        <w:autoSpaceDE w:val="0"/>
        <w:autoSpaceDN w:val="0"/>
        <w:adjustRightInd w:val="0"/>
        <w:ind w:left="198" w:firstLine="640" w:firstLineChars="200"/>
        <w:jc w:val="left"/>
        <w:rPr>
          <w:rFonts w:hint="eastAsia" w:ascii="Times New Roman" w:hAnsi="Times New Roman" w:eastAsia="仿宋" w:cs="Times New Roman"/>
          <w:sz w:val="32"/>
          <w:szCs w:val="32"/>
          <w:lang w:val="en" w:eastAsia="zh-CN"/>
        </w:rPr>
      </w:pPr>
      <w:r>
        <w:rPr>
          <w:rFonts w:hint="eastAsia" w:ascii="Times New Roman" w:hAnsi="Times New Roman" w:eastAsia="仿宋" w:cs="Times New Roman"/>
          <w:sz w:val="32"/>
          <w:szCs w:val="32"/>
        </w:rPr>
        <w:t xml:space="preserve"> 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机关运行经费共计安排</w:t>
      </w:r>
      <w:r>
        <w:rPr>
          <w:rFonts w:hint="default" w:ascii="Times New Roman" w:hAnsi="Times New Roman" w:eastAsia="仿宋" w:cs="Times New Roman"/>
          <w:sz w:val="32"/>
          <w:szCs w:val="32"/>
          <w:lang w:val="en" w:eastAsia="zh-CN"/>
        </w:rPr>
        <w:t>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214.5</w:t>
      </w:r>
      <w:r>
        <w:rPr>
          <w:rFonts w:hint="eastAsia" w:ascii="Times New Roman" w:hAnsi="Times New Roman" w:eastAsia="仿宋" w:cs="Times New Roman"/>
          <w:sz w:val="32"/>
          <w:szCs w:val="32"/>
        </w:rPr>
        <w:t>万元，其中：因公出国（境）费0万元；公务用车购置及运维费</w:t>
      </w:r>
      <w:r>
        <w:rPr>
          <w:rFonts w:hint="eastAsia" w:ascii="Times New Roman" w:hAnsi="Times New Roman" w:eastAsia="仿宋" w:cs="Times New Roman"/>
          <w:sz w:val="32"/>
          <w:szCs w:val="32"/>
          <w:lang w:val="en-US" w:eastAsia="zh-CN"/>
        </w:rPr>
        <w:t>21</w:t>
      </w:r>
      <w:r>
        <w:rPr>
          <w:rFonts w:hint="default" w:ascii="Times New Roman" w:hAnsi="Times New Roman" w:eastAsia="仿宋" w:cs="Times New Roman"/>
          <w:sz w:val="32"/>
          <w:szCs w:val="32"/>
          <w:lang w:val="en" w:eastAsia="zh-CN"/>
        </w:rPr>
        <w:t>4</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万元（其中：公务用车购置费</w:t>
      </w:r>
      <w:r>
        <w:rPr>
          <w:rFonts w:hint="eastAsia" w:ascii="Times New Roman" w:hAnsi="Times New Roman" w:eastAsia="仿宋" w:cs="Times New Roman"/>
          <w:sz w:val="32"/>
          <w:szCs w:val="32"/>
          <w:lang w:val="en-US" w:eastAsia="zh-CN"/>
        </w:rPr>
        <w:t>120</w:t>
      </w:r>
      <w:r>
        <w:rPr>
          <w:rFonts w:hint="eastAsia" w:ascii="Times New Roman" w:hAnsi="Times New Roman" w:eastAsia="仿宋" w:cs="Times New Roman"/>
          <w:sz w:val="32"/>
          <w:szCs w:val="32"/>
        </w:rPr>
        <w:t>万元，公务用车运行维护费9</w:t>
      </w:r>
      <w:r>
        <w:rPr>
          <w:rFonts w:hint="default" w:ascii="Times New Roman" w:hAnsi="Times New Roman" w:eastAsia="仿宋" w:cs="Times New Roman"/>
          <w:sz w:val="32"/>
          <w:szCs w:val="32"/>
          <w:lang w:val="en" w:eastAsia="zh-CN"/>
        </w:rPr>
        <w:t>4</w:t>
      </w:r>
      <w:r>
        <w:rPr>
          <w:rFonts w:hint="eastAsia" w:ascii="Times New Roman" w:hAnsi="Times New Roman" w:eastAsia="仿宋" w:cs="Times New Roman"/>
          <w:sz w:val="32"/>
          <w:szCs w:val="32"/>
        </w:rPr>
        <w:t>.5万元)。“三公”经费与上年</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，主要是</w:t>
      </w:r>
      <w:r>
        <w:rPr>
          <w:rFonts w:hint="eastAsia" w:ascii="Times New Roman" w:hAnsi="Times New Roman" w:eastAsia="仿宋" w:cs="Times New Roman"/>
          <w:sz w:val="32"/>
          <w:szCs w:val="32"/>
          <w:lang w:eastAsia="zh-CN"/>
        </w:rPr>
        <w:t>增加了</w:t>
      </w:r>
      <w:r>
        <w:rPr>
          <w:rFonts w:hint="eastAsia" w:ascii="Times New Roman" w:hAnsi="Times New Roman" w:eastAsia="仿宋" w:cs="Times New Roman"/>
          <w:sz w:val="32"/>
          <w:szCs w:val="32"/>
        </w:rPr>
        <w:t>公务用车购置费</w:t>
      </w:r>
      <w:r>
        <w:rPr>
          <w:rFonts w:hint="eastAsia" w:ascii="Times New Roman" w:hAnsi="Times New Roman" w:eastAsia="仿宋" w:cs="Times New Roman"/>
          <w:sz w:val="32"/>
          <w:szCs w:val="32"/>
          <w:lang w:val="en-US" w:eastAsia="zh-CN"/>
        </w:rPr>
        <w:t>120</w:t>
      </w:r>
      <w:r>
        <w:rPr>
          <w:rFonts w:hint="eastAsia" w:ascii="Times New Roman" w:hAnsi="Times New Roman" w:eastAsia="仿宋" w:cs="Times New Roman"/>
          <w:sz w:val="32"/>
          <w:szCs w:val="32"/>
        </w:rPr>
        <w:t>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 xml:space="preserve">第一部分  </w:t>
      </w:r>
      <w:r>
        <w:rPr>
          <w:rFonts w:hint="eastAsia" w:ascii="Times New Roman" w:hAnsi="Times New Roman" w:eastAsia="方正仿宋_GBK" w:cs="Times New Roman"/>
          <w:b/>
          <w:sz w:val="32"/>
          <w:szCs w:val="32"/>
          <w:lang w:eastAsia="zh-CN"/>
        </w:rPr>
        <w:t>单位</w:t>
      </w:r>
      <w:r>
        <w:rPr>
          <w:rFonts w:hint="eastAsia" w:ascii="Times New Roman" w:hAnsi="Times New Roman" w:eastAsia="方正仿宋_GBK" w:cs="Times New Roman"/>
          <w:b/>
          <w:sz w:val="32"/>
          <w:szCs w:val="32"/>
        </w:rPr>
        <w:t>整体绩效目标</w:t>
      </w:r>
    </w:p>
    <w:p>
      <w:pPr>
        <w:numPr>
          <w:ilvl w:val="0"/>
          <w:numId w:val="1"/>
        </w:num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总体绩效目标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2021年，坚持以习近平新时代中国特色社会主义思想为指导，全面贯彻落实党的十九届五中、六中全会精神，在公务用车管理、办公用房管理、公共机构节能和</w:t>
      </w:r>
      <w:r>
        <w:rPr>
          <w:rFonts w:hint="eastAsia" w:ascii="Times New Roman" w:hAnsi="Times New Roman" w:eastAsia="仿宋" w:cs="Times New Roman"/>
          <w:sz w:val="32"/>
          <w:szCs w:val="32"/>
          <w:lang w:eastAsia="zh-CN"/>
        </w:rPr>
        <w:t>县委县政府</w:t>
      </w:r>
      <w:r>
        <w:rPr>
          <w:rFonts w:hint="eastAsia" w:ascii="Times New Roman" w:hAnsi="Times New Roman" w:eastAsia="仿宋" w:cs="Times New Roman"/>
          <w:sz w:val="32"/>
          <w:szCs w:val="32"/>
        </w:rPr>
        <w:t>后勤管理等方面工作取得明显成效，圆满完成年度各项目标任务。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、强化组织建设，提升理论实践水平</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一是强化领导班子政治建设。二是充实人员。三是加强学习。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、加强服务职能，提升公车管理水平</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一是加强公车日常管理，保障公务出行。二是加强车辆轨迹监管，做好四个平台。三是发挥平台优势，服务中心工作。四是响应上级号召，推广使用新能源汽车。</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、强化担当意识，做好后勤管理工作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一是加强机关设施建设，着力改善办公条件。二是协调安排办公场所，实现党政合署办公。三是狠抓食堂管理，提高后勤保障。四是改造升级停车场，提升机关形象。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4</w:t>
      </w:r>
      <w:r>
        <w:rPr>
          <w:rFonts w:hint="eastAsia" w:ascii="Times New Roman" w:hAnsi="Times New Roman" w:eastAsia="仿宋" w:cs="Times New Roman"/>
          <w:sz w:val="32"/>
          <w:szCs w:val="32"/>
        </w:rPr>
        <w:t>、强化国有资产管理，优化办公用房使用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一是合理调配办公用房。二是强化日常监管。三是开展办公用房数据统计工作。四是核查清理国有固定资产。</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、强化节能节约，推进示范单位创建</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1.做好节能示范单位申报创建工作。2.扎实开展节能宣传活动。3.推进节约型机关建设和节水型机关建设。</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6</w:t>
      </w:r>
      <w:r>
        <w:rPr>
          <w:rFonts w:hint="eastAsia" w:ascii="Times New Roman" w:hAnsi="Times New Roman" w:eastAsia="仿宋" w:cs="Times New Roman"/>
          <w:sz w:val="32"/>
          <w:szCs w:val="32"/>
        </w:rPr>
        <w:t>、加强廉政学习，增强拒腐防变能力</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不断加强廉政学习，强化廉洁从政意识，坚定遵纪守法行为，坚决反对商业贿赂；深入开展建党100周年党史学习主题教育活动，学党史、用党史，加强党风廉政和防腐败体系建设，促进廉洁奉公形象新提升。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spacing w:line="300" w:lineRule="exact"/>
        <w:jc w:val="left"/>
      </w:pPr>
      <w:r>
        <w:rPr>
          <w:rFonts w:hint="eastAsia" w:ascii="方正仿宋_GBK" w:eastAsia="方正仿宋_GBK"/>
          <w:b/>
          <w:sz w:val="28"/>
        </w:rPr>
        <w:t xml:space="preserve"> </w:t>
      </w:r>
    </w:p>
    <w:p>
      <w:pPr>
        <w:spacing w:line="300" w:lineRule="exact"/>
        <w:jc w:val="left"/>
      </w:pPr>
    </w:p>
    <w:p>
      <w:pPr>
        <w:spacing w:line="300" w:lineRule="exact"/>
        <w:jc w:val="left"/>
      </w:pPr>
    </w:p>
    <w:p>
      <w:pPr>
        <w:ind w:firstLine="562" w:firstLineChars="200"/>
        <w:jc w:val="left"/>
        <w:outlineLvl w:val="3"/>
        <w:rPr>
          <w:rFonts w:ascii="Times New Roman" w:hAnsi="宋体"/>
          <w:b/>
          <w:sz w:val="28"/>
        </w:rPr>
      </w:pPr>
      <w:bookmarkStart w:id="1" w:name="_Toc65939415"/>
      <w:r>
        <w:rPr>
          <w:rFonts w:hint="eastAsia" w:ascii="方正仿宋_GBK" w:eastAsia="方正仿宋_GBK"/>
          <w:b/>
          <w:sz w:val="28"/>
          <w:lang w:val="en-US" w:eastAsia="zh-CN"/>
        </w:rPr>
        <w:t>7</w:t>
      </w:r>
      <w:r>
        <w:rPr>
          <w:rFonts w:hint="eastAsia" w:ascii="方正仿宋_GBK" w:eastAsia="方正仿宋_GBK"/>
          <w:b/>
          <w:sz w:val="28"/>
        </w:rPr>
        <w:t>.退役军人岗位补贴绩效目标表</w:t>
      </w:r>
      <w:bookmarkEnd w:id="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16、退役军人岗位补贴绩效目标表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13052521632UR4IC3VMTV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0284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lang w:val="en-US" w:eastAsia="zh-CN"/>
              </w:rPr>
              <w:t>.</w:t>
            </w:r>
            <w:r>
              <w:rPr>
                <w:rFonts w:ascii="方正书宋_GBK" w:eastAsia="方正书宋_GBK"/>
              </w:rPr>
              <w:t>0284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保障三名退役军人工资和保险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保障人员工资</w:t>
            </w:r>
            <w:r>
              <w:rPr>
                <w:rFonts w:ascii="方正书宋_GBK" w:eastAsia="方正书宋_GBK"/>
              </w:rPr>
              <w:t>/</w:t>
            </w:r>
            <w:r>
              <w:rPr>
                <w:rFonts w:hint="eastAsia" w:ascii="方正书宋_GBK" w:eastAsia="方正书宋_GBK"/>
              </w:rPr>
              <w:t>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确保单位人员充足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保障机关正常运行</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后勤保障人员数量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后勤人数充足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工作完成率达不到</w:t>
            </w:r>
            <w:r>
              <w:rPr>
                <w:rFonts w:ascii="方正书宋_GBK" w:eastAsia="方正书宋_GBK"/>
              </w:rPr>
              <w:t>80%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服务的完成度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安排工作完成度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工作的态度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财政投入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预算安排人员的成本</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预算文本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决算数据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退役军人服务水平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通过学习考察和调研指导，进一步提升全省退役军人服务规范化水平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工作积极性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出勤率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调查中群众满意和较满意的数量占调查总人数的比率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安置人员的满意度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 w:name="_Toc65939416"/>
      <w:r>
        <w:rPr>
          <w:rFonts w:hint="eastAsia" w:ascii="方正仿宋_GBK" w:eastAsia="方正仿宋_GBK"/>
          <w:b/>
          <w:sz w:val="28"/>
          <w:lang w:val="en-US" w:eastAsia="zh-CN"/>
        </w:rPr>
        <w:t>8</w:t>
      </w:r>
      <w:r>
        <w:rPr>
          <w:rFonts w:hint="eastAsia" w:ascii="方正仿宋_GBK" w:eastAsia="方正仿宋_GBK"/>
          <w:b/>
          <w:sz w:val="28"/>
        </w:rPr>
        <w:t>.租赁费绩效目标表</w:t>
      </w:r>
      <w:bookmarkEnd w:id="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17、租赁费绩效目标表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13052521FFAUWACQE0D14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306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lang w:val="en-US" w:eastAsia="zh-CN"/>
              </w:rPr>
              <w:t>.</w:t>
            </w:r>
            <w:r>
              <w:rPr>
                <w:rFonts w:ascii="方正书宋_GBK" w:eastAsia="方正书宋_GBK"/>
              </w:rPr>
              <w:t>306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用于视屏会议系统连路费</w:t>
            </w:r>
            <w:r>
              <w:rPr>
                <w:rFonts w:ascii="方正书宋_GBK" w:eastAsia="方正书宋_GBK"/>
              </w:rPr>
              <w:t>,</w:t>
            </w:r>
            <w:r>
              <w:rPr>
                <w:rFonts w:hint="eastAsia" w:ascii="方正书宋_GBK" w:eastAsia="方正书宋_GBK"/>
              </w:rPr>
              <w:t>车辆定位系统费</w:t>
            </w:r>
            <w:r>
              <w:rPr>
                <w:rFonts w:ascii="方正书宋_GBK" w:eastAsia="方正书宋_GBK"/>
              </w:rPr>
              <w:t>,</w:t>
            </w:r>
            <w:r>
              <w:rPr>
                <w:rFonts w:hint="eastAsia" w:ascii="方正书宋_GBK" w:eastAsia="方正书宋_GBK"/>
              </w:rPr>
              <w:t>领导住房费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保障会议室正常运行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保障车辆定位正常运行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保障领导住房问题</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会议数量大于</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系统运行质量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系统运行质量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会议系统运行质量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系统质量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租赁会议系统的时效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租赁成本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租赁成本</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租赁成本大于</w:t>
            </w:r>
            <w:r>
              <w:rPr>
                <w:rFonts w:ascii="方正书宋_GBK" w:eastAsia="方正书宋_GBK"/>
              </w:rPr>
              <w:t>50%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社会效益增长率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社会效益增长率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社会增长</w:t>
            </w:r>
            <w:r>
              <w:rPr>
                <w:rFonts w:ascii="方正书宋_GBK" w:eastAsia="方正书宋_GBK"/>
              </w:rPr>
              <w:t>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参会单位满意度（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参会单位满意度（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满意度大于</w:t>
            </w:r>
            <w:r>
              <w:rPr>
                <w:rFonts w:ascii="方正书宋_GBK" w:eastAsia="方正书宋_GBK"/>
              </w:rPr>
              <w:t>50%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会议签到表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 w:name="_Toc65939417"/>
      <w:r>
        <w:rPr>
          <w:rFonts w:hint="eastAsia" w:ascii="方正仿宋_GBK" w:eastAsia="方正仿宋_GBK"/>
          <w:b/>
          <w:sz w:val="28"/>
          <w:lang w:val="en-US" w:eastAsia="zh-CN"/>
        </w:rPr>
        <w:t>9</w:t>
      </w:r>
      <w:r>
        <w:rPr>
          <w:rFonts w:hint="eastAsia" w:ascii="方正仿宋_GBK" w:eastAsia="方正仿宋_GBK"/>
          <w:b/>
          <w:sz w:val="28"/>
        </w:rPr>
        <w:t>.领导干部健康服务费绩效目标表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18、领导干部健康服务费绩效目标表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13052521MR0PPTUF12Z3Z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领导干部健康服务费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tabs>
                <w:tab w:val="center" w:pos="530"/>
              </w:tabs>
              <w:spacing w:line="300" w:lineRule="exact"/>
              <w:jc w:val="left"/>
              <w:rPr>
                <w:rFonts w:hint="eastAsia" w:ascii="方正书宋_GBK" w:eastAsia="方正书宋_GBK"/>
                <w:lang w:eastAsia="zh-CN"/>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7118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lang w:val="en-US" w:eastAsia="zh-CN"/>
              </w:rPr>
              <w:t>.</w:t>
            </w:r>
            <w:r>
              <w:rPr>
                <w:rFonts w:ascii="方正书宋_GBK" w:eastAsia="方正书宋_GBK"/>
              </w:rPr>
              <w:t>7118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保障县级领导干部健康体检费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确保县级领导健康检查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预防因劳成疾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提前发现问题</w:t>
            </w:r>
            <w:r>
              <w:rPr>
                <w:rFonts w:ascii="方正书宋_GBK" w:eastAsia="方正书宋_GBK"/>
              </w:rPr>
              <w:t>,</w:t>
            </w:r>
            <w:r>
              <w:rPr>
                <w:rFonts w:hint="eastAsia" w:ascii="方正书宋_GBK" w:eastAsia="方正书宋_GBK"/>
              </w:rPr>
              <w:t>及早治疗</w:t>
            </w:r>
            <w:r>
              <w:rPr>
                <w:rFonts w:ascii="方正书宋_GBK" w:eastAsia="方正书宋_GBK"/>
              </w:rPr>
              <w:t>.</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领导全部检查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领导全部接受检查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检查率达到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健康报告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全部按规定高质量完成检查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全部按规定高质量完成检查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检查完成率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健康体检对工作的作用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健康体检对工作的作用</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健康体检对工作的作用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完成体检在预算内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不超出预算资金</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预算文本</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决算数据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已完成的检测工作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已完成的检测工作</w:t>
            </w:r>
            <w:r>
              <w:rPr>
                <w:rFonts w:ascii="方正书宋_GBK" w:eastAsia="方正书宋_GBK"/>
              </w:rPr>
              <w:t>/</w:t>
            </w:r>
            <w:r>
              <w:rPr>
                <w:rFonts w:hint="eastAsia" w:ascii="方正书宋_GBK" w:eastAsia="方正书宋_GBK"/>
              </w:rPr>
              <w:t>年度检测工作总额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完成检查率为</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健康报告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领导的满意度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领导投诉就扣分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 w:name="_Toc65939418"/>
      <w:r>
        <w:rPr>
          <w:rFonts w:hint="eastAsia" w:ascii="方正仿宋_GBK" w:eastAsia="方正仿宋_GBK"/>
          <w:b/>
          <w:sz w:val="28"/>
        </w:rPr>
        <w:t>1</w:t>
      </w:r>
      <w:r>
        <w:rPr>
          <w:rFonts w:hint="eastAsia" w:ascii="方正仿宋_GBK" w:eastAsia="方正仿宋_GBK"/>
          <w:b/>
          <w:sz w:val="28"/>
          <w:lang w:val="en-US" w:eastAsia="zh-CN"/>
        </w:rPr>
        <w:t>0</w:t>
      </w:r>
      <w:r>
        <w:rPr>
          <w:rFonts w:hint="eastAsia" w:ascii="方正仿宋_GBK" w:eastAsia="方正仿宋_GBK"/>
          <w:b/>
          <w:sz w:val="28"/>
        </w:rPr>
        <w:t>.公务用车购置费绩效目标表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19、公务用车购置费绩效目标表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13052521O4QK7HF9UMEMO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公务用车购置费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w:t>
            </w:r>
            <w:r>
              <w:rPr>
                <w:rFonts w:ascii="方正书宋_GBK" w:eastAsia="方正书宋_GBK"/>
              </w:rPr>
              <w:t>1</w:t>
            </w:r>
            <w:r>
              <w:rPr>
                <w:rFonts w:hint="eastAsia" w:ascii="方正书宋_GBK" w:eastAsia="方正书宋_GBK"/>
              </w:rPr>
              <w:t>辆中巴车</w:t>
            </w:r>
            <w:r>
              <w:rPr>
                <w:rFonts w:ascii="方正书宋_GBK" w:eastAsia="方正书宋_GBK"/>
              </w:rPr>
              <w:t>,5</w:t>
            </w:r>
            <w:r>
              <w:rPr>
                <w:rFonts w:hint="eastAsia" w:ascii="方正书宋_GBK" w:eastAsia="方正书宋_GBK"/>
              </w:rPr>
              <w:t>辆朗逸</w:t>
            </w:r>
            <w:r>
              <w:rPr>
                <w:rFonts w:ascii="方正书宋_GBK" w:eastAsia="方正书宋_GBK"/>
              </w:rPr>
              <w:t>,1</w:t>
            </w:r>
            <w:r>
              <w:rPr>
                <w:rFonts w:hint="eastAsia" w:ascii="方正书宋_GBK" w:eastAsia="方正书宋_GBK"/>
              </w:rPr>
              <w:t>辆桑塔纳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w:t>
            </w:r>
            <w:r>
              <w:rPr>
                <w:rFonts w:ascii="方正书宋_GBK" w:eastAsia="方正书宋_GBK"/>
              </w:rPr>
              <w:t>1</w:t>
            </w:r>
            <w:r>
              <w:rPr>
                <w:rFonts w:hint="eastAsia" w:ascii="方正书宋_GBK" w:eastAsia="方正书宋_GBK"/>
              </w:rPr>
              <w:t>辆中巴车</w:t>
            </w:r>
          </w:p>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辆朗逸</w:t>
            </w:r>
          </w:p>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rPr>
              <w:t>辆桑塔纳</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公车购置率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公车购置数量占全年购置计划的比例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购买车辆的计划达到</w:t>
            </w:r>
            <w:r>
              <w:rPr>
                <w:rFonts w:ascii="方正书宋_GBK" w:eastAsia="方正书宋_GBK"/>
              </w:rPr>
              <w:t>10%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公车购置支出率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公车购买支出费用占全年公车购置费用的比例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车辆购置小于全年的运维费</w:t>
            </w:r>
            <w:r>
              <w:rPr>
                <w:rFonts w:ascii="方正书宋_GBK" w:eastAsia="方正书宋_GBK"/>
              </w:rPr>
              <w:t>10%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购置费小于全县购车的</w:t>
            </w:r>
            <w:r>
              <w:rPr>
                <w:rFonts w:ascii="方正书宋_GBK" w:eastAsia="方正书宋_GBK"/>
              </w:rPr>
              <w:t>30%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公车使用率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新购置公车使用量占购置公车数量比例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车辆购置小于</w:t>
            </w:r>
            <w:r>
              <w:rPr>
                <w:rFonts w:ascii="方正书宋_GBK" w:eastAsia="方正书宋_GBK"/>
              </w:rPr>
              <w:t>10%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优质公车占公车购置数量的比例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优质公车购置占公车购置数量的比例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购买车辆使用效果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各单位对新车的满意度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车辆编制数</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5939419"/>
      <w:r>
        <w:rPr>
          <w:rFonts w:hint="eastAsia" w:ascii="方正仿宋_GBK" w:eastAsia="方正仿宋_GBK"/>
          <w:b/>
          <w:sz w:val="28"/>
          <w:lang w:val="en-US" w:eastAsia="zh-CN"/>
        </w:rPr>
        <w:t>11</w:t>
      </w:r>
      <w:r>
        <w:rPr>
          <w:rFonts w:hint="eastAsia" w:ascii="方正仿宋_GBK" w:eastAsia="方正仿宋_GBK"/>
          <w:b/>
          <w:sz w:val="28"/>
        </w:rPr>
        <w:t>.公务用车运行维护费绩效目标表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20、公务用车运行维护费绩效目标表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13052521OEU2HVZUZE2Z9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公务用车运行维护费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全年确保县直各单位公车燃油费、维修费、保险费、过桥费、机动车检测费，保障各单位车辆正常运行，工作顺利开展。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保领导调研、接待、处理突发紧急事件，保证其他各类符合条件的公务出行需要。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全年确保县直各单位公车燃油费、维修费、保险费、过桥费、机动车检测费，保障各单位车辆正常运行，工作顺利开展。</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保障执法单位车辆正常运行</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公务用车入保险率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入保险的公务用车量占全部公务用车的比例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入保险的公务用车数量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入保险的公务用车数量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运行保障成本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车辆全部正常运行</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车辆全部正常运行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公务用车检测率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检测完成的公务用车量占全部公务用车的比例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检测完成的公务用车量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检测完成的公务用车量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过桥费支出率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过桥费支出量占全部公车过桥费需支出量的比例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过桥费支出费量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过桥费支出费量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维修公车量占需要维修的比例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维修公车量占需要维修的比例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使用公车满意的单位量</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领导使用公车满意度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领导使用公车满意度</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领导出行保障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出车率</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6" w:name="_Toc65939420"/>
      <w:r>
        <w:rPr>
          <w:rFonts w:hint="eastAsia" w:ascii="方正仿宋_GBK" w:eastAsia="方正仿宋_GBK"/>
          <w:b/>
          <w:sz w:val="28"/>
          <w:lang w:val="en-US" w:eastAsia="zh-CN"/>
        </w:rPr>
        <w:t>12</w:t>
      </w:r>
      <w:r>
        <w:rPr>
          <w:rFonts w:hint="eastAsia" w:ascii="方正仿宋_GBK" w:eastAsia="方正仿宋_GBK"/>
          <w:b/>
          <w:sz w:val="28"/>
        </w:rPr>
        <w:t>.机关办公费绩效目标表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21、机关办公费绩效目标表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201004</w:t>
            </w:r>
            <w:r>
              <w:rPr>
                <w:rFonts w:hint="eastAsia" w:ascii="方正书宋_GBK" w:eastAsia="方正书宋_GBK"/>
                <w:b/>
              </w:rPr>
              <w:t>隆尧县机关事务管理局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13052521ZPVHQLGEV7CME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机关办公费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lang w:val="en-US" w:eastAsia="zh-CN"/>
              </w:rPr>
              <w:t>.</w:t>
            </w:r>
            <w:r>
              <w:rPr>
                <w:rFonts w:ascii="方正书宋_GBK" w:eastAsia="方正书宋_GBK"/>
              </w:rPr>
              <w:t>9748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95</w:t>
            </w:r>
            <w:r>
              <w:rPr>
                <w:rFonts w:hint="eastAsia" w:ascii="方正书宋_GBK" w:eastAsia="方正书宋_GBK"/>
                <w:lang w:val="en-US" w:eastAsia="zh-CN"/>
              </w:rPr>
              <w:t>.</w:t>
            </w:r>
            <w:r>
              <w:rPr>
                <w:rFonts w:ascii="方正书宋_GBK" w:eastAsia="方正书宋_GBK"/>
              </w:rPr>
              <w:t>9748</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办公费</w:t>
            </w:r>
            <w:r>
              <w:rPr>
                <w:rFonts w:ascii="方正书宋_GBK" w:eastAsia="方正书宋_GBK"/>
              </w:rPr>
              <w:t>15</w:t>
            </w:r>
            <w:r>
              <w:rPr>
                <w:rFonts w:hint="eastAsia" w:ascii="方正书宋_GBK" w:eastAsia="方正书宋_GBK"/>
              </w:rPr>
              <w:t>人</w:t>
            </w:r>
            <w:r>
              <w:rPr>
                <w:rFonts w:ascii="方正书宋_GBK" w:eastAsia="方正书宋_GBK"/>
              </w:rPr>
              <w:t>/</w:t>
            </w:r>
            <w:r>
              <w:rPr>
                <w:rFonts w:hint="eastAsia" w:ascii="方正书宋_GBK" w:eastAsia="方正书宋_GBK"/>
              </w:rPr>
              <w:t>年</w:t>
            </w:r>
            <w:r>
              <w:rPr>
                <w:rFonts w:ascii="方正书宋_GBK" w:eastAsia="方正书宋_GBK"/>
              </w:rPr>
              <w:t>X3000</w:t>
            </w:r>
            <w:r>
              <w:rPr>
                <w:rFonts w:hint="eastAsia" w:ascii="方正书宋_GBK" w:eastAsia="方正书宋_GBK"/>
              </w:rPr>
              <w:t>元</w:t>
            </w:r>
            <w:r>
              <w:rPr>
                <w:rFonts w:ascii="方正书宋_GBK" w:eastAsia="方正书宋_GBK"/>
              </w:rPr>
              <w:t>,</w:t>
            </w:r>
            <w:r>
              <w:rPr>
                <w:rFonts w:hint="eastAsia" w:ascii="方正书宋_GBK" w:eastAsia="方正书宋_GBK"/>
              </w:rPr>
              <w:t>印花费办公用房有关资料</w:t>
            </w:r>
            <w:r>
              <w:rPr>
                <w:rFonts w:ascii="方正书宋_GBK" w:eastAsia="方正书宋_GBK"/>
              </w:rPr>
              <w:t>10000</w:t>
            </w:r>
            <w:r>
              <w:rPr>
                <w:rFonts w:hint="eastAsia" w:ascii="方正书宋_GBK" w:eastAsia="方正书宋_GBK"/>
              </w:rPr>
              <w:t>元</w:t>
            </w:r>
            <w:r>
              <w:rPr>
                <w:rFonts w:ascii="方正书宋_GBK" w:eastAsia="方正书宋_GBK"/>
              </w:rPr>
              <w:t>,</w:t>
            </w:r>
            <w:r>
              <w:rPr>
                <w:rFonts w:hint="eastAsia" w:ascii="方正书宋_GBK" w:eastAsia="方正书宋_GBK"/>
              </w:rPr>
              <w:t>公车改革及管理有关文件</w:t>
            </w:r>
            <w:r>
              <w:rPr>
                <w:rFonts w:ascii="方正书宋_GBK" w:eastAsia="方正书宋_GBK"/>
              </w:rPr>
              <w:t>10000</w:t>
            </w:r>
            <w:r>
              <w:rPr>
                <w:rFonts w:hint="eastAsia" w:ascii="方正书宋_GBK" w:eastAsia="方正书宋_GBK"/>
              </w:rPr>
              <w:t>元，承租国有资产临街门市的租户正常运行</w:t>
            </w:r>
            <w:r>
              <w:rPr>
                <w:rFonts w:ascii="方正书宋_GBK" w:eastAsia="方正书宋_GBK"/>
              </w:rPr>
              <w:t>,</w:t>
            </w:r>
            <w:r>
              <w:rPr>
                <w:rFonts w:hint="eastAsia" w:ascii="方正书宋_GBK" w:eastAsia="方正书宋_GBK"/>
              </w:rPr>
              <w:t>办公用房的正常运行</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确保单位全年人员日常办公费用的使用，保障单位的顺利运行。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确保租赁门市正常运行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办公用房的正常使用</w:t>
            </w:r>
          </w:p>
        </w:tc>
      </w:tr>
    </w:tbl>
    <w:p>
      <w:pPr>
        <w:spacing w:line="14" w:lineRule="exact"/>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按局人员数量支出日常办公费用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按局人员数量支出日常办公费用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办公人员使用率</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投诉表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设施设备正常运转率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机关办公设施设备维修维护完好程度及正常运转效率。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设备正常使用记录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差旅费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保障日常监察和督察工作，及时报销</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办公人员的投诉</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成本控制管理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在预算资金范围完成项目实施</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使用国有资产房租维修情况</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决算数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工作效率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激发工作热情，提高工作效率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签到表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服务受益对象满意度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服务受益对象满意人数占总受益人数比例（抽样调查）</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办公人员的投诉率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投诉表</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left"/>
        <w:outlineLvl w:val="1"/>
        <w:rPr>
          <w:rFonts w:ascii="方正仿宋_GBK" w:eastAsia="方正仿宋_GBK"/>
          <w:b/>
          <w:color w:val="C0504D" w:themeColor="accent2"/>
          <w:sz w:val="28"/>
          <w14:textFill>
            <w14:solidFill>
              <w14:schemeClr w14:val="accent2"/>
            </w14:solidFill>
          </w14:textFill>
        </w:r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w:t>
      </w:r>
      <w:r>
        <w:rPr>
          <w:rFonts w:hint="eastAsia" w:ascii="Times New Roman" w:hAnsi="Times New Roman" w:eastAsia="仿宋" w:cs="Times New Roman"/>
          <w:sz w:val="32"/>
          <w:szCs w:val="24"/>
          <w:lang w:val="en-US" w:eastAsia="zh-CN"/>
        </w:rPr>
        <w:t>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214.5</w:t>
      </w:r>
      <w:r>
        <w:rPr>
          <w:rFonts w:hint="eastAsia" w:ascii="Times New Roman" w:hAnsi="Times New Roman" w:eastAsia="仿宋" w:cs="Times New Roman"/>
          <w:sz w:val="32"/>
          <w:szCs w:val="24"/>
        </w:rPr>
        <w:t>万</w:t>
      </w:r>
      <w:r>
        <w:rPr>
          <w:rFonts w:ascii="Times New Roman" w:hAnsi="Times New Roman" w:eastAsia="仿宋" w:cs="Times New Roman"/>
          <w:sz w:val="32"/>
          <w:szCs w:val="24"/>
        </w:rPr>
        <w:t>元。具体内容见下表。</w:t>
      </w:r>
    </w:p>
    <w:p>
      <w:pPr>
        <w:ind w:firstLine="640" w:firstLineChars="200"/>
        <w:jc w:val="center"/>
        <w:outlineLvl w:val="0"/>
        <w:rPr>
          <w:rFonts w:hint="eastAsia" w:ascii="Times New Roman" w:hAnsi="Times New Roman" w:eastAsia="仿宋" w:cs="Times New Roman"/>
          <w:sz w:val="32"/>
          <w:szCs w:val="24"/>
        </w:rPr>
      </w:pPr>
    </w:p>
    <w:p>
      <w:pPr>
        <w:jc w:val="center"/>
        <w:outlineLvl w:val="1"/>
        <w:rPr>
          <w:rFonts w:hint="eastAsia" w:ascii="Times New Roman" w:hAnsi="宋体"/>
          <w:sz w:val="32"/>
        </w:rPr>
      </w:pPr>
      <w:bookmarkStart w:id="7" w:name="_Toc66024403"/>
      <w:r>
        <w:rPr>
          <w:rFonts w:hint="eastAsia" w:ascii="方正小标宋_GBK" w:eastAsia="方正小标宋_GBK"/>
          <w:sz w:val="32"/>
        </w:rPr>
        <w:t>部门政府采购预算</w:t>
      </w:r>
      <w:bookmarkEnd w:id="7"/>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1045"/>
        <w:gridCol w:w="996"/>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隆尧县机关事务管理局小计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hint="eastAsia"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hint="eastAsia"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045" w:type="dxa"/>
            <w:shd w:val="clear" w:color="auto" w:fill="auto"/>
            <w:vAlign w:val="center"/>
          </w:tcPr>
          <w:p>
            <w:pPr>
              <w:spacing w:line="300" w:lineRule="exact"/>
              <w:jc w:val="right"/>
              <w:rPr>
                <w:rFonts w:ascii="方正书宋_GBK" w:eastAsia="方正书宋_GBK"/>
                <w:b/>
              </w:rPr>
            </w:pPr>
          </w:p>
        </w:tc>
        <w:tc>
          <w:tcPr>
            <w:tcW w:w="996" w:type="dxa"/>
            <w:shd w:val="clear" w:color="auto" w:fill="auto"/>
            <w:vAlign w:val="center"/>
          </w:tcPr>
          <w:p>
            <w:pPr>
              <w:spacing w:line="300" w:lineRule="exact"/>
              <w:jc w:val="right"/>
              <w:rPr>
                <w:rFonts w:ascii="方正书宋_GBK" w:eastAsia="方正书宋_GBK"/>
                <w:b/>
              </w:rPr>
            </w:pPr>
            <w:r>
              <w:rPr>
                <w:rFonts w:ascii="方正书宋_GBK" w:eastAsia="方正书宋_GBK"/>
                <w:b/>
              </w:rPr>
              <w:t>214</w:t>
            </w:r>
            <w:r>
              <w:rPr>
                <w:rFonts w:hint="eastAsia" w:ascii="方正书宋_GBK" w:eastAsia="方正书宋_GBK"/>
                <w:b/>
                <w:lang w:val="en-US" w:eastAsia="zh-CN"/>
              </w:rPr>
              <w:t>.</w:t>
            </w:r>
            <w:r>
              <w:rPr>
                <w:rFonts w:ascii="方正书宋_GBK" w:eastAsia="方正书宋_GBK"/>
                <w:b/>
              </w:rPr>
              <w:t>5</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214</w:t>
            </w:r>
            <w:r>
              <w:rPr>
                <w:rFonts w:hint="eastAsia" w:ascii="方正书宋_GBK" w:eastAsia="方正书宋_GBK"/>
                <w:b/>
                <w:lang w:val="en-US" w:eastAsia="zh-CN"/>
              </w:rPr>
              <w:t>.</w:t>
            </w:r>
            <w:r>
              <w:rPr>
                <w:rFonts w:ascii="方正书宋_GBK" w:eastAsia="方正书宋_GBK"/>
                <w:b/>
              </w:rPr>
              <w:t>5</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公务用车购置费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轿车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A02030501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12</w:t>
            </w:r>
            <w:r>
              <w:rPr>
                <w:rFonts w:hint="eastAsia" w:ascii="方正书宋_GBK" w:eastAsia="方正书宋_GBK"/>
                <w:lang w:val="en-US" w:eastAsia="zh-CN"/>
              </w:rPr>
              <w:t>.</w:t>
            </w:r>
            <w:r>
              <w:rPr>
                <w:rFonts w:ascii="方正书宋_GBK" w:eastAsia="方正书宋_GBK"/>
              </w:rPr>
              <w:t>1258</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629</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w:t>
            </w:r>
            <w:r>
              <w:rPr>
                <w:rFonts w:hint="eastAsia" w:ascii="方正书宋_GBK" w:eastAsia="方正书宋_GBK"/>
                <w:lang w:val="en-US" w:eastAsia="zh-CN"/>
              </w:rPr>
              <w:t>.</w:t>
            </w:r>
            <w:r>
              <w:rPr>
                <w:rFonts w:ascii="方正书宋_GBK" w:eastAsia="方正书宋_GBK"/>
              </w:rPr>
              <w:t>629</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公务用车购置费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轿车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A02030501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3887</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3887</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w:t>
            </w:r>
            <w:r>
              <w:rPr>
                <w:rFonts w:hint="eastAsia" w:ascii="方正书宋_GBK" w:eastAsia="方正书宋_GBK"/>
                <w:lang w:val="en-US" w:eastAsia="zh-CN"/>
              </w:rPr>
              <w:t>.</w:t>
            </w:r>
            <w:r>
              <w:rPr>
                <w:rFonts w:ascii="方正书宋_GBK" w:eastAsia="方正书宋_GBK"/>
              </w:rPr>
              <w:t>3887</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公务用车购置费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大中型客车</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A02030602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9823</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9823</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48</w:t>
            </w:r>
            <w:r>
              <w:rPr>
                <w:rFonts w:hint="eastAsia" w:ascii="方正书宋_GBK" w:eastAsia="方正书宋_GBK"/>
                <w:lang w:val="en-US" w:eastAsia="zh-CN"/>
              </w:rPr>
              <w:t>.</w:t>
            </w:r>
            <w:r>
              <w:rPr>
                <w:rFonts w:ascii="方正书宋_GBK" w:eastAsia="方正书宋_GBK"/>
              </w:rPr>
              <w:t>9823</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车辆维修和保养服务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C050301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40</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40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车辆加油服务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C050302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34</w:t>
            </w:r>
            <w:r>
              <w:rPr>
                <w:rFonts w:hint="eastAsia" w:ascii="方正书宋_GBK" w:eastAsia="方正书宋_GBK"/>
                <w:lang w:val="en-US" w:eastAsia="zh-CN"/>
              </w:rPr>
              <w:t>.</w:t>
            </w:r>
            <w:r>
              <w:rPr>
                <w:rFonts w:ascii="方正书宋_GBK" w:eastAsia="方正书宋_GBK"/>
              </w:rPr>
              <w:t>50</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34</w:t>
            </w:r>
            <w:r>
              <w:rPr>
                <w:rFonts w:hint="eastAsia" w:ascii="方正书宋_GBK" w:eastAsia="方正书宋_GBK"/>
                <w:lang w:val="en-US" w:eastAsia="zh-CN"/>
              </w:rPr>
              <w:t>.</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34</w:t>
            </w:r>
            <w:r>
              <w:rPr>
                <w:rFonts w:hint="eastAsia" w:ascii="方正书宋_GBK" w:eastAsia="方正书宋_GBK"/>
                <w:lang w:val="en-US" w:eastAsia="zh-CN"/>
              </w:rPr>
              <w:t>.</w:t>
            </w:r>
            <w:r>
              <w:rPr>
                <w:rFonts w:ascii="方正书宋_GBK" w:eastAsia="方正书宋_GBK"/>
              </w:rPr>
              <w:t>5</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94</w:t>
            </w:r>
            <w:r>
              <w:rPr>
                <w:rFonts w:hint="eastAsia" w:ascii="方正书宋_GBK" w:eastAsia="方正书宋_GBK"/>
                <w:lang w:val="en-US" w:eastAsia="zh-CN"/>
              </w:rPr>
              <w:t>.</w:t>
            </w:r>
            <w:r>
              <w:rPr>
                <w:rFonts w:ascii="方正书宋_GBK" w:eastAsia="方正书宋_GBK"/>
              </w:rPr>
              <w:t>5</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机动车保险服务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C15040201</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w:t>
            </w:r>
          </w:p>
        </w:tc>
        <w:tc>
          <w:tcPr>
            <w:tcW w:w="1045"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96"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ind w:firstLine="640" w:firstLineChars="200"/>
        <w:jc w:val="center"/>
        <w:outlineLvl w:val="0"/>
        <w:rPr>
          <w:rFonts w:hint="eastAsia" w:ascii="Times New Roman" w:hAnsi="Times New Roman" w:eastAsia="仿宋" w:cs="Times New Roman"/>
          <w:sz w:val="32"/>
          <w:szCs w:val="24"/>
        </w:rPr>
      </w:pPr>
    </w:p>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spacing w:line="580" w:lineRule="atLeast"/>
        <w:ind w:firstLine="640"/>
        <w:jc w:val="left"/>
        <w:rPr>
          <w:rFonts w:ascii="仿宋" w:hAnsi="仿宋" w:eastAsia="仿宋" w:cs="仿宋_GB2312"/>
          <w:sz w:val="32"/>
          <w:szCs w:val="32"/>
        </w:rPr>
      </w:pPr>
      <w:r>
        <w:rPr>
          <w:rFonts w:hint="eastAsia" w:ascii="仿宋" w:hAnsi="仿宋" w:eastAsia="仿宋" w:cs="仿宋_GB2312"/>
          <w:sz w:val="32"/>
          <w:szCs w:val="32"/>
        </w:rPr>
        <w:t>我单位20</w:t>
      </w:r>
      <w:r>
        <w:rPr>
          <w:rFonts w:hint="eastAsia" w:ascii="仿宋" w:hAnsi="仿宋" w:eastAsia="仿宋" w:cs="仿宋_GB2312"/>
          <w:sz w:val="32"/>
          <w:szCs w:val="32"/>
          <w:lang w:val="en-US" w:eastAsia="zh-CN"/>
        </w:rPr>
        <w:t>20</w:t>
      </w:r>
      <w:r>
        <w:rPr>
          <w:rFonts w:hint="eastAsia" w:ascii="仿宋" w:hAnsi="仿宋" w:eastAsia="仿宋" w:cs="仿宋_GB2312"/>
          <w:sz w:val="32"/>
          <w:szCs w:val="32"/>
        </w:rPr>
        <w:t>年末固定资产总额</w:t>
      </w:r>
      <w:r>
        <w:rPr>
          <w:rFonts w:hint="eastAsia" w:ascii="仿宋" w:hAnsi="仿宋" w:eastAsia="仿宋" w:cs="仿宋_GB2312"/>
          <w:color w:val="000000"/>
          <w:sz w:val="32"/>
          <w:szCs w:val="32"/>
          <w:lang w:val="en-US" w:eastAsia="zh-CN"/>
        </w:rPr>
        <w:t>2199.38</w:t>
      </w:r>
      <w:r>
        <w:rPr>
          <w:rFonts w:hint="eastAsia" w:ascii="仿宋" w:hAnsi="仿宋" w:eastAsia="仿宋" w:cs="仿宋_GB2312"/>
          <w:sz w:val="32"/>
          <w:szCs w:val="32"/>
        </w:rPr>
        <w:t>万元，其中：房屋</w:t>
      </w:r>
      <w:r>
        <w:rPr>
          <w:rFonts w:hint="eastAsia" w:ascii="仿宋" w:hAnsi="仿宋" w:eastAsia="仿宋" w:cs="仿宋_GB2312"/>
          <w:sz w:val="32"/>
          <w:szCs w:val="32"/>
          <w:lang w:val="en-US" w:eastAsia="zh-CN"/>
        </w:rPr>
        <w:t>25861.38</w:t>
      </w:r>
      <w:r>
        <w:rPr>
          <w:rFonts w:hint="eastAsia" w:ascii="仿宋" w:hAnsi="仿宋" w:eastAsia="仿宋" w:cs="仿宋_GB2312"/>
          <w:sz w:val="32"/>
          <w:szCs w:val="32"/>
        </w:rPr>
        <w:t>平方米，价值</w:t>
      </w:r>
      <w:r>
        <w:rPr>
          <w:rFonts w:hint="eastAsia" w:ascii="仿宋" w:hAnsi="仿宋" w:eastAsia="仿宋" w:cs="仿宋_GB2312"/>
          <w:sz w:val="32"/>
          <w:szCs w:val="32"/>
          <w:lang w:val="en-US" w:eastAsia="zh-CN"/>
        </w:rPr>
        <w:t>1114.64</w:t>
      </w:r>
      <w:r>
        <w:rPr>
          <w:rFonts w:hint="eastAsia" w:ascii="仿宋" w:hAnsi="仿宋" w:eastAsia="仿宋" w:cs="仿宋_GB2312"/>
          <w:sz w:val="32"/>
          <w:szCs w:val="32"/>
        </w:rPr>
        <w:t>万元；公车占用数量</w:t>
      </w:r>
      <w:r>
        <w:rPr>
          <w:rFonts w:hint="eastAsia" w:ascii="仿宋" w:hAnsi="仿宋" w:eastAsia="仿宋" w:cs="仿宋_GB2312"/>
          <w:sz w:val="32"/>
          <w:szCs w:val="32"/>
          <w:lang w:val="en-US" w:eastAsia="zh-CN"/>
        </w:rPr>
        <w:t>74</w:t>
      </w:r>
      <w:r>
        <w:rPr>
          <w:rFonts w:hint="eastAsia" w:ascii="仿宋" w:hAnsi="仿宋" w:eastAsia="仿宋" w:cs="仿宋_GB2312"/>
          <w:sz w:val="32"/>
          <w:szCs w:val="32"/>
        </w:rPr>
        <w:t>辆，价值</w:t>
      </w:r>
      <w:r>
        <w:rPr>
          <w:rFonts w:hint="eastAsia" w:ascii="仿宋" w:hAnsi="仿宋" w:eastAsia="仿宋" w:cs="仿宋_GB2312"/>
          <w:sz w:val="32"/>
          <w:szCs w:val="32"/>
          <w:lang w:val="en-US" w:eastAsia="zh-CN"/>
        </w:rPr>
        <w:t>996.07</w:t>
      </w:r>
      <w:r>
        <w:rPr>
          <w:rFonts w:hint="eastAsia" w:ascii="仿宋" w:hAnsi="仿宋" w:eastAsia="仿宋" w:cs="仿宋_GB2312"/>
          <w:sz w:val="32"/>
          <w:szCs w:val="32"/>
        </w:rPr>
        <w:t>万元；其他固定资产</w:t>
      </w:r>
      <w:r>
        <w:rPr>
          <w:rFonts w:hint="eastAsia" w:ascii="仿宋" w:hAnsi="仿宋" w:eastAsia="仿宋" w:cs="Times New Roman"/>
          <w:color w:val="000000"/>
          <w:sz w:val="32"/>
          <w:szCs w:val="32"/>
          <w:lang w:val="en-US" w:eastAsia="zh-CN"/>
        </w:rPr>
        <w:t>88.67</w:t>
      </w:r>
      <w:r>
        <w:rPr>
          <w:rFonts w:hint="eastAsia" w:ascii="仿宋" w:hAnsi="仿宋" w:eastAsia="仿宋" w:cs="仿宋_GB2312"/>
          <w:sz w:val="32"/>
          <w:szCs w:val="32"/>
        </w:rPr>
        <w:t>万元。</w:t>
      </w:r>
      <w:r>
        <w:rPr>
          <w:rFonts w:ascii="仿宋" w:hAnsi="仿宋" w:eastAsia="仿宋" w:cs="Times New Roman"/>
          <w:color w:val="000000"/>
          <w:sz w:val="32"/>
          <w:szCs w:val="32"/>
        </w:rPr>
        <w:t>本年度各单位拟购置固定资产</w:t>
      </w:r>
      <w:r>
        <w:rPr>
          <w:rFonts w:hint="eastAsia" w:ascii="仿宋" w:hAnsi="仿宋" w:eastAsia="仿宋" w:cs="Times New Roman"/>
          <w:color w:val="000000"/>
          <w:sz w:val="32"/>
          <w:szCs w:val="32"/>
        </w:rPr>
        <w:t xml:space="preserve">总额为 </w:t>
      </w:r>
      <w:r>
        <w:rPr>
          <w:rFonts w:hint="eastAsia" w:ascii="仿宋" w:hAnsi="仿宋" w:eastAsia="仿宋" w:cs="Times New Roman"/>
          <w:color w:val="000000"/>
          <w:sz w:val="32"/>
          <w:szCs w:val="32"/>
          <w:lang w:val="en-US" w:eastAsia="zh-CN"/>
        </w:rPr>
        <w:t>120</w:t>
      </w:r>
      <w:r>
        <w:rPr>
          <w:rFonts w:hint="eastAsia" w:ascii="仿宋" w:hAnsi="仿宋" w:eastAsia="仿宋" w:cs="Times New Roman"/>
          <w:color w:val="000000"/>
          <w:sz w:val="32"/>
          <w:szCs w:val="32"/>
        </w:rPr>
        <w:t xml:space="preserve"> </w:t>
      </w:r>
      <w:r>
        <w:rPr>
          <w:rFonts w:ascii="仿宋" w:hAnsi="仿宋" w:eastAsia="仿宋" w:cs="Times New Roman"/>
          <w:color w:val="000000"/>
          <w:sz w:val="32"/>
          <w:szCs w:val="32"/>
        </w:rPr>
        <w:t>万元，主要</w:t>
      </w:r>
      <w:r>
        <w:rPr>
          <w:rFonts w:hint="eastAsia" w:ascii="仿宋" w:hAnsi="仿宋" w:eastAsia="仿宋" w:cs="Times New Roman"/>
          <w:color w:val="000000"/>
          <w:sz w:val="32"/>
          <w:szCs w:val="32"/>
          <w:lang w:eastAsia="zh-CN"/>
        </w:rPr>
        <w:t>购置公务用车</w:t>
      </w:r>
      <w:r>
        <w:rPr>
          <w:rFonts w:ascii="仿宋" w:hAnsi="仿宋" w:eastAsia="仿宋" w:cs="Times New Roman"/>
          <w:color w:val="000000"/>
          <w:sz w:val="32"/>
          <w:szCs w:val="32"/>
        </w:rPr>
        <w:t>，已列入政府采购预算表</w:t>
      </w:r>
      <w:r>
        <w:rPr>
          <w:rFonts w:hint="eastAsia" w:ascii="仿宋" w:hAnsi="仿宋" w:eastAsia="仿宋" w:cs="Times New Roman"/>
          <w:color w:val="000000"/>
          <w:sz w:val="32"/>
          <w:szCs w:val="32"/>
        </w:rPr>
        <w:t>，详见政府采购预算表。</w:t>
      </w:r>
    </w:p>
    <w:p>
      <w:pPr>
        <w:ind w:firstLine="640"/>
        <w:rPr>
          <w:rFonts w:ascii="Times New Roman" w:hAnsi="Times New Roman" w:eastAsia="仿宋" w:cs="Times New Roman"/>
          <w:color w:val="000000"/>
          <w:sz w:val="32"/>
          <w:szCs w:val="32"/>
        </w:rPr>
      </w:pP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hint="eastAsia"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lang w:eastAsia="zh-CN"/>
              </w:rPr>
              <w:t>隆尧县机关事务管理局</w:t>
            </w:r>
            <w:r>
              <w:rPr>
                <w:rFonts w:hint="eastAsia" w:ascii="宋体" w:hAnsi="宋体" w:cs="宋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隆尧县机关事务管理局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w:t>
            </w:r>
            <w:r>
              <w:rPr>
                <w:rFonts w:hint="eastAsia" w:ascii="Times New Roman" w:hAnsi="Times New Roman" w:eastAsia="仿宋" w:cs="Times New Roman"/>
                <w:kern w:val="0"/>
                <w:sz w:val="22"/>
                <w:lang w:val="en-US" w:eastAsia="zh-CN"/>
              </w:rPr>
              <w:t>20</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rPr>
            </w:pPr>
            <w:r>
              <w:rPr>
                <w:rFonts w:hint="eastAsia" w:ascii="仿宋" w:hAnsi="仿宋" w:eastAsia="仿宋" w:cs="仿宋_GB2312"/>
                <w:color w:val="000000"/>
                <w:sz w:val="32"/>
                <w:szCs w:val="32"/>
                <w:lang w:val="en-US" w:eastAsia="zh-CN"/>
              </w:rPr>
              <w:t>2199.38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仿宋" w:hAnsi="仿宋" w:eastAsia="仿宋" w:cs="仿宋_GB2312"/>
                <w:sz w:val="32"/>
                <w:szCs w:val="32"/>
                <w:lang w:val="en-US" w:eastAsia="zh-CN"/>
              </w:rPr>
              <w:t>25861.38</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仿宋" w:hAnsi="仿宋" w:eastAsia="仿宋" w:cs="仿宋_GB2312"/>
                <w:sz w:val="32"/>
                <w:szCs w:val="32"/>
                <w:lang w:val="en-US" w:eastAsia="zh-CN"/>
              </w:rPr>
              <w:t>1114.64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lang w:val="en-US" w:eastAsia="zh-CN"/>
              </w:rPr>
              <w:t>25861.38</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仿宋" w:hAnsi="仿宋" w:eastAsia="仿宋" w:cs="仿宋_GB2312"/>
                <w:sz w:val="32"/>
                <w:szCs w:val="32"/>
                <w:lang w:val="en-US" w:eastAsia="zh-CN"/>
              </w:rPr>
              <w:t>1114.64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仿宋" w:hAnsi="仿宋" w:eastAsia="仿宋" w:cs="仿宋_GB2312"/>
                <w:sz w:val="32"/>
                <w:szCs w:val="32"/>
                <w:lang w:val="en-US" w:eastAsia="zh-CN"/>
              </w:rPr>
              <w:t>74</w:t>
            </w:r>
          </w:p>
        </w:tc>
        <w:tc>
          <w:tcPr>
            <w:tcW w:w="5103" w:type="dxa"/>
            <w:tcBorders>
              <w:top w:val="nil"/>
              <w:left w:val="nil"/>
              <w:bottom w:val="single" w:color="auto" w:sz="4" w:space="0"/>
              <w:right w:val="single" w:color="auto" w:sz="4" w:space="0"/>
            </w:tcBorders>
            <w:vAlign w:val="center"/>
          </w:tcPr>
          <w:p>
            <w:pPr>
              <w:widowControl/>
              <w:jc w:val="center"/>
              <w:rPr>
                <w:rFonts w:hint="default" w:ascii="仿宋" w:hAnsi="仿宋" w:eastAsia="仿宋" w:cs="仿宋_GB2312"/>
                <w:sz w:val="32"/>
                <w:szCs w:val="32"/>
                <w:lang w:val="en-US" w:eastAsia="zh-CN"/>
              </w:rPr>
            </w:pPr>
            <w:r>
              <w:rPr>
                <w:rFonts w:hint="eastAsia" w:ascii="仿宋" w:hAnsi="仿宋" w:eastAsia="仿宋" w:cs="仿宋_GB2312"/>
                <w:sz w:val="32"/>
                <w:szCs w:val="32"/>
                <w:lang w:val="en-US" w:eastAsia="zh-CN"/>
              </w:rPr>
              <w:t>996.07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仿宋" w:hAnsi="仿宋" w:eastAsia="仿宋" w:cs="仿宋_GB2312"/>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仿宋" w:hAnsi="仿宋" w:eastAsia="仿宋" w:cs="仿宋_GB2312"/>
                <w:sz w:val="32"/>
                <w:szCs w:val="32"/>
                <w:lang w:val="en-US" w:eastAsia="zh-CN"/>
              </w:rPr>
            </w:pPr>
            <w:r>
              <w:rPr>
                <w:rFonts w:hint="eastAsia" w:ascii="仿宋" w:hAnsi="仿宋" w:eastAsia="仿宋" w:cs="仿宋_GB2312"/>
                <w:sz w:val="32"/>
                <w:szCs w:val="32"/>
                <w:lang w:val="en-US" w:eastAsia="zh-CN"/>
              </w:rPr>
              <w:t>88.67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eastAsia="zh-CN"/>
        </w:rPr>
        <w:t>县</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黑体" w:hAnsi="黑体" w:eastAsia="黑体" w:cs="Times New Roman"/>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1280" w:firstLineChars="400"/>
        <w:rPr>
          <w:rFonts w:hint="eastAsia" w:ascii="黑体" w:hAnsi="黑体" w:eastAsia="黑体" w:cs="Times New Roman"/>
          <w:sz w:val="32"/>
          <w:szCs w:val="32"/>
          <w:lang w:eastAsia="zh-CN"/>
        </w:rPr>
        <w:sectPr>
          <w:pgSz w:w="16838" w:h="11906" w:orient="landscape"/>
          <w:pgMar w:top="1800" w:right="1440" w:bottom="1800" w:left="1440" w:header="851" w:footer="992" w:gutter="0"/>
          <w:cols w:space="720" w:num="1"/>
          <w:docGrid w:type="lines" w:linePitch="312" w:charSpace="0"/>
        </w:sectPr>
      </w:pPr>
      <w:r>
        <w:rPr>
          <w:rFonts w:hint="eastAsia" w:ascii="黑体" w:hAnsi="黑体" w:eastAsia="黑体" w:cs="Times New Roman"/>
          <w:sz w:val="32"/>
          <w:szCs w:val="32"/>
          <w:lang w:eastAsia="zh-CN"/>
        </w:rPr>
        <w:t>无</w:t>
      </w:r>
    </w:p>
    <w:p>
      <w:pPr>
        <w:autoSpaceDE w:val="0"/>
        <w:autoSpaceDN w:val="0"/>
        <w:adjustRightInd w:val="0"/>
        <w:jc w:val="left"/>
        <w:rPr>
          <w:rFonts w:ascii="黑体" w:hAnsi="黑体" w:eastAsia="黑体" w:cs="Times New Roman"/>
          <w:sz w:val="32"/>
          <w:szCs w:val="32"/>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540D24"/>
    <w:multiLevelType w:val="singleLevel"/>
    <w:tmpl w:val="60540D2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dkMzFkYTQ0MDZjYjc0ZmEwMTYxOWU2NzJkYzU3ODYifQ=="/>
  </w:docVars>
  <w:rsids>
    <w:rsidRoot w:val="00EE71BA"/>
    <w:rsid w:val="00001ECF"/>
    <w:rsid w:val="000C7140"/>
    <w:rsid w:val="00121BD8"/>
    <w:rsid w:val="002D1171"/>
    <w:rsid w:val="00323B29"/>
    <w:rsid w:val="0039059E"/>
    <w:rsid w:val="003A0D95"/>
    <w:rsid w:val="00631B96"/>
    <w:rsid w:val="00715C33"/>
    <w:rsid w:val="007F0341"/>
    <w:rsid w:val="009A521C"/>
    <w:rsid w:val="00A052F8"/>
    <w:rsid w:val="00B9327F"/>
    <w:rsid w:val="00C25D96"/>
    <w:rsid w:val="00D607DA"/>
    <w:rsid w:val="00DC6EE5"/>
    <w:rsid w:val="00EE71BA"/>
    <w:rsid w:val="00F867E4"/>
    <w:rsid w:val="039C2480"/>
    <w:rsid w:val="061B1422"/>
    <w:rsid w:val="06A12E38"/>
    <w:rsid w:val="078A03D3"/>
    <w:rsid w:val="08AC0A7E"/>
    <w:rsid w:val="09B039F5"/>
    <w:rsid w:val="0E3C5AE6"/>
    <w:rsid w:val="0F7661FF"/>
    <w:rsid w:val="113913AA"/>
    <w:rsid w:val="11967974"/>
    <w:rsid w:val="13E250F3"/>
    <w:rsid w:val="161A0F95"/>
    <w:rsid w:val="18027B12"/>
    <w:rsid w:val="19004523"/>
    <w:rsid w:val="198A25DF"/>
    <w:rsid w:val="19BB6EF9"/>
    <w:rsid w:val="1B2875C6"/>
    <w:rsid w:val="1B886E14"/>
    <w:rsid w:val="1C522D0D"/>
    <w:rsid w:val="1F3F164B"/>
    <w:rsid w:val="1F80438E"/>
    <w:rsid w:val="20E82258"/>
    <w:rsid w:val="21246B24"/>
    <w:rsid w:val="215313DE"/>
    <w:rsid w:val="2228724C"/>
    <w:rsid w:val="223B1B32"/>
    <w:rsid w:val="22D71213"/>
    <w:rsid w:val="289E75E7"/>
    <w:rsid w:val="29D226DB"/>
    <w:rsid w:val="2DF7F60A"/>
    <w:rsid w:val="33461D88"/>
    <w:rsid w:val="335F0F2C"/>
    <w:rsid w:val="3419964A"/>
    <w:rsid w:val="3A4D433D"/>
    <w:rsid w:val="3B8242A6"/>
    <w:rsid w:val="3BFF0321"/>
    <w:rsid w:val="3C5C3C50"/>
    <w:rsid w:val="3D0106F2"/>
    <w:rsid w:val="3DE859ED"/>
    <w:rsid w:val="3EC8520B"/>
    <w:rsid w:val="3FD44D7F"/>
    <w:rsid w:val="411E5D11"/>
    <w:rsid w:val="43FF995A"/>
    <w:rsid w:val="47960A01"/>
    <w:rsid w:val="4B2B3A8D"/>
    <w:rsid w:val="4B2D621B"/>
    <w:rsid w:val="4B947761"/>
    <w:rsid w:val="4D816D93"/>
    <w:rsid w:val="4F29290F"/>
    <w:rsid w:val="50AB6D22"/>
    <w:rsid w:val="52AE706E"/>
    <w:rsid w:val="52D94909"/>
    <w:rsid w:val="53B106E2"/>
    <w:rsid w:val="566F6445"/>
    <w:rsid w:val="5A146C55"/>
    <w:rsid w:val="5AD619FA"/>
    <w:rsid w:val="5C946F49"/>
    <w:rsid w:val="5C962E9C"/>
    <w:rsid w:val="5CDC60A9"/>
    <w:rsid w:val="5DAB09D0"/>
    <w:rsid w:val="6038115B"/>
    <w:rsid w:val="60890458"/>
    <w:rsid w:val="60891113"/>
    <w:rsid w:val="61B72CE8"/>
    <w:rsid w:val="67FB4425"/>
    <w:rsid w:val="696173F8"/>
    <w:rsid w:val="698000BF"/>
    <w:rsid w:val="69961716"/>
    <w:rsid w:val="6D1D1BCE"/>
    <w:rsid w:val="6E1C2FD8"/>
    <w:rsid w:val="6E615565"/>
    <w:rsid w:val="707E4893"/>
    <w:rsid w:val="70DF1399"/>
    <w:rsid w:val="73A07755"/>
    <w:rsid w:val="74514AAB"/>
    <w:rsid w:val="754568DE"/>
    <w:rsid w:val="76A6164C"/>
    <w:rsid w:val="77EF461A"/>
    <w:rsid w:val="77FC5483"/>
    <w:rsid w:val="7A594545"/>
    <w:rsid w:val="7AE77D42"/>
    <w:rsid w:val="7D987183"/>
    <w:rsid w:val="7FBE0942"/>
    <w:rsid w:val="7FFD6E45"/>
    <w:rsid w:val="9EBFCB6C"/>
    <w:rsid w:val="BECCBE50"/>
    <w:rsid w:val="F5DF5657"/>
    <w:rsid w:val="FA7B9746"/>
    <w:rsid w:val="FFF300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Plain Text"/>
    <w:basedOn w:val="1"/>
    <w:qFormat/>
    <w:uiPriority w:val="99"/>
    <w:pPr>
      <w:keepNext w:val="0"/>
      <w:keepLines w:val="0"/>
      <w:widowControl/>
      <w:suppressLineNumbers w:val="0"/>
      <w:spacing w:before="0" w:beforeAutospacing="1" w:after="0" w:afterAutospacing="1"/>
      <w:ind w:left="0" w:right="0"/>
      <w:jc w:val="left"/>
    </w:pPr>
    <w:rPr>
      <w:rFonts w:hint="eastAsia" w:ascii="宋体" w:hAnsi="宋体" w:eastAsia="宋体" w:cs="宋体"/>
      <w:kern w:val="0"/>
      <w:sz w:val="24"/>
      <w:szCs w:val="24"/>
      <w:lang w:val="en-US" w:eastAsia="zh-CN" w:bidi="ar"/>
    </w:rPr>
  </w:style>
  <w:style w:type="paragraph" w:styleId="3">
    <w:name w:val="footer"/>
    <w:basedOn w:val="1"/>
    <w:link w:val="14"/>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5"/>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qFormat/>
    <w:uiPriority w:val="0"/>
    <w:rPr>
      <w:rFonts w:ascii="Times New Roman" w:hAnsi="Times New Roman" w:cs="Times New Roman"/>
      <w:szCs w:val="24"/>
    </w:rPr>
  </w:style>
  <w:style w:type="paragraph" w:styleId="6">
    <w:name w:val="footnote text"/>
    <w:basedOn w:val="1"/>
    <w:qFormat/>
    <w:uiPriority w:val="0"/>
    <w:pPr>
      <w:snapToGrid w:val="0"/>
      <w:jc w:val="left"/>
    </w:pPr>
    <w:rPr>
      <w:sz w:val="18"/>
      <w:szCs w:val="18"/>
    </w:rPr>
  </w:style>
  <w:style w:type="paragraph" w:styleId="7">
    <w:name w:val="toc 2"/>
    <w:basedOn w:val="1"/>
    <w:next w:val="1"/>
    <w:qFormat/>
    <w:uiPriority w:val="0"/>
    <w:pPr>
      <w:ind w:left="420" w:leftChars="200"/>
    </w:pPr>
    <w:rPr>
      <w:rFonts w:ascii="Times New Roman" w:hAnsi="Times New Roman" w:cs="Times New Roman"/>
      <w:szCs w:val="24"/>
    </w:rPr>
  </w:style>
  <w:style w:type="table" w:styleId="9">
    <w:name w:val="Table Grid"/>
    <w:basedOn w:val="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3"/>
    <w:semiHidden/>
    <w:qFormat/>
    <w:uiPriority w:val="0"/>
    <w:rPr>
      <w:rFonts w:ascii="Times New Roman" w:hAnsi="Times New Roman" w:eastAsia="宋体" w:cs="Times New Roman"/>
      <w:sz w:val="18"/>
      <w:szCs w:val="18"/>
    </w:rPr>
  </w:style>
  <w:style w:type="character" w:customStyle="1" w:styleId="15">
    <w:name w:val="页眉 Char"/>
    <w:link w:val="4"/>
    <w:semiHidden/>
    <w:qFormat/>
    <w:uiPriority w:val="0"/>
    <w:rPr>
      <w:rFonts w:ascii="Times New Roman" w:hAnsi="Times New Roman" w:eastAsia="宋体" w:cs="Times New Roman"/>
      <w:sz w:val="18"/>
      <w:szCs w:val="18"/>
    </w:rPr>
  </w:style>
  <w:style w:type="paragraph" w:customStyle="1" w:styleId="16">
    <w:name w:val="正文1"/>
    <w:basedOn w:val="17"/>
    <w:qFormat/>
    <w:uiPriority w:val="7"/>
    <w:pPr>
      <w:jc w:val="both"/>
    </w:pPr>
    <w:rPr>
      <w:rFonts w:ascii="Times New Roman" w:hAnsi="Times New Roman" w:eastAsia="Times New Roman"/>
      <w:sz w:val="21"/>
    </w:rPr>
  </w:style>
  <w:style w:type="paragraph" w:customStyle="1" w:styleId="17">
    <w:name w:val="[Normal]"/>
    <w:qFormat/>
    <w:uiPriority w:val="6"/>
    <w:rPr>
      <w:rFonts w:ascii="宋体" w:hAnsi="宋体" w:eastAsia="宋体" w:cs="Times New Roman"/>
      <w:sz w:val="24"/>
      <w:szCs w:val="22"/>
      <w:lang w:val="en-US" w:eastAsia="en-US" w:bidi="ar-SA"/>
    </w:rPr>
  </w:style>
  <w:style w:type="paragraph" w:customStyle="1" w:styleId="18">
    <w:name w:val="Normal"/>
    <w:basedOn w:val="17"/>
    <w:qFormat/>
    <w:uiPriority w:val="7"/>
    <w:pPr>
      <w:widowControl/>
      <w:jc w:val="both"/>
    </w:pPr>
    <w:rPr>
      <w:rFonts w:ascii="Times New Roman" w:hAnsi="Times New Roman" w:eastAsia="Times New Roman"/>
      <w:sz w:val="21"/>
    </w:rPr>
  </w:style>
  <w:style w:type="paragraph" w:customStyle="1" w:styleId="19">
    <w:name w:val="List Paragraph"/>
    <w:basedOn w:val="1"/>
    <w:hidden/>
    <w:qFormat/>
    <w:uiPriority w:val="34"/>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1"/>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5129</Words>
  <Characters>5875</Characters>
  <Lines>114</Lines>
  <Paragraphs>32</Paragraphs>
  <TotalTime>17</TotalTime>
  <ScaleCrop>false</ScaleCrop>
  <LinksUpToDate>false</LinksUpToDate>
  <CharactersWithSpaces>5917</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2017-01-25T09:29:00Z</dcterms:created>
  <dc:creator>guest</dc:creator>
  <cp:lastModifiedBy>work</cp:lastModifiedBy>
  <cp:lastPrinted>2020-01-12T07:53:00Z</cp:lastPrinted>
  <dcterms:modified xsi:type="dcterms:W3CDTF">2024-07-17T20:40:50Z</dcterms:modified>
  <cp:revision>12</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KSOSaveFontToCloudKey">
    <vt:lpwstr>443063933_embed</vt:lpwstr>
  </property>
  <property fmtid="{D5CDD505-2E9C-101B-9397-08002B2CF9AE}" pid="4" name="ICV">
    <vt:lpwstr>43F9E1FD0DFE4EF5AF414BE2A121160D</vt:lpwstr>
  </property>
</Properties>
</file>