
<file path=[Content_Types].xml><?xml version="1.0" encoding="utf-8"?>
<Types xmlns="http://schemas.openxmlformats.org/package/2006/content-types">
  <Default ContentType="application/vnd.openxmlformats-package.relationships+xml" Extension="rels"/>
  <Default ContentType="image/x-wmf" Extension="wmf"/>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thumbnail.wmf" Type="http://schemas.openxmlformats.org/package/2006/relationships/metadata/thumbnail"/><Relationship Id="rId2" Target="docProps/app.xml" Type="http://schemas.openxmlformats.org/officeDocument/2006/relationships/extended-properties"/><Relationship Id="rId3" Target="docProps/core.xml" Type="http://schemas.openxmlformats.org/package/2006/relationships/metadata/core-properties"/><Relationship Id="rId4" Target="docProps/custom.xml" Type="http://schemas.openxmlformats.org/officeDocument/2006/relationships/custom-properties"/><Relationship Id="rId5"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2023年单位预算信息公开目录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单位预算</w:t>
      </w:r>
    </w:p>
    <w:p>
      <w:r>
        <w:rPr>
          <w:rFonts w:ascii="方正楷体_GBK" w:hAnsi="方正楷体_GBK" w:eastAsia="方正楷体_GBK" w:cs="方正楷体_GBK"/>
          <w:b/>
          <w:color w:val="000000"/>
          <w:sz w:val="28"/>
        </w:rPr>
        <w:t>单位预算公开表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fldChar w:fldCharType="begin"/>
      </w:r>
      <w:r>
        <w:instrText xml:space="preserve">PAGEREF _Toc_2_2_0000000001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单位预算收入总表</w:t>
      </w:r>
      <w:r>
        <w:tab/>
      </w:r>
      <w:r>
        <w:fldChar w:fldCharType="begin"/>
      </w:r>
      <w:r>
        <w:instrText xml:space="preserve">PAGEREF _Toc_2_2_0000000002 \h</w:instrText>
      </w:r>
      <w:r>
        <w:fldChar w:fldCharType="separate"/>
      </w:r>
      <w:r>
        <w:t>6</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单位预算支出总表</w:t>
      </w:r>
      <w:r>
        <w:tab/>
      </w:r>
      <w:r>
        <w:fldChar w:fldCharType="begin"/>
      </w:r>
      <w:r>
        <w:instrText xml:space="preserve">PAGEREF _Toc_2_2_0000000003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单位预算财政拨款收支总表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单位预算一般公共预算财政拨款支出表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单位预算政府基金预算财政拨款支出表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单位预算国有资本经营预算财政拨款支出表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单位预算财政拨款“三公”经费支出表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单位预算信息公开情况说明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fldChar w:fldCharType="begin"/>
      </w:r>
      <w:r>
        <w:instrText xml:space="preserve">PAGEREF _Toc_3_3_0000000010 \h</w:instrText>
      </w:r>
      <w:r>
        <w:fldChar w:fldCharType="separate"/>
      </w:r>
      <w:r>
        <w:t>1</w:t>
      </w:r>
      <w:r>
        <w:rPr>
          <w:rFonts w:hint="eastAsia"/>
          <w:lang w:eastAsia="zh-CN"/>
        </w:rPr>
        <w:t>7</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二、单位预算安排的总体情况</w:t>
      </w:r>
      <w:r>
        <w:tab/>
      </w:r>
      <w:r>
        <w:fldChar w:fldCharType="begin"/>
      </w:r>
      <w:r>
        <w:instrText xml:space="preserve">PAGEREF _Toc_3_3_0000000011 \h</w:instrText>
      </w:r>
      <w:r>
        <w:fldChar w:fldCharType="separate"/>
      </w:r>
      <w:r>
        <w:t>1</w:t>
      </w:r>
      <w:r>
        <w:rPr>
          <w:rFonts w:hint="eastAsia"/>
          <w:lang w:eastAsia="zh-CN"/>
        </w:rPr>
        <w:t>7</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eastAsia="zh-CN"/>
        </w:rPr>
        <w:t>7</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eastAsia="zh-CN"/>
        </w:rPr>
        <w:t>8</w:t>
      </w:r>
      <w:r>
        <w:fldChar w:fldCharType="end"/>
      </w:r>
      <w:r>
        <w:fldChar w:fldCharType="end"/>
      </w:r>
    </w:p>
    <w:p>
      <w:pPr>
        <w:pStyle w:val="33"/>
        <w:tabs>
          <w:tab w:val="right" w:leader="dot" w:pos="14562"/>
        </w:tabs>
        <w:rPr>
          <w:lang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eastAsia="zh-CN"/>
        </w:rPr>
        <w:t>9</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eastAsia="zh-CN"/>
        </w:rPr>
        <w:t>40</w:t>
      </w:r>
      <w:r>
        <w:rPr>
          <w:rFonts w:hint="eastAsia"/>
          <w:lang w:eastAsia="zh-CN"/>
        </w:rPr>
        <w:fldChar w:fldCharType="end"/>
      </w:r>
    </w:p>
    <w:p>
      <w:r>
        <w:fldChar w:fldCharType="end"/>
      </w: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headerReference r:id="rId3" w:type="default"/>
          <w:footerReference r:id="rId4" w:type="default"/>
          <w:footerReference r:id="rId5"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单位预算</w:t>
      </w:r>
    </w:p>
    <w:p>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359隆尧县融媒体中心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714.32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714.32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714.32</w:t>
            </w:r>
          </w:p>
        </w:tc>
        <w:tc>
          <w:tcPr>
            <w:tcW w:w="4535" w:type="dxa"/>
            <w:vAlign w:val="center"/>
          </w:tcPr>
          <w:p>
            <w:pPr>
              <w:pStyle w:val="15"/>
            </w:pPr>
            <w:r>
              <w:t>本年支出合计</w:t>
            </w:r>
          </w:p>
        </w:tc>
        <w:tc>
          <w:tcPr>
            <w:tcW w:w="2126" w:type="dxa"/>
            <w:vAlign w:val="center"/>
          </w:tcPr>
          <w:p>
            <w:pPr>
              <w:pStyle w:val="16"/>
            </w:pPr>
            <w:r>
              <w:t>714.32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714.32</w:t>
            </w:r>
          </w:p>
        </w:tc>
        <w:tc>
          <w:tcPr>
            <w:tcW w:w="4535" w:type="dxa"/>
            <w:vAlign w:val="center"/>
          </w:tcPr>
          <w:p>
            <w:pPr>
              <w:pStyle w:val="15"/>
            </w:pPr>
            <w:r>
              <w:t>支出总计</w:t>
            </w:r>
          </w:p>
        </w:tc>
        <w:tc>
          <w:tcPr>
            <w:tcW w:w="2126" w:type="dxa"/>
            <w:vAlign w:val="center"/>
          </w:tcPr>
          <w:p>
            <w:pPr>
              <w:pStyle w:val="16"/>
            </w:pPr>
            <w:r>
              <w:t>714.32</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359隆尧县融媒体中心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714.32</w:t>
            </w:r>
          </w:p>
        </w:tc>
        <w:tc>
          <w:tcPr>
            <w:tcW w:w="1134" w:type="dxa"/>
            <w:vAlign w:val="center"/>
          </w:tcPr>
          <w:p>
            <w:pPr>
              <w:pStyle w:val="16"/>
            </w:pPr>
            <w:r>
              <w:t>714.32</w:t>
            </w:r>
          </w:p>
        </w:tc>
        <w:tc>
          <w:tcPr>
            <w:tcW w:w="1134" w:type="dxa"/>
            <w:vAlign w:val="center"/>
          </w:tcPr>
          <w:p>
            <w:pPr>
              <w:pStyle w:val="16"/>
            </w:pPr>
            <w:r>
              <w:t>714.32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714.32</w:t>
            </w:r>
          </w:p>
        </w:tc>
        <w:tc>
          <w:tcPr>
            <w:tcW w:w="1134" w:type="dxa"/>
            <w:vAlign w:val="center"/>
          </w:tcPr>
          <w:p>
            <w:pPr>
              <w:pStyle w:val="12"/>
            </w:pPr>
            <w:r>
              <w:t>714.32</w:t>
            </w:r>
          </w:p>
        </w:tc>
        <w:tc>
          <w:tcPr>
            <w:tcW w:w="1134" w:type="dxa"/>
            <w:vAlign w:val="center"/>
          </w:tcPr>
          <w:p>
            <w:pPr>
              <w:pStyle w:val="12"/>
            </w:pPr>
            <w:r>
              <w:t>714.32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20708</w:t>
            </w:r>
          </w:p>
        </w:tc>
        <w:tc>
          <w:tcPr>
            <w:tcW w:w="1559" w:type="dxa"/>
            <w:vAlign w:val="center"/>
          </w:tcPr>
          <w:p>
            <w:pPr>
              <w:pStyle w:val="13"/>
            </w:pPr>
            <w:r>
              <w:t>广播电视</w:t>
            </w:r>
          </w:p>
        </w:tc>
        <w:tc>
          <w:tcPr>
            <w:tcW w:w="1134" w:type="dxa"/>
            <w:vAlign w:val="center"/>
          </w:tcPr>
          <w:p>
            <w:pPr>
              <w:pStyle w:val="12"/>
            </w:pPr>
            <w:r>
              <w:t>698.82</w:t>
            </w:r>
          </w:p>
        </w:tc>
        <w:tc>
          <w:tcPr>
            <w:tcW w:w="1134" w:type="dxa"/>
            <w:vAlign w:val="center"/>
          </w:tcPr>
          <w:p>
            <w:pPr>
              <w:pStyle w:val="12"/>
            </w:pPr>
            <w:r>
              <w:t>698.82</w:t>
            </w:r>
          </w:p>
        </w:tc>
        <w:tc>
          <w:tcPr>
            <w:tcW w:w="1134" w:type="dxa"/>
            <w:vAlign w:val="center"/>
          </w:tcPr>
          <w:p>
            <w:pPr>
              <w:pStyle w:val="12"/>
            </w:pPr>
            <w:r>
              <w:t>698.82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2070808</w:t>
            </w:r>
          </w:p>
        </w:tc>
        <w:tc>
          <w:tcPr>
            <w:tcW w:w="1559" w:type="dxa"/>
            <w:vAlign w:val="center"/>
          </w:tcPr>
          <w:p>
            <w:pPr>
              <w:pStyle w:val="13"/>
            </w:pPr>
            <w:r>
              <w:t>广播电视事务</w:t>
            </w:r>
          </w:p>
        </w:tc>
        <w:tc>
          <w:tcPr>
            <w:tcW w:w="1134" w:type="dxa"/>
            <w:vAlign w:val="center"/>
          </w:tcPr>
          <w:p>
            <w:pPr>
              <w:pStyle w:val="12"/>
            </w:pPr>
            <w:r>
              <w:t>698.82</w:t>
            </w:r>
          </w:p>
        </w:tc>
        <w:tc>
          <w:tcPr>
            <w:tcW w:w="1134" w:type="dxa"/>
            <w:vAlign w:val="center"/>
          </w:tcPr>
          <w:p>
            <w:pPr>
              <w:pStyle w:val="12"/>
            </w:pPr>
            <w:r>
              <w:t>698.82</w:t>
            </w:r>
          </w:p>
        </w:tc>
        <w:tc>
          <w:tcPr>
            <w:tcW w:w="1134" w:type="dxa"/>
            <w:vAlign w:val="center"/>
          </w:tcPr>
          <w:p>
            <w:pPr>
              <w:pStyle w:val="12"/>
            </w:pPr>
            <w:r>
              <w:t>698.82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15.50</w:t>
            </w:r>
          </w:p>
        </w:tc>
        <w:tc>
          <w:tcPr>
            <w:tcW w:w="1134" w:type="dxa"/>
            <w:vAlign w:val="center"/>
          </w:tcPr>
          <w:p>
            <w:pPr>
              <w:pStyle w:val="12"/>
            </w:pPr>
            <w:r>
              <w:t>15.50</w:t>
            </w:r>
          </w:p>
        </w:tc>
        <w:tc>
          <w:tcPr>
            <w:tcW w:w="1134" w:type="dxa"/>
            <w:vAlign w:val="center"/>
          </w:tcPr>
          <w:p>
            <w:pPr>
              <w:pStyle w:val="12"/>
            </w:pPr>
            <w:r>
              <w:t>15.50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15.50</w:t>
            </w:r>
          </w:p>
        </w:tc>
        <w:tc>
          <w:tcPr>
            <w:tcW w:w="1134" w:type="dxa"/>
            <w:vAlign w:val="center"/>
          </w:tcPr>
          <w:p>
            <w:pPr>
              <w:pStyle w:val="12"/>
            </w:pPr>
            <w:r>
              <w:t>15.50</w:t>
            </w:r>
          </w:p>
        </w:tc>
        <w:tc>
          <w:tcPr>
            <w:tcW w:w="1134" w:type="dxa"/>
            <w:vAlign w:val="center"/>
          </w:tcPr>
          <w:p>
            <w:pPr>
              <w:pStyle w:val="12"/>
            </w:pPr>
            <w:r>
              <w:t>15.50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714.32</w:t>
            </w:r>
          </w:p>
        </w:tc>
        <w:tc>
          <w:tcPr>
            <w:tcW w:w="1361" w:type="dxa"/>
            <w:vAlign w:val="center"/>
          </w:tcPr>
          <w:p>
            <w:pPr>
              <w:pStyle w:val="16"/>
            </w:pPr>
            <w:r>
              <w:t>363.56</w:t>
            </w:r>
          </w:p>
        </w:tc>
        <w:tc>
          <w:tcPr>
            <w:tcW w:w="1361" w:type="dxa"/>
            <w:vAlign w:val="center"/>
          </w:tcPr>
          <w:p>
            <w:pPr>
              <w:pStyle w:val="16"/>
            </w:pPr>
            <w:r>
              <w:t>350.76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714.32</w:t>
            </w:r>
          </w:p>
        </w:tc>
        <w:tc>
          <w:tcPr>
            <w:tcW w:w="1361" w:type="dxa"/>
            <w:vAlign w:val="center"/>
          </w:tcPr>
          <w:p>
            <w:pPr>
              <w:pStyle w:val="12"/>
            </w:pPr>
            <w:r>
              <w:t>363.56</w:t>
            </w:r>
          </w:p>
        </w:tc>
        <w:tc>
          <w:tcPr>
            <w:tcW w:w="1361" w:type="dxa"/>
            <w:vAlign w:val="center"/>
          </w:tcPr>
          <w:p>
            <w:pPr>
              <w:pStyle w:val="12"/>
            </w:pPr>
            <w:r>
              <w:t>350.76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20708</w:t>
            </w:r>
          </w:p>
        </w:tc>
        <w:tc>
          <w:tcPr>
            <w:tcW w:w="4535" w:type="dxa"/>
            <w:vAlign w:val="center"/>
          </w:tcPr>
          <w:p>
            <w:pPr>
              <w:pStyle w:val="13"/>
            </w:pPr>
            <w:r>
              <w:t>广播电视</w:t>
            </w:r>
          </w:p>
        </w:tc>
        <w:tc>
          <w:tcPr>
            <w:tcW w:w="1361" w:type="dxa"/>
            <w:vAlign w:val="center"/>
          </w:tcPr>
          <w:p>
            <w:pPr>
              <w:pStyle w:val="12"/>
            </w:pPr>
            <w:r>
              <w:t>698.82</w:t>
            </w:r>
          </w:p>
        </w:tc>
        <w:tc>
          <w:tcPr>
            <w:tcW w:w="1361" w:type="dxa"/>
            <w:vAlign w:val="center"/>
          </w:tcPr>
          <w:p>
            <w:pPr>
              <w:pStyle w:val="12"/>
            </w:pPr>
            <w:r>
              <w:t>363.56</w:t>
            </w:r>
          </w:p>
        </w:tc>
        <w:tc>
          <w:tcPr>
            <w:tcW w:w="1361" w:type="dxa"/>
            <w:vAlign w:val="center"/>
          </w:tcPr>
          <w:p>
            <w:pPr>
              <w:pStyle w:val="12"/>
            </w:pPr>
            <w:r>
              <w:t>335.26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2070808</w:t>
            </w:r>
          </w:p>
        </w:tc>
        <w:tc>
          <w:tcPr>
            <w:tcW w:w="4535" w:type="dxa"/>
            <w:vAlign w:val="center"/>
          </w:tcPr>
          <w:p>
            <w:pPr>
              <w:pStyle w:val="13"/>
            </w:pPr>
            <w:r>
              <w:t>广播电视事务</w:t>
            </w:r>
          </w:p>
        </w:tc>
        <w:tc>
          <w:tcPr>
            <w:tcW w:w="1361" w:type="dxa"/>
            <w:vAlign w:val="center"/>
          </w:tcPr>
          <w:p>
            <w:pPr>
              <w:pStyle w:val="12"/>
            </w:pPr>
            <w:r>
              <w:t>698.82</w:t>
            </w:r>
          </w:p>
        </w:tc>
        <w:tc>
          <w:tcPr>
            <w:tcW w:w="1361" w:type="dxa"/>
            <w:vAlign w:val="center"/>
          </w:tcPr>
          <w:p>
            <w:pPr>
              <w:pStyle w:val="12"/>
            </w:pPr>
            <w:r>
              <w:t>363.56</w:t>
            </w:r>
          </w:p>
        </w:tc>
        <w:tc>
          <w:tcPr>
            <w:tcW w:w="1361" w:type="dxa"/>
            <w:vAlign w:val="center"/>
          </w:tcPr>
          <w:p>
            <w:pPr>
              <w:pStyle w:val="12"/>
            </w:pPr>
            <w:r>
              <w:t>335.26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15.50</w:t>
            </w:r>
          </w:p>
        </w:tc>
        <w:tc>
          <w:tcPr>
            <w:tcW w:w="1361" w:type="dxa"/>
            <w:vAlign w:val="center"/>
          </w:tcPr>
          <w:p>
            <w:pPr>
              <w:pStyle w:val="12"/>
            </w:pPr>
          </w:p>
        </w:tc>
        <w:tc>
          <w:tcPr>
            <w:tcW w:w="1361" w:type="dxa"/>
            <w:vAlign w:val="center"/>
          </w:tcPr>
          <w:p>
            <w:pPr>
              <w:pStyle w:val="12"/>
            </w:pPr>
            <w:r>
              <w:t>15.50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15.50</w:t>
            </w:r>
          </w:p>
        </w:tc>
        <w:tc>
          <w:tcPr>
            <w:tcW w:w="1361" w:type="dxa"/>
            <w:vAlign w:val="center"/>
          </w:tcPr>
          <w:p>
            <w:pPr>
              <w:pStyle w:val="12"/>
            </w:pPr>
          </w:p>
        </w:tc>
        <w:tc>
          <w:tcPr>
            <w:tcW w:w="1361" w:type="dxa"/>
            <w:vAlign w:val="center"/>
          </w:tcPr>
          <w:p>
            <w:pPr>
              <w:pStyle w:val="12"/>
            </w:pPr>
            <w:r>
              <w:t>15.50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714.32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714.32</w:t>
            </w:r>
          </w:p>
        </w:tc>
        <w:tc>
          <w:tcPr>
            <w:tcW w:w="1474" w:type="dxa"/>
            <w:vAlign w:val="center"/>
          </w:tcPr>
          <w:p>
            <w:pPr>
              <w:pStyle w:val="12"/>
            </w:pPr>
            <w:r>
              <w:t>714.32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714.32</w:t>
            </w:r>
          </w:p>
        </w:tc>
        <w:tc>
          <w:tcPr>
            <w:tcW w:w="3402" w:type="dxa"/>
            <w:vAlign w:val="center"/>
          </w:tcPr>
          <w:p>
            <w:pPr>
              <w:pStyle w:val="15"/>
            </w:pPr>
            <w:r>
              <w:t>本年支出合计</w:t>
            </w:r>
          </w:p>
        </w:tc>
        <w:tc>
          <w:tcPr>
            <w:tcW w:w="1474" w:type="dxa"/>
            <w:vAlign w:val="center"/>
          </w:tcPr>
          <w:p>
            <w:pPr>
              <w:pStyle w:val="16"/>
            </w:pPr>
            <w:r>
              <w:t>714.32</w:t>
            </w:r>
          </w:p>
        </w:tc>
        <w:tc>
          <w:tcPr>
            <w:tcW w:w="1474" w:type="dxa"/>
            <w:vAlign w:val="center"/>
          </w:tcPr>
          <w:p>
            <w:pPr>
              <w:pStyle w:val="16"/>
            </w:pPr>
            <w:r>
              <w:t>714.32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714.32</w:t>
            </w:r>
          </w:p>
        </w:tc>
        <w:tc>
          <w:tcPr>
            <w:tcW w:w="3402" w:type="dxa"/>
            <w:vAlign w:val="center"/>
          </w:tcPr>
          <w:p>
            <w:pPr>
              <w:pStyle w:val="15"/>
            </w:pPr>
            <w:r>
              <w:t>支出总计</w:t>
            </w:r>
          </w:p>
        </w:tc>
        <w:tc>
          <w:tcPr>
            <w:tcW w:w="1474" w:type="dxa"/>
            <w:vAlign w:val="center"/>
          </w:tcPr>
          <w:p>
            <w:pPr>
              <w:pStyle w:val="16"/>
            </w:pPr>
            <w:r>
              <w:t>714.32</w:t>
            </w:r>
          </w:p>
        </w:tc>
        <w:tc>
          <w:tcPr>
            <w:tcW w:w="1474" w:type="dxa"/>
            <w:vAlign w:val="center"/>
          </w:tcPr>
          <w:p>
            <w:pPr>
              <w:pStyle w:val="16"/>
            </w:pPr>
            <w:r>
              <w:t>714.32</w:t>
            </w:r>
          </w:p>
        </w:tc>
        <w:tc>
          <w:tcPr>
            <w:tcW w:w="1474" w:type="dxa"/>
            <w:vAlign w:val="center"/>
          </w:tcPr>
          <w:p>
            <w:pPr>
              <w:pStyle w:val="16"/>
            </w:pPr>
          </w:p>
        </w:tc>
        <w:tc>
          <w:tcPr>
            <w:tcW w:w="1474" w:type="dxa"/>
            <w:vAlign w:val="center"/>
          </w:tcPr>
          <w:p>
            <w:pPr>
              <w:pStyle w:val="16"/>
            </w:pPr>
          </w:p>
        </w:tc>
      </w:tr>
    </w:tbl>
    <w:p>
      <w:pPr>
        <w:ind w:firstLine="1620" w:firstLineChars="450"/>
        <w:jc w:val="center"/>
        <w:outlineLvl w:val="1"/>
        <w:rPr>
          <w:rFonts w:ascii="方正小标宋_GBK" w:hAnsi="方正小标宋_GBK" w:eastAsia="方正小标宋_GBK" w:cs="方正小标宋_GBK"/>
          <w:color w:val="000000"/>
          <w:sz w:val="36"/>
          <w:lang w:eastAsia="zh-CN"/>
        </w:rPr>
      </w:pPr>
      <w:bookmarkStart w:id="4" w:name="_Toc_2_2_0000000005"/>
    </w:p>
    <w:p>
      <w:pPr>
        <w:ind w:firstLine="1620" w:firstLineChars="450"/>
        <w:jc w:val="center"/>
        <w:outlineLvl w:val="1"/>
        <w:rPr>
          <w:rFonts w:ascii="方正小标宋_GBK" w:hAnsi="方正小标宋_GBK" w:eastAsia="方正小标宋_GBK" w:cs="方正小标宋_GBK"/>
          <w:color w:val="000000"/>
          <w:sz w:val="36"/>
          <w:lang w:eastAsia="zh-CN"/>
        </w:rPr>
      </w:pPr>
      <w:r>
        <w:rPr>
          <w:rFonts w:ascii="方正小标宋_GBK" w:hAnsi="方正小标宋_GBK" w:eastAsia="方正小标宋_GBK" w:cs="方正小标宋_GBK"/>
          <w:color w:val="000000"/>
          <w:sz w:val="36"/>
        </w:rPr>
        <w:t>单位预算一般公共预算财政拨款支出表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714.32</w:t>
            </w:r>
          </w:p>
        </w:tc>
        <w:tc>
          <w:tcPr>
            <w:tcW w:w="2551" w:type="dxa"/>
            <w:vAlign w:val="center"/>
          </w:tcPr>
          <w:p>
            <w:pPr>
              <w:pStyle w:val="16"/>
            </w:pPr>
            <w:r>
              <w:t>363.56</w:t>
            </w:r>
          </w:p>
        </w:tc>
        <w:tc>
          <w:tcPr>
            <w:tcW w:w="2551" w:type="dxa"/>
            <w:vAlign w:val="center"/>
          </w:tcPr>
          <w:p>
            <w:pPr>
              <w:pStyle w:val="16"/>
            </w:pPr>
            <w:r>
              <w:t>350.76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714.32</w:t>
            </w:r>
          </w:p>
        </w:tc>
        <w:tc>
          <w:tcPr>
            <w:tcW w:w="2551" w:type="dxa"/>
            <w:vAlign w:val="center"/>
          </w:tcPr>
          <w:p>
            <w:pPr>
              <w:pStyle w:val="12"/>
            </w:pPr>
            <w:r>
              <w:t>363.56</w:t>
            </w:r>
          </w:p>
        </w:tc>
        <w:tc>
          <w:tcPr>
            <w:tcW w:w="2551" w:type="dxa"/>
            <w:vAlign w:val="center"/>
          </w:tcPr>
          <w:p>
            <w:pPr>
              <w:pStyle w:val="12"/>
            </w:pPr>
            <w:r>
              <w:t>350.76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20708</w:t>
            </w:r>
          </w:p>
        </w:tc>
        <w:tc>
          <w:tcPr>
            <w:tcW w:w="4535" w:type="dxa"/>
            <w:vAlign w:val="center"/>
          </w:tcPr>
          <w:p>
            <w:pPr>
              <w:pStyle w:val="13"/>
            </w:pPr>
            <w:r>
              <w:t>广播电视</w:t>
            </w:r>
          </w:p>
        </w:tc>
        <w:tc>
          <w:tcPr>
            <w:tcW w:w="2551" w:type="dxa"/>
            <w:vAlign w:val="center"/>
          </w:tcPr>
          <w:p>
            <w:pPr>
              <w:pStyle w:val="12"/>
            </w:pPr>
            <w:r>
              <w:t>698.82</w:t>
            </w:r>
          </w:p>
        </w:tc>
        <w:tc>
          <w:tcPr>
            <w:tcW w:w="2551" w:type="dxa"/>
            <w:vAlign w:val="center"/>
          </w:tcPr>
          <w:p>
            <w:pPr>
              <w:pStyle w:val="12"/>
            </w:pPr>
            <w:r>
              <w:t>363.56</w:t>
            </w:r>
          </w:p>
        </w:tc>
        <w:tc>
          <w:tcPr>
            <w:tcW w:w="2551" w:type="dxa"/>
            <w:vAlign w:val="center"/>
          </w:tcPr>
          <w:p>
            <w:pPr>
              <w:pStyle w:val="12"/>
            </w:pPr>
            <w:r>
              <w:t>335.26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2070808</w:t>
            </w:r>
          </w:p>
        </w:tc>
        <w:tc>
          <w:tcPr>
            <w:tcW w:w="4535" w:type="dxa"/>
            <w:vAlign w:val="center"/>
          </w:tcPr>
          <w:p>
            <w:pPr>
              <w:pStyle w:val="13"/>
            </w:pPr>
            <w:r>
              <w:t>广播电视事务</w:t>
            </w:r>
          </w:p>
        </w:tc>
        <w:tc>
          <w:tcPr>
            <w:tcW w:w="2551" w:type="dxa"/>
            <w:vAlign w:val="center"/>
          </w:tcPr>
          <w:p>
            <w:pPr>
              <w:pStyle w:val="12"/>
            </w:pPr>
            <w:r>
              <w:t>698.82</w:t>
            </w:r>
          </w:p>
        </w:tc>
        <w:tc>
          <w:tcPr>
            <w:tcW w:w="2551" w:type="dxa"/>
            <w:vAlign w:val="center"/>
          </w:tcPr>
          <w:p>
            <w:pPr>
              <w:pStyle w:val="12"/>
            </w:pPr>
            <w:r>
              <w:t>363.56</w:t>
            </w:r>
          </w:p>
        </w:tc>
        <w:tc>
          <w:tcPr>
            <w:tcW w:w="2551" w:type="dxa"/>
            <w:vAlign w:val="center"/>
          </w:tcPr>
          <w:p>
            <w:pPr>
              <w:pStyle w:val="12"/>
            </w:pPr>
            <w:r>
              <w:t>335.26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支出单位经济分类科目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363.56</w:t>
            </w:r>
          </w:p>
        </w:tc>
        <w:tc>
          <w:tcPr>
            <w:tcW w:w="2551" w:type="dxa"/>
            <w:vAlign w:val="center"/>
          </w:tcPr>
          <w:p>
            <w:pPr>
              <w:pStyle w:val="16"/>
            </w:pPr>
            <w:r>
              <w:t>334.92</w:t>
            </w:r>
          </w:p>
        </w:tc>
        <w:tc>
          <w:tcPr>
            <w:tcW w:w="2551" w:type="dxa"/>
            <w:vAlign w:val="center"/>
          </w:tcPr>
          <w:p>
            <w:pPr>
              <w:pStyle w:val="16"/>
            </w:pPr>
            <w:r>
              <w:t>28.64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295.93</w:t>
            </w:r>
          </w:p>
        </w:tc>
        <w:tc>
          <w:tcPr>
            <w:tcW w:w="2551" w:type="dxa"/>
            <w:vAlign w:val="center"/>
          </w:tcPr>
          <w:p>
            <w:pPr>
              <w:pStyle w:val="12"/>
            </w:pPr>
            <w:r>
              <w:t>295.93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124.47</w:t>
            </w:r>
          </w:p>
        </w:tc>
        <w:tc>
          <w:tcPr>
            <w:tcW w:w="2551" w:type="dxa"/>
            <w:vAlign w:val="center"/>
          </w:tcPr>
          <w:p>
            <w:pPr>
              <w:pStyle w:val="12"/>
            </w:pPr>
            <w:r>
              <w:t>124.47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10.04</w:t>
            </w:r>
          </w:p>
        </w:tc>
        <w:tc>
          <w:tcPr>
            <w:tcW w:w="2551" w:type="dxa"/>
            <w:vAlign w:val="center"/>
          </w:tcPr>
          <w:p>
            <w:pPr>
              <w:pStyle w:val="12"/>
            </w:pPr>
            <w:r>
              <w:t>10.04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59.16</w:t>
            </w:r>
          </w:p>
        </w:tc>
        <w:tc>
          <w:tcPr>
            <w:tcW w:w="2551" w:type="dxa"/>
            <w:vAlign w:val="center"/>
          </w:tcPr>
          <w:p>
            <w:pPr>
              <w:pStyle w:val="12"/>
            </w:pPr>
            <w:r>
              <w:t>59.16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34.21</w:t>
            </w:r>
          </w:p>
        </w:tc>
        <w:tc>
          <w:tcPr>
            <w:tcW w:w="2551" w:type="dxa"/>
            <w:vAlign w:val="center"/>
          </w:tcPr>
          <w:p>
            <w:pPr>
              <w:pStyle w:val="12"/>
            </w:pPr>
            <w:r>
              <w:t>34.21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29.20</w:t>
            </w:r>
          </w:p>
        </w:tc>
        <w:tc>
          <w:tcPr>
            <w:tcW w:w="2551" w:type="dxa"/>
            <w:vAlign w:val="center"/>
          </w:tcPr>
          <w:p>
            <w:pPr>
              <w:pStyle w:val="12"/>
            </w:pPr>
            <w:r>
              <w:t>29.20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13.82</w:t>
            </w:r>
          </w:p>
        </w:tc>
        <w:tc>
          <w:tcPr>
            <w:tcW w:w="2551" w:type="dxa"/>
            <w:vAlign w:val="center"/>
          </w:tcPr>
          <w:p>
            <w:pPr>
              <w:pStyle w:val="12"/>
            </w:pPr>
            <w:r>
              <w:t>13.82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0.81</w:t>
            </w:r>
          </w:p>
        </w:tc>
        <w:tc>
          <w:tcPr>
            <w:tcW w:w="2551" w:type="dxa"/>
            <w:vAlign w:val="center"/>
          </w:tcPr>
          <w:p>
            <w:pPr>
              <w:pStyle w:val="12"/>
            </w:pPr>
            <w:r>
              <w:t>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24.23</w:t>
            </w:r>
          </w:p>
        </w:tc>
        <w:tc>
          <w:tcPr>
            <w:tcW w:w="2551" w:type="dxa"/>
            <w:vAlign w:val="center"/>
          </w:tcPr>
          <w:p>
            <w:pPr>
              <w:pStyle w:val="12"/>
            </w:pPr>
            <w:r>
              <w:t>24.23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26.52</w:t>
            </w:r>
          </w:p>
        </w:tc>
        <w:tc>
          <w:tcPr>
            <w:tcW w:w="2551" w:type="dxa"/>
            <w:vAlign w:val="center"/>
          </w:tcPr>
          <w:p>
            <w:pPr>
              <w:pStyle w:val="12"/>
            </w:pPr>
          </w:p>
        </w:tc>
        <w:tc>
          <w:tcPr>
            <w:tcW w:w="2551" w:type="dxa"/>
            <w:vAlign w:val="center"/>
          </w:tcPr>
          <w:p>
            <w:pPr>
              <w:pStyle w:val="12"/>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0.25</w:t>
            </w:r>
          </w:p>
        </w:tc>
        <w:tc>
          <w:tcPr>
            <w:tcW w:w="2551" w:type="dxa"/>
            <w:vAlign w:val="center"/>
          </w:tcPr>
          <w:p>
            <w:pPr>
              <w:pStyle w:val="12"/>
            </w:pPr>
          </w:p>
        </w:tc>
        <w:tc>
          <w:tcPr>
            <w:tcW w:w="2551"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0.53</w:t>
            </w:r>
          </w:p>
        </w:tc>
        <w:tc>
          <w:tcPr>
            <w:tcW w:w="2551" w:type="dxa"/>
            <w:vAlign w:val="center"/>
          </w:tcPr>
          <w:p>
            <w:pPr>
              <w:pStyle w:val="12"/>
            </w:pPr>
          </w:p>
        </w:tc>
        <w:tc>
          <w:tcPr>
            <w:tcW w:w="2551"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14.64</w:t>
            </w:r>
          </w:p>
        </w:tc>
        <w:tc>
          <w:tcPr>
            <w:tcW w:w="2551" w:type="dxa"/>
            <w:vAlign w:val="center"/>
          </w:tcPr>
          <w:p>
            <w:pPr>
              <w:pStyle w:val="12"/>
            </w:pPr>
          </w:p>
        </w:tc>
        <w:tc>
          <w:tcPr>
            <w:tcW w:w="2551" w:type="dxa"/>
            <w:vAlign w:val="center"/>
          </w:tcPr>
          <w:p>
            <w:pPr>
              <w:pStyle w:val="12"/>
            </w:pPr>
            <w:r>
              <w:t>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38.99</w:t>
            </w:r>
          </w:p>
        </w:tc>
        <w:tc>
          <w:tcPr>
            <w:tcW w:w="2551" w:type="dxa"/>
            <w:vAlign w:val="center"/>
          </w:tcPr>
          <w:p>
            <w:pPr>
              <w:pStyle w:val="12"/>
            </w:pPr>
            <w:r>
              <w:t>38.99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37.48</w:t>
            </w:r>
          </w:p>
        </w:tc>
        <w:tc>
          <w:tcPr>
            <w:tcW w:w="2551" w:type="dxa"/>
            <w:vAlign w:val="center"/>
          </w:tcPr>
          <w:p>
            <w:pPr>
              <w:pStyle w:val="12"/>
            </w:pPr>
            <w:r>
              <w:t>37.48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1.51</w:t>
            </w:r>
          </w:p>
        </w:tc>
        <w:tc>
          <w:tcPr>
            <w:tcW w:w="2551" w:type="dxa"/>
            <w:vAlign w:val="center"/>
          </w:tcPr>
          <w:p>
            <w:pPr>
              <w:pStyle w:val="12"/>
            </w:pPr>
            <w:r>
              <w:t>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2.12</w:t>
            </w:r>
          </w:p>
        </w:tc>
        <w:tc>
          <w:tcPr>
            <w:tcW w:w="2551" w:type="dxa"/>
            <w:vAlign w:val="center"/>
          </w:tcPr>
          <w:p>
            <w:pPr>
              <w:pStyle w:val="12"/>
            </w:pPr>
          </w:p>
        </w:tc>
        <w:tc>
          <w:tcPr>
            <w:tcW w:w="2551" w:type="dxa"/>
            <w:vAlign w:val="center"/>
          </w:tcPr>
          <w:p>
            <w:pPr>
              <w:pStyle w:val="12"/>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2.12</w:t>
            </w:r>
          </w:p>
        </w:tc>
        <w:tc>
          <w:tcPr>
            <w:tcW w:w="2551" w:type="dxa"/>
            <w:vAlign w:val="center"/>
          </w:tcPr>
          <w:p>
            <w:pPr>
              <w:pStyle w:val="12"/>
            </w:pPr>
          </w:p>
        </w:tc>
        <w:tc>
          <w:tcPr>
            <w:tcW w:w="2551" w:type="dxa"/>
            <w:vAlign w:val="center"/>
          </w:tcPr>
          <w:p>
            <w:pPr>
              <w:pStyle w:val="12"/>
            </w:pPr>
            <w:r>
              <w:t>2.12</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单位预算政府基金预算财政拨款支出表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rPr>
                <w:lang w:eastAsia="zh-CN"/>
              </w:rPr>
            </w:pPr>
            <w:r>
              <w:rPr>
                <w:rFonts w:hint="eastAsia"/>
                <w:lang w:eastAsia="zh-CN"/>
              </w:rPr>
              <w:t>0</w:t>
            </w:r>
          </w:p>
        </w:tc>
        <w:tc>
          <w:tcPr>
            <w:tcW w:w="2381" w:type="dxa"/>
            <w:vAlign w:val="center"/>
          </w:tcPr>
          <w:p>
            <w:pPr>
              <w:pStyle w:val="16"/>
            </w:pPr>
            <w:r>
              <w:t>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rPr>
                <w:lang w:eastAsia="zh-CN"/>
              </w:rPr>
            </w:pPr>
            <w:r>
              <w:rPr>
                <w:rFonts w:hint="eastAsia"/>
                <w:lang w:eastAsia="zh-CN"/>
              </w:rPr>
              <w:t>0</w:t>
            </w:r>
          </w:p>
        </w:tc>
        <w:tc>
          <w:tcPr>
            <w:tcW w:w="2381" w:type="dxa"/>
            <w:vAlign w:val="center"/>
          </w:tcPr>
          <w:p>
            <w:pPr>
              <w:pStyle w:val="12"/>
              <w:rPr>
                <w:lang w:eastAsia="zh-CN"/>
              </w:rPr>
            </w:pPr>
            <w:r>
              <w:rPr>
                <w:rFonts w:hint="eastAsia"/>
                <w:lang w:eastAsia="zh-CN"/>
              </w:rPr>
              <w:t>0</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隆尧县融媒体中心2023年单位预算信息公开情况说明</w:t>
      </w:r>
    </w:p>
    <w:p>
      <w:pPr>
        <w:jc w:val="center"/>
      </w:pPr>
      <w:r>
        <w:rPr>
          <w:rFonts w:ascii="方正小标宋_GBK" w:hAnsi="方正小标宋_GBK" w:eastAsia="方正小标宋_GBK" w:cs="方正小标宋_GBK"/>
          <w:color w:val="000000"/>
          <w:sz w:val="44"/>
        </w:rPr>
        <w:t>隆尧县融媒体中心2023年单位预算信息公开情况说明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按照《预算法》、《地方预决算公开操作规程》和《关于进一步推进预算公开工作的实施意见》规定，现将隆尧县融媒体中心2023年单位预算公开如下：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一、单位职责及机构设置情况</w:t>
      </w:r>
      <w:bookmarkEnd w:id="9"/>
    </w:p>
    <w:p>
      <w:pPr>
        <w:ind w:firstLine="640"/>
      </w:pPr>
      <w:r>
        <w:rPr>
          <w:rFonts w:ascii="方正楷体_GBK" w:hAnsi="方正楷体_GBK" w:eastAsia="方正楷体_GBK" w:cs="方正楷体_GBK"/>
          <w:b/>
          <w:color w:val="000000"/>
          <w:sz w:val="32"/>
        </w:rPr>
        <w:t>单位职责：</w:t>
      </w:r>
    </w:p>
    <w:p>
      <w:pPr>
        <w:pStyle w:val="18"/>
      </w:pPr>
      <w:r>
        <w:t>一、开展主流舆论引导，宣传党中央决策部署、党的创新理论和社会主义核心价值观，宣传省、市中心重点工作，宣传县委和县政府工作安排；</w:t>
      </w:r>
    </w:p>
    <w:p>
      <w:pPr>
        <w:pStyle w:val="18"/>
      </w:pPr>
      <w:r>
        <w:t>二、负责县域内各类新闻资讯的采集和编辑；</w:t>
      </w:r>
    </w:p>
    <w:p>
      <w:pPr>
        <w:pStyle w:val="18"/>
      </w:pPr>
      <w:r>
        <w:t>三、开展综合服务，向基层干部提供政务服务、生活服务、社会传播、教育培训等综合服务，搭建党委政府和人民群众沟通桥梁；</w:t>
      </w:r>
    </w:p>
    <w:p>
      <w:pPr>
        <w:pStyle w:val="18"/>
      </w:pPr>
      <w:r>
        <w:t>四、强化社区信息枢纽功能，面向人口聚集的大型社区、村镇，提供精准化的生活资讯，打通线上线下开展社区交流。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隆尧县融媒体中心本级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二、单位预算安排的总体情况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单位预算的编制实行综合预算管理，即全部收入和支出都反映在预算中。隆尧县融媒体中心机关及所属事业单位的收支包含在单位预算中。</w:t>
      </w:r>
    </w:p>
    <w:p>
      <w:pPr>
        <w:pStyle w:val="19"/>
      </w:pPr>
      <w:r>
        <w:t>1、收入说明</w:t>
      </w:r>
    </w:p>
    <w:p>
      <w:pPr>
        <w:pStyle w:val="19"/>
      </w:pPr>
      <w:r>
        <w:t>反映本单位当年全部收入。2023年预算收入714.32万元，其中：一般公共预算收入714.32万元，基金预算收入0万元，国有资本经营预算收入0万元，财政专户核拨收入0万元，单位资金收入0万元，上年结转结余0万元。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融媒体中心年度单位预算中支出预算的总体情况。2023年单位支出预算为714.32万元，其中基本支出363.56万元，包括人员经费334.92万元和日常公用经费28.64万元；项目支出350.76万元，主要是广播电视事务支出335.26万元，其他文化旅游体育与传媒支出15.5万元。</w:t>
      </w:r>
    </w:p>
    <w:p>
      <w:pPr>
        <w:pStyle w:val="19"/>
      </w:pPr>
      <w:r>
        <w:t>3、比上年增减情况</w:t>
      </w:r>
    </w:p>
    <w:p>
      <w:pPr>
        <w:pStyle w:val="19"/>
      </w:pPr>
      <w:r>
        <w:t>2023年预算收支安排714.32万元，较2022年总体减少1.07万元，其中：基本支出减少215.68万元，主要为自支人员经费的减少；项目支出增加214.61万元，主要是融媒体中心运转经费及偿还借款的增加。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2023年，我单位机关运行经费共计安排28.64万元，主要用于保证机关正常运转的办公费、水费、邮电费、差旅费、维修费、办公设备购置、公务交通补贴、工会经费、福利费、党组织活动经费等支出。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2023年，我单位财政拨款“三公”经费预算安排</w:t>
      </w:r>
      <w:r>
        <w:rPr>
          <w:rFonts w:hint="eastAsia"/>
          <w:lang w:eastAsia="zh-CN"/>
        </w:rPr>
        <w:t>0</w:t>
      </w:r>
      <w:r>
        <w:t>万元，其中：因公出国（境）费0万元；公务用车购置及运维费0万元（其中：公务用车购置费0万元，公务用车运行维护费0万元)；公务接待费0万元；“三公”经费较上年减少1.635万元,减少的主要原因是公务用车运行维护费（公车已收回）及公务接待费的减少。</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单位整体绩效目标</w:t>
      </w:r>
    </w:p>
    <w:p>
      <w:pPr>
        <w:spacing w:line="500" w:lineRule="exact"/>
        <w:ind w:firstLine="560"/>
      </w:pPr>
      <w:r>
        <w:rPr>
          <w:rFonts w:eastAsia="方正仿宋_GBK"/>
          <w:color w:val="000000"/>
          <w:sz w:val="28"/>
        </w:rPr>
        <w:t>（一）总体绩效目标</w:t>
      </w:r>
    </w:p>
    <w:p>
      <w:pPr>
        <w:pStyle w:val="22"/>
      </w:pPr>
      <w:r>
        <w:t>2023年是贯彻落实党</w:t>
      </w:r>
      <w:r>
        <w:rPr>
          <w:rFonts w:hint="eastAsia"/>
          <w:lang w:eastAsia="zh-CN"/>
        </w:rPr>
        <w:t>的</w:t>
      </w:r>
      <w:r>
        <w:t>二十大精神关键之年，融媒体中心将围绕锻炼队伍、夯实平台、打造精品、办出特色四个方面持续发力。努力提升舆论引导能力，多渠道、多方式展示隆尧发展成果，凝聚正能量、唱响主旋律，讲好隆尧故事，为全县经济社会高质量赶超发展营造浓厚的舆论氛围。</w:t>
      </w:r>
    </w:p>
    <w:p>
      <w:pPr>
        <w:spacing w:line="500" w:lineRule="exact"/>
        <w:ind w:firstLine="560"/>
      </w:pPr>
      <w:r>
        <w:rPr>
          <w:rFonts w:eastAsia="方正仿宋_GBK"/>
          <w:color w:val="000000"/>
          <w:sz w:val="28"/>
        </w:rPr>
        <w:t>（二）分项绩效目标</w:t>
      </w:r>
    </w:p>
    <w:p>
      <w:pPr>
        <w:pStyle w:val="23"/>
        <w:ind w:firstLine="700" w:firstLineChars="250"/>
      </w:pPr>
      <w:r>
        <w:rPr>
          <w:rFonts w:hint="eastAsia" w:eastAsiaTheme="minorEastAsia"/>
          <w:lang w:eastAsia="zh-CN"/>
        </w:rPr>
        <w:t>一、</w:t>
      </w:r>
      <w:r>
        <w:t>锻炼队伍。</w:t>
      </w:r>
    </w:p>
    <w:p>
      <w:pPr>
        <w:pStyle w:val="23"/>
      </w:pPr>
      <w:r>
        <w:t>绩效目标：一是加大队伍锻炼和学习力度；二是根据行业发展需要，专门成立短视频创作中心。</w:t>
      </w:r>
    </w:p>
    <w:p>
      <w:pPr>
        <w:pStyle w:val="23"/>
      </w:pPr>
      <w:r>
        <w:t>绩效指标：在常规培训的基础上，陆续开展几次实战练兵活动，通过采风、比赛等形式，提升队伍的实战能力；按照群众在哪里，将阵地建设到哪里的宣传方针，重点在短视频创作和传播方面下功夫。</w:t>
      </w:r>
    </w:p>
    <w:p>
      <w:pPr>
        <w:pStyle w:val="23"/>
      </w:pPr>
      <w:r>
        <w:t>二</w:t>
      </w:r>
      <w:r>
        <w:rPr>
          <w:rFonts w:hint="eastAsia" w:eastAsiaTheme="minorEastAsia"/>
          <w:lang w:eastAsia="zh-CN"/>
        </w:rPr>
        <w:t>、</w:t>
      </w:r>
      <w:r>
        <w:t>夯实平台。</w:t>
      </w:r>
    </w:p>
    <w:p>
      <w:pPr>
        <w:pStyle w:val="23"/>
      </w:pPr>
      <w:r>
        <w:t>绩效目标：将媒体平台和线下宣传平台进一步夯实整合，增强其相互之间的联系互动，提高各平台之间的融合度，创造出更大的宣传效果。</w:t>
      </w:r>
    </w:p>
    <w:p>
      <w:pPr>
        <w:pStyle w:val="23"/>
      </w:pPr>
      <w:r>
        <w:t>绩效指标：将现有的3台（电视台、手机台、电台）1报（今日隆尧）2端（智慧隆尧、冀云隆尧）10号以及入驻的各级媒体平台和整合的线下宣传平台进一步夯实整合。</w:t>
      </w:r>
    </w:p>
    <w:p>
      <w:pPr>
        <w:pStyle w:val="23"/>
        <w:ind w:firstLineChars="200"/>
      </w:pPr>
      <w:r>
        <w:t>三</w:t>
      </w:r>
      <w:r>
        <w:rPr>
          <w:rFonts w:hint="eastAsia" w:eastAsiaTheme="minorEastAsia"/>
          <w:lang w:eastAsia="zh-CN"/>
        </w:rPr>
        <w:t>、</w:t>
      </w:r>
      <w:r>
        <w:t>打造精品。</w:t>
      </w:r>
    </w:p>
    <w:p>
      <w:pPr>
        <w:pStyle w:val="23"/>
      </w:pPr>
      <w:r>
        <w:t>绩效目标：一是要拍摄“江山”快闪；二是开设短视频栏目《学习二十大、今天我来说》；三是根据时间节点，做好春晚、三八、3.15、五一、五四、七一、国庆等重点节日的大型庆祝活动；四是拍摄制作各种专题片、宣传片和汇报片。</w:t>
      </w:r>
    </w:p>
    <w:p>
      <w:pPr>
        <w:pStyle w:val="23"/>
      </w:pPr>
      <w:r>
        <w:t>绩效指标：拍摄“江山”快闪，；开设短视频栏目《学习二十大、今天我来说》，以新颖的方式掀起学习贯彻党的二十大精神热潮；根据时间节点，做好大型庆祝活动，营造良好节日氛围；配合各单位，拍摄制作各种专题片、宣传片和汇报片，为展示隆尧形象，开展各项业务宣传提供服务。</w:t>
      </w:r>
    </w:p>
    <w:p>
      <w:pPr>
        <w:pStyle w:val="23"/>
      </w:pPr>
      <w:r>
        <w:t>四</w:t>
      </w:r>
      <w:r>
        <w:rPr>
          <w:rFonts w:hint="eastAsia" w:eastAsiaTheme="minorEastAsia"/>
          <w:lang w:eastAsia="zh-CN"/>
        </w:rPr>
        <w:t>、</w:t>
      </w:r>
      <w:r>
        <w:t>办出特色。</w:t>
      </w:r>
    </w:p>
    <w:p>
      <w:pPr>
        <w:pStyle w:val="23"/>
      </w:pPr>
      <w:r>
        <w:t>绩效目标：一是持续完善自收自支人员薪资待遇制度，奖先敦后。二是继续承接国家和省、市级活动在我县举办，提升我县的美誉度和影响力。三是充分利用好我县微信传播矩阵“隆尧之声”平台。</w:t>
      </w:r>
    </w:p>
    <w:p>
      <w:pPr>
        <w:pStyle w:val="23"/>
      </w:pPr>
      <w:r>
        <w:t xml:space="preserve">绩效指标：进一步完善创收体系，增强融媒体中心自身造血能力；继续承接国家和省、市级活动在我县举办，提升我县的美誉度和影响力；充分利用好我县微信传播矩阵“隆尧之声”平台，在发生重大事件期间起到快速传递政策信息、引导社会舆论、收集反馈民意等方面发挥重大作用。 </w:t>
      </w:r>
    </w:p>
    <w:p>
      <w:pPr>
        <w:spacing w:line="500" w:lineRule="exact"/>
        <w:ind w:firstLine="560"/>
      </w:pPr>
      <w:r>
        <w:rPr>
          <w:rFonts w:eastAsia="方正仿宋_GBK"/>
          <w:color w:val="000000"/>
          <w:sz w:val="28"/>
        </w:rPr>
        <w:t>（三）工作保障措施</w:t>
      </w:r>
    </w:p>
    <w:p>
      <w:pPr>
        <w:pStyle w:val="24"/>
      </w:pPr>
      <w:r>
        <w:t>1、完善制度建设</w:t>
      </w:r>
    </w:p>
    <w:p>
      <w:pPr>
        <w:pStyle w:val="24"/>
      </w:pPr>
      <w:r>
        <w:t>完善预算绩效管理制度、资金管理办法、工作保障制度，为全年预算绩效目标实现奠定制度基础。</w:t>
      </w:r>
    </w:p>
    <w:p>
      <w:pPr>
        <w:pStyle w:val="24"/>
      </w:pPr>
      <w:r>
        <w:t>2、加强支出管理</w:t>
      </w:r>
    </w:p>
    <w:p>
      <w:pPr>
        <w:pStyle w:val="24"/>
      </w:pPr>
      <w:r>
        <w:t>通过优化支出结构，编细编实预算，尽快启动项目，对手续齐全的项目及时支付资金确保支出进度达标。</w:t>
      </w:r>
    </w:p>
    <w:p>
      <w:pPr>
        <w:pStyle w:val="24"/>
      </w:pPr>
      <w:r>
        <w:t>3、加强绩效运行监控</w:t>
      </w:r>
    </w:p>
    <w:p>
      <w:pPr>
        <w:pStyle w:val="24"/>
      </w:pPr>
      <w:r>
        <w:t>按要求开展绩效运行监控，发现问题及时采取措施，确保绩效目标如期保质实现。</w:t>
      </w:r>
    </w:p>
    <w:p>
      <w:pPr>
        <w:pStyle w:val="24"/>
      </w:pPr>
      <w:r>
        <w:t>4、做好绩效自评</w:t>
      </w:r>
    </w:p>
    <w:p>
      <w:pPr>
        <w:pStyle w:val="24"/>
      </w:pPr>
      <w:r>
        <w:t>按要求开展上年度单位预算绩效自评和重点评价工作，对评价中发现的问题及时整改，调整优化支出结构，提高财政资金使用效益。</w:t>
      </w:r>
    </w:p>
    <w:p>
      <w:pPr>
        <w:pStyle w:val="24"/>
      </w:pPr>
      <w:r>
        <w:t>5、规范财务资产管理</w:t>
      </w:r>
    </w:p>
    <w:p>
      <w:pPr>
        <w:pStyle w:val="24"/>
      </w:pPr>
      <w:r>
        <w:t>完善财务管理制度，严格审批程序，加强固定资产登记、使用和报废处置管理，做到支出合理，物尽其用。</w:t>
      </w:r>
    </w:p>
    <w:p>
      <w:pPr>
        <w:pStyle w:val="24"/>
      </w:pPr>
      <w:r>
        <w:t>6、加强内部监督</w:t>
      </w:r>
    </w:p>
    <w:p>
      <w:pPr>
        <w:pStyle w:val="24"/>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r>
        <w:t>7、加强宣传培训</w:t>
      </w:r>
    </w:p>
    <w:p>
      <w:pPr>
        <w:pStyle w:val="24"/>
      </w:pPr>
      <w:r>
        <w:t>加强人员培训，提高本单位职工业务素质；加强调研，提出优化财政资金配置、提高资金使用效益的意见；加大宣传力度，强化预算绩效管理意识，促进预算绩效管理水平进一步提升。</w:t>
      </w:r>
    </w:p>
    <w:p>
      <w:pPr>
        <w:ind w:firstLine="640"/>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p>
    <w:p>
      <w:pPr>
        <w:ind w:firstLine="560" w:firstLineChars="200"/>
        <w:rPr>
          <w:rFonts w:eastAsia="方正仿宋_GBK"/>
          <w:sz w:val="28"/>
          <w:lang w:eastAsia="zh-CN"/>
        </w:rPr>
        <w:sectPr>
          <w:pgSz w:w="16840" w:h="11900" w:orient="landscape"/>
          <w:pgMar w:top="1361" w:right="1020" w:bottom="1361" w:left="1020" w:header="720" w:footer="720" w:gutter="0"/>
          <w:cols w:space="720" w:num="1"/>
        </w:sectPr>
      </w:pPr>
      <w:r>
        <w:rPr>
          <w:rFonts w:hint="eastAsia" w:eastAsia="方正仿宋_GBK"/>
          <w:sz w:val="28"/>
        </w:rPr>
        <w:t>本年度无专项资金</w:t>
      </w:r>
      <w:r>
        <w:rPr>
          <w:rFonts w:hint="eastAsia" w:eastAsia="方正仿宋_GBK"/>
          <w:sz w:val="28"/>
          <w:lang w:eastAsia="zh-CN"/>
        </w:rPr>
        <w:t>。</w:t>
      </w:r>
    </w:p>
    <w:p>
      <w:pPr>
        <w:ind w:firstLine="320" w:firstLineChars="100"/>
        <w:rPr>
          <w:rFonts w:ascii="方正楷体_GBK" w:hAnsi="方正楷体_GBK" w:eastAsia="方正楷体_GBK" w:cs="方正楷体_GBK"/>
          <w:b/>
          <w:color w:val="000000"/>
          <w:sz w:val="32"/>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w:t>
      </w:r>
      <w:r>
        <w:rPr>
          <w:rFonts w:hint="eastAsia" w:ascii="方正楷体_GBK" w:hAnsi="方正楷体_GBK" w:eastAsia="方正楷体_GBK" w:cs="方正楷体_GBK"/>
          <w:b/>
          <w:color w:val="000000"/>
          <w:sz w:val="32"/>
          <w:lang w:eastAsia="zh-CN"/>
        </w:rPr>
        <w:t>目标</w:t>
      </w:r>
    </w:p>
    <w:p>
      <w:r>
        <w:rPr>
          <w:rFonts w:ascii="方正仿宋_GBK" w:hAnsi="方正仿宋_GBK" w:eastAsia="方正仿宋_GBK" w:cs="方正仿宋_GBK"/>
          <w:b/>
          <w:color w:val="000000"/>
          <w:sz w:val="28"/>
        </w:rPr>
        <w:t>1、《今日隆尧》内刊经费绩效目标表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1.目标内容1、提升舆论引导能力，大力宣传党的方针路线政策，宣传县委、县政府中心工作，为隆尧经济发展和社会稳定营造良好舆论氛围。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举办期数</w:t>
            </w:r>
          </w:p>
        </w:tc>
        <w:tc>
          <w:tcPr>
            <w:tcW w:w="2835" w:type="dxa"/>
            <w:vAlign w:val="center"/>
          </w:tcPr>
          <w:p>
            <w:pPr>
              <w:pStyle w:val="13"/>
              <w:rPr>
                <w:rFonts w:eastAsiaTheme="minorEastAsia"/>
                <w:lang w:eastAsia="zh-CN"/>
              </w:rPr>
            </w:pPr>
            <w:r>
              <w:rPr>
                <w:rFonts w:hint="eastAsia" w:eastAsiaTheme="minorEastAsia"/>
                <w:lang w:eastAsia="zh-CN"/>
              </w:rPr>
              <w:t>内刊举办期数</w:t>
            </w:r>
          </w:p>
        </w:tc>
        <w:tc>
          <w:tcPr>
            <w:tcW w:w="2551" w:type="dxa"/>
            <w:vAlign w:val="center"/>
          </w:tcPr>
          <w:p>
            <w:pPr>
              <w:pStyle w:val="13"/>
            </w:pPr>
            <w:r>
              <w:t>≥52期数</w:t>
            </w:r>
          </w:p>
        </w:tc>
        <w:tc>
          <w:tcPr>
            <w:tcW w:w="2268" w:type="dxa"/>
            <w:vAlign w:val="center"/>
          </w:tcPr>
          <w:p>
            <w:pPr>
              <w:pStyle w:val="13"/>
            </w:pPr>
            <w:r>
              <w:rPr>
                <w:rFonts w:hint="eastAsia" w:eastAsiaTheme="minorEastAsia"/>
                <w:lang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eastAsiaTheme="minorEastAsia"/>
                <w:color w:val="FF0000"/>
                <w:lang w:eastAsia="zh-CN"/>
              </w:rPr>
            </w:pPr>
            <w:r>
              <w:rPr>
                <w:rFonts w:hint="eastAsia"/>
                <w:lang w:eastAsia="zh-CN"/>
              </w:rPr>
              <w:t>达标率</w:t>
            </w:r>
          </w:p>
        </w:tc>
        <w:tc>
          <w:tcPr>
            <w:tcW w:w="2835" w:type="dxa"/>
            <w:vAlign w:val="center"/>
          </w:tcPr>
          <w:p>
            <w:pPr>
              <w:pStyle w:val="13"/>
              <w:rPr>
                <w:color w:val="FF0000"/>
              </w:rPr>
            </w:pPr>
            <w:r>
              <w:rPr>
                <w:rFonts w:hint="eastAsia"/>
                <w:lang w:eastAsia="zh-CN"/>
              </w:rPr>
              <w:t>印刷内刊质量达标率</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eastAsiaTheme="minorEastAsia"/>
                <w:lang w:eastAsia="zh-CN"/>
              </w:rPr>
              <w:t>工作任务</w:t>
            </w:r>
            <w:r>
              <w:t>完成及时率</w:t>
            </w:r>
          </w:p>
        </w:tc>
        <w:tc>
          <w:tcPr>
            <w:tcW w:w="2835" w:type="dxa"/>
            <w:vAlign w:val="center"/>
          </w:tcPr>
          <w:p>
            <w:pPr>
              <w:pStyle w:val="13"/>
              <w:rPr>
                <w:rFonts w:eastAsiaTheme="minorEastAsia"/>
                <w:lang w:eastAsia="zh-CN"/>
              </w:rPr>
            </w:pPr>
            <w:r>
              <w:rPr>
                <w:rFonts w:hint="eastAsia" w:eastAsiaTheme="minorEastAsia"/>
                <w:lang w:eastAsia="zh-CN"/>
              </w:rPr>
              <w:t>反映工作任务</w:t>
            </w:r>
            <w:r>
              <w:t>完成及时</w:t>
            </w:r>
            <w:r>
              <w:rPr>
                <w:rFonts w:hint="eastAsia" w:eastAsiaTheme="minorEastAsia"/>
                <w:lang w:eastAsia="zh-CN"/>
              </w:rPr>
              <w:t>情况</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2835" w:type="dxa"/>
            <w:vAlign w:val="center"/>
          </w:tcPr>
          <w:p>
            <w:pPr>
              <w:pStyle w:val="13"/>
              <w:rPr>
                <w:lang w:eastAsia="zh-CN"/>
              </w:rPr>
            </w:pPr>
            <w:r>
              <w:rPr>
                <w:rFonts w:hint="eastAsia"/>
                <w:lang w:eastAsia="zh-CN"/>
              </w:rPr>
              <w:t>实际执行资金占预算资金的比率</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eastAsiaTheme="minorEastAsia"/>
                <w:lang w:eastAsia="zh-CN"/>
              </w:rPr>
            </w:pPr>
            <w:r>
              <w:t>传播推广隆尧文化</w:t>
            </w:r>
          </w:p>
        </w:tc>
        <w:tc>
          <w:tcPr>
            <w:tcW w:w="2835" w:type="dxa"/>
            <w:vAlign w:val="center"/>
          </w:tcPr>
          <w:p>
            <w:pPr>
              <w:pStyle w:val="13"/>
              <w:rPr>
                <w:rFonts w:eastAsiaTheme="minorEastAsia"/>
                <w:lang w:eastAsia="zh-CN"/>
              </w:rPr>
            </w:pPr>
            <w:r>
              <w:rPr>
                <w:rFonts w:hint="eastAsia" w:eastAsiaTheme="minorEastAsia"/>
                <w:lang w:eastAsia="zh-CN"/>
              </w:rPr>
              <w:t>反映</w:t>
            </w:r>
            <w:r>
              <w:t>传播推广隆尧文化</w:t>
            </w:r>
            <w:r>
              <w:rPr>
                <w:rFonts w:hint="eastAsia" w:eastAsiaTheme="minorEastAsia"/>
                <w:lang w:eastAsia="zh-CN"/>
              </w:rPr>
              <w:t>情况</w:t>
            </w:r>
          </w:p>
        </w:tc>
        <w:tc>
          <w:tcPr>
            <w:tcW w:w="2551" w:type="dxa"/>
            <w:vAlign w:val="center"/>
          </w:tcPr>
          <w:p>
            <w:pPr>
              <w:pStyle w:val="13"/>
              <w:rPr>
                <w:rFonts w:eastAsiaTheme="minorEastAsia"/>
                <w:lang w:eastAsia="zh-CN"/>
              </w:rPr>
            </w:pPr>
            <w:r>
              <w:rPr>
                <w:rFonts w:hint="eastAsia" w:eastAsiaTheme="minorEastAsia"/>
                <w:lang w:eastAsia="zh-CN"/>
              </w:rPr>
              <w:t>大幅提升</w:t>
            </w:r>
          </w:p>
        </w:tc>
        <w:tc>
          <w:tcPr>
            <w:tcW w:w="2268" w:type="dxa"/>
          </w:tcPr>
          <w:p>
            <w:r>
              <w:rPr>
                <w:rFonts w:hint="eastAsia" w:eastAsiaTheme="minorEastAsia"/>
                <w:lang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社会受众人群满意度</w:t>
            </w:r>
          </w:p>
        </w:tc>
        <w:tc>
          <w:tcPr>
            <w:tcW w:w="2551" w:type="dxa"/>
            <w:vAlign w:val="center"/>
          </w:tcPr>
          <w:p>
            <w:pPr>
              <w:pStyle w:val="13"/>
              <w:rPr>
                <w:rFonts w:eastAsiaTheme="minorEastAsia"/>
                <w:lang w:eastAsia="zh-CN"/>
              </w:rPr>
            </w:pPr>
            <w:r>
              <w:t>≥85</w:t>
            </w:r>
            <w:r>
              <w:rPr>
                <w:rFonts w:hint="eastAsia" w:eastAsiaTheme="minorEastAsia"/>
                <w:lang w:eastAsia="zh-CN"/>
              </w:rPr>
              <w:t>%</w:t>
            </w:r>
          </w:p>
        </w:tc>
        <w:tc>
          <w:tcPr>
            <w:tcW w:w="2268" w:type="dxa"/>
            <w:vAlign w:val="center"/>
          </w:tcPr>
          <w:p>
            <w:pPr>
              <w:pStyle w:val="13"/>
            </w:pPr>
            <w:r>
              <w:rPr>
                <w:rFonts w:hint="eastAsia" w:eastAsiaTheme="minorEastAsia"/>
                <w:lang w:eastAsia="zh-CN"/>
              </w:rPr>
              <w:t>年度工作</w:t>
            </w:r>
            <w:r>
              <w:t>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2、《尧乡问政》栏目经费绩效目标表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rPr>
                <w:b w:val="0"/>
              </w:rPr>
            </w:pPr>
            <w:r>
              <w:rPr>
                <w:b w:val="0"/>
              </w:rPr>
              <w:t>绩效目标</w:t>
            </w:r>
          </w:p>
        </w:tc>
        <w:tc>
          <w:tcPr>
            <w:tcW w:w="12756" w:type="dxa"/>
            <w:tcBorders>
              <w:bottom w:val="single" w:color="FFFFFF" w:sz="6" w:space="0"/>
            </w:tcBorders>
            <w:vAlign w:val="center"/>
          </w:tcPr>
          <w:p>
            <w:pPr>
              <w:pStyle w:val="13"/>
            </w:pPr>
            <w:r>
              <w:t>1.目标内容1、发现和解决群众和企业办事难点和堵点，优化群众办事、企业营商环境，全力打造人民满意的服务型政府。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栏目举办期数</w:t>
            </w:r>
          </w:p>
        </w:tc>
        <w:tc>
          <w:tcPr>
            <w:tcW w:w="2835" w:type="dxa"/>
            <w:vAlign w:val="center"/>
          </w:tcPr>
          <w:p>
            <w:pPr>
              <w:pStyle w:val="13"/>
            </w:pPr>
            <w:r>
              <w:t>栏目举办期数</w:t>
            </w:r>
          </w:p>
        </w:tc>
        <w:tc>
          <w:tcPr>
            <w:tcW w:w="2551" w:type="dxa"/>
            <w:vAlign w:val="center"/>
          </w:tcPr>
          <w:p>
            <w:pPr>
              <w:pStyle w:val="13"/>
            </w:pPr>
            <w:r>
              <w:t>≥12期</w:t>
            </w:r>
          </w:p>
        </w:tc>
        <w:tc>
          <w:tcPr>
            <w:tcW w:w="2268" w:type="dxa"/>
          </w:tcPr>
          <w:p>
            <w:pPr>
              <w:rPr>
                <w:rFonts w:ascii="方正书宋_GBK" w:hAnsi="方正书宋_GBK" w:eastAsia="方正书宋_GBK" w:cs="方正书宋_GBK"/>
                <w:sz w:val="21"/>
                <w:lang w:eastAsia="zh-CN"/>
              </w:rPr>
            </w:pPr>
            <w:r>
              <w:rPr>
                <w:rFonts w:hint="eastAsia" w:ascii="方正书宋_GBK" w:hAnsi="方正书宋_GBK" w:eastAsia="方正书宋_GBK" w:cs="方正书宋_GBK"/>
                <w:sz w:val="21"/>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质量指标</w:t>
            </w:r>
          </w:p>
        </w:tc>
        <w:tc>
          <w:tcPr>
            <w:tcW w:w="2835" w:type="dxa"/>
            <w:vAlign w:val="center"/>
          </w:tcPr>
          <w:p>
            <w:pPr>
              <w:pStyle w:val="13"/>
            </w:pPr>
            <w:r>
              <w:t>热点、难点解决率</w:t>
            </w:r>
          </w:p>
        </w:tc>
        <w:tc>
          <w:tcPr>
            <w:tcW w:w="2835" w:type="dxa"/>
            <w:vAlign w:val="center"/>
          </w:tcPr>
          <w:p>
            <w:pPr>
              <w:pStyle w:val="13"/>
            </w:pPr>
            <w:r>
              <w:rPr>
                <w:rFonts w:hint="eastAsia"/>
                <w:lang w:eastAsia="zh-CN"/>
              </w:rPr>
              <w:t>反映</w:t>
            </w:r>
            <w:r>
              <w:t>群众热点、难点解决率</w:t>
            </w:r>
          </w:p>
        </w:tc>
        <w:tc>
          <w:tcPr>
            <w:tcW w:w="2551" w:type="dxa"/>
            <w:vAlign w:val="center"/>
          </w:tcPr>
          <w:p>
            <w:pPr>
              <w:pStyle w:val="13"/>
              <w:rPr>
                <w:lang w:eastAsia="zh-CN"/>
              </w:rPr>
            </w:pPr>
            <w:r>
              <w:t>≥95</w:t>
            </w:r>
            <w:r>
              <w:rPr>
                <w:rFonts w:hint="eastAsia"/>
                <w:lang w:eastAsia="zh-CN"/>
              </w:rPr>
              <w:t>%</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年度工作</w:t>
            </w:r>
            <w:r>
              <w:rPr>
                <w:rFonts w:ascii="方正书宋_GBK" w:hAnsi="方正书宋_GBK" w:eastAsia="方正书宋_GBK" w:cs="方正书宋_GBK"/>
                <w:sz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工作效率</w:t>
            </w:r>
          </w:p>
        </w:tc>
        <w:tc>
          <w:tcPr>
            <w:tcW w:w="2835" w:type="dxa"/>
            <w:vAlign w:val="center"/>
          </w:tcPr>
          <w:p>
            <w:pPr>
              <w:pStyle w:val="13"/>
            </w:pPr>
            <w:r>
              <w:rPr>
                <w:rFonts w:hint="eastAsia"/>
                <w:lang w:eastAsia="zh-CN"/>
              </w:rPr>
              <w:t>反映各项工作完成及时率（%）</w:t>
            </w:r>
          </w:p>
        </w:tc>
        <w:tc>
          <w:tcPr>
            <w:tcW w:w="2551" w:type="dxa"/>
            <w:vAlign w:val="center"/>
          </w:tcPr>
          <w:p>
            <w:pPr>
              <w:pStyle w:val="13"/>
              <w:rPr>
                <w:lang w:eastAsia="zh-CN"/>
              </w:rPr>
            </w:pPr>
            <w:r>
              <w:rPr>
                <w:rFonts w:hint="eastAsia"/>
                <w:lang w:eastAsia="zh-CN"/>
              </w:rPr>
              <w:t>100%</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年度工作</w:t>
            </w:r>
            <w:r>
              <w:rPr>
                <w:rFonts w:ascii="方正书宋_GBK" w:hAnsi="方正书宋_GBK" w:eastAsia="方正书宋_GBK" w:cs="方正书宋_GBK"/>
                <w:sz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项目资金成本</w:t>
            </w:r>
          </w:p>
        </w:tc>
        <w:tc>
          <w:tcPr>
            <w:tcW w:w="2835" w:type="dxa"/>
            <w:vAlign w:val="center"/>
          </w:tcPr>
          <w:p>
            <w:pPr>
              <w:pStyle w:val="13"/>
            </w:pPr>
            <w:r>
              <w:rPr>
                <w:rFonts w:hint="eastAsia"/>
                <w:lang w:eastAsia="zh-CN"/>
              </w:rPr>
              <w:t>不超过预算资金额度</w:t>
            </w:r>
          </w:p>
        </w:tc>
        <w:tc>
          <w:tcPr>
            <w:tcW w:w="2551" w:type="dxa"/>
            <w:vAlign w:val="center"/>
          </w:tcPr>
          <w:p>
            <w:pPr>
              <w:pStyle w:val="13"/>
              <w:rPr>
                <w:lang w:eastAsia="zh-CN"/>
              </w:rPr>
            </w:pPr>
            <w:r>
              <w:rPr>
                <w:rFonts w:hint="eastAsia"/>
                <w:lang w:eastAsia="zh-CN"/>
              </w:rPr>
              <w:t>≦11.8万元</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rPr>
                <w:rFonts w:hint="eastAsia"/>
                <w:lang w:eastAsia="zh-CN"/>
              </w:rPr>
              <w:t>可持续影响</w:t>
            </w:r>
            <w:r>
              <w:t>指标</w:t>
            </w:r>
          </w:p>
        </w:tc>
        <w:tc>
          <w:tcPr>
            <w:tcW w:w="2835" w:type="dxa"/>
            <w:vAlign w:val="center"/>
          </w:tcPr>
          <w:p>
            <w:pPr>
              <w:pStyle w:val="13"/>
              <w:rPr>
                <w:lang w:eastAsia="zh-CN"/>
              </w:rPr>
            </w:pPr>
            <w:r>
              <w:rPr>
                <w:rFonts w:hint="eastAsia"/>
                <w:lang w:eastAsia="zh-CN"/>
              </w:rPr>
              <w:t>增长率</w:t>
            </w:r>
          </w:p>
        </w:tc>
        <w:tc>
          <w:tcPr>
            <w:tcW w:w="2835" w:type="dxa"/>
            <w:vAlign w:val="center"/>
          </w:tcPr>
          <w:p>
            <w:pPr>
              <w:pStyle w:val="13"/>
              <w:rPr>
                <w:lang w:eastAsia="zh-CN"/>
              </w:rPr>
            </w:pPr>
            <w:r>
              <w:rPr>
                <w:rFonts w:hint="eastAsia"/>
                <w:lang w:eastAsia="zh-CN"/>
              </w:rPr>
              <w:t>政府服务能力、解决能力的增长率</w:t>
            </w:r>
          </w:p>
        </w:tc>
        <w:tc>
          <w:tcPr>
            <w:tcW w:w="2551" w:type="dxa"/>
            <w:vAlign w:val="center"/>
          </w:tcPr>
          <w:p>
            <w:pPr>
              <w:pStyle w:val="13"/>
            </w:pPr>
            <w:r>
              <w:t>≥5</w:t>
            </w:r>
            <w:r>
              <w:rPr>
                <w:rFonts w:hint="eastAsia"/>
                <w:lang w:eastAsia="zh-CN"/>
              </w:rPr>
              <w:t>%</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2835" w:type="dxa"/>
            <w:vAlign w:val="center"/>
          </w:tcPr>
          <w:p>
            <w:pPr>
              <w:pStyle w:val="13"/>
            </w:pPr>
            <w:r>
              <w:rPr>
                <w:rFonts w:hint="eastAsia"/>
                <w:lang w:eastAsia="zh-CN"/>
              </w:rPr>
              <w:t>反映</w:t>
            </w:r>
            <w:r>
              <w:t>社会公众</w:t>
            </w:r>
            <w:r>
              <w:rPr>
                <w:rFonts w:hint="eastAsia"/>
                <w:lang w:eastAsia="zh-CN"/>
              </w:rPr>
              <w:t>对问政栏目的</w:t>
            </w:r>
            <w:r>
              <w:t>满意</w:t>
            </w:r>
            <w:r>
              <w:rPr>
                <w:rFonts w:hint="eastAsia"/>
                <w:lang w:eastAsia="zh-CN"/>
              </w:rPr>
              <w:t>程</w:t>
            </w:r>
            <w:r>
              <w:t>度</w:t>
            </w:r>
          </w:p>
        </w:tc>
        <w:tc>
          <w:tcPr>
            <w:tcW w:w="2551" w:type="dxa"/>
            <w:vAlign w:val="center"/>
          </w:tcPr>
          <w:p>
            <w:pPr>
              <w:pStyle w:val="13"/>
            </w:pPr>
            <w:r>
              <w:t>≥90</w:t>
            </w:r>
            <w:r>
              <w:rPr>
                <w:rFonts w:hint="eastAsia"/>
                <w:lang w:eastAsia="zh-CN"/>
              </w:rPr>
              <w:t>%</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根据反馈意见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3、办案补助/经费自理人员经费绩效目标表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1.目标内容1、及时发放自收自支人员工资，及时缴纳社保，保持人员情绪稳定，保障单位正常运转。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eastAsiaTheme="minorEastAsia"/>
                <w:lang w:eastAsia="zh-CN"/>
              </w:rPr>
              <w:t>发放工资</w:t>
            </w:r>
            <w:r>
              <w:t>人数</w:t>
            </w:r>
          </w:p>
        </w:tc>
        <w:tc>
          <w:tcPr>
            <w:tcW w:w="2835" w:type="dxa"/>
            <w:vAlign w:val="center"/>
          </w:tcPr>
          <w:p>
            <w:pPr>
              <w:pStyle w:val="13"/>
            </w:pPr>
            <w:r>
              <w:t>自支人员</w:t>
            </w:r>
            <w:r>
              <w:rPr>
                <w:rFonts w:hint="eastAsia" w:eastAsiaTheme="minorEastAsia"/>
                <w:lang w:eastAsia="zh-CN"/>
              </w:rPr>
              <w:t>工资发放</w:t>
            </w:r>
            <w:r>
              <w:t>人数</w:t>
            </w:r>
          </w:p>
        </w:tc>
        <w:tc>
          <w:tcPr>
            <w:tcW w:w="2551" w:type="dxa"/>
            <w:vAlign w:val="center"/>
          </w:tcPr>
          <w:p>
            <w:pPr>
              <w:pStyle w:val="13"/>
            </w:pPr>
            <w:r>
              <w:t>≥36人</w:t>
            </w:r>
          </w:p>
        </w:tc>
        <w:tc>
          <w:tcPr>
            <w:tcW w:w="2268" w:type="dxa"/>
            <w:vAlign w:val="center"/>
          </w:tcPr>
          <w:p>
            <w:pPr>
              <w:pStyle w:val="13"/>
            </w:pPr>
            <w:r>
              <w:t>实际在岗人数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2835" w:type="dxa"/>
            <w:vAlign w:val="center"/>
          </w:tcPr>
          <w:p>
            <w:pPr>
              <w:pStyle w:val="13"/>
              <w:rPr>
                <w:rFonts w:eastAsiaTheme="minorEastAsia"/>
                <w:lang w:eastAsia="zh-CN"/>
              </w:rPr>
            </w:pPr>
            <w:r>
              <w:rPr>
                <w:rFonts w:hint="eastAsia" w:eastAsiaTheme="minorEastAsia"/>
                <w:lang w:eastAsia="zh-CN"/>
              </w:rPr>
              <w:t>实际到位资金占预算资金比率（%）</w:t>
            </w:r>
          </w:p>
        </w:tc>
        <w:tc>
          <w:tcPr>
            <w:tcW w:w="2551" w:type="dxa"/>
            <w:vAlign w:val="center"/>
          </w:tcPr>
          <w:p>
            <w:pPr>
              <w:pStyle w:val="13"/>
              <w:rPr>
                <w:lang w:eastAsia="zh-CN"/>
              </w:rPr>
            </w:pPr>
            <w:r>
              <w:t>≥80</w:t>
            </w:r>
            <w:r>
              <w:rPr>
                <w:rFonts w:hint="eastAsia"/>
                <w:lang w:eastAsia="zh-CN"/>
              </w:rPr>
              <w:t>%</w:t>
            </w:r>
          </w:p>
        </w:tc>
        <w:tc>
          <w:tcPr>
            <w:tcW w:w="2268" w:type="dxa"/>
            <w:vAlign w:val="center"/>
          </w:tcPr>
          <w:p>
            <w:pPr>
              <w:pStyle w:val="13"/>
              <w:rPr>
                <w:lang w:eastAsia="zh-CN"/>
              </w:rPr>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运转经费拨付及时率</w:t>
            </w:r>
          </w:p>
        </w:tc>
        <w:tc>
          <w:tcPr>
            <w:tcW w:w="2835" w:type="dxa"/>
            <w:vAlign w:val="center"/>
          </w:tcPr>
          <w:p>
            <w:pPr>
              <w:pStyle w:val="13"/>
            </w:pPr>
            <w:r>
              <w:t>运转经费拨付及时率</w:t>
            </w:r>
            <w:r>
              <w:rPr>
                <w:rFonts w:hint="eastAsia" w:eastAsiaTheme="minorEastAsia"/>
                <w:lang w:eastAsia="zh-CN"/>
              </w:rPr>
              <w:t>（%）</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根据实际拨付经费情况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2835" w:type="dxa"/>
            <w:vAlign w:val="center"/>
          </w:tcPr>
          <w:p>
            <w:pPr>
              <w:pStyle w:val="13"/>
              <w:rPr>
                <w:lang w:eastAsia="zh-CN"/>
              </w:rPr>
            </w:pPr>
            <w:r>
              <w:rPr>
                <w:rFonts w:hint="eastAsia"/>
                <w:lang w:eastAsia="zh-CN"/>
              </w:rPr>
              <w:t>实际执行资金占预算资金的比率（%）</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eastAsiaTheme="minorEastAsia"/>
                <w:lang w:eastAsia="zh-CN"/>
              </w:rPr>
            </w:pPr>
            <w:r>
              <w:rPr>
                <w:rFonts w:hint="eastAsia" w:eastAsiaTheme="minorEastAsia"/>
                <w:lang w:eastAsia="zh-CN"/>
              </w:rPr>
              <w:t>职工队伍</w:t>
            </w:r>
            <w:r>
              <w:t>情绪稳定</w:t>
            </w:r>
            <w:r>
              <w:rPr>
                <w:rFonts w:hint="eastAsia" w:eastAsiaTheme="minorEastAsia"/>
                <w:lang w:eastAsia="zh-CN"/>
              </w:rPr>
              <w:t>情况</w:t>
            </w:r>
          </w:p>
        </w:tc>
        <w:tc>
          <w:tcPr>
            <w:tcW w:w="2835" w:type="dxa"/>
            <w:vAlign w:val="center"/>
          </w:tcPr>
          <w:p>
            <w:pPr>
              <w:pStyle w:val="13"/>
            </w:pPr>
            <w:r>
              <w:rPr>
                <w:rFonts w:hint="eastAsia" w:ascii="宋体" w:hAnsi="宋体" w:eastAsia="宋体" w:cs="宋体"/>
                <w:color w:val="000000"/>
                <w:sz w:val="22"/>
                <w:szCs w:val="22"/>
              </w:rPr>
              <w:t>情绪稳定</w:t>
            </w:r>
            <w:r>
              <w:rPr>
                <w:rFonts w:hint="eastAsia" w:ascii="宋体" w:hAnsi="宋体" w:eastAsia="宋体" w:cs="宋体"/>
                <w:color w:val="000000"/>
                <w:sz w:val="22"/>
                <w:szCs w:val="22"/>
                <w:lang w:eastAsia="zh-CN"/>
              </w:rPr>
              <w:t>职工占总职工人数的比率（%）</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eastAsiaTheme="minorEastAsia"/>
                <w:lang w:eastAsia="zh-CN"/>
              </w:rPr>
              <w:t>职工</w:t>
            </w:r>
            <w:r>
              <w:t>满意度</w:t>
            </w:r>
          </w:p>
        </w:tc>
        <w:tc>
          <w:tcPr>
            <w:tcW w:w="2835" w:type="dxa"/>
            <w:vAlign w:val="center"/>
          </w:tcPr>
          <w:p>
            <w:pPr>
              <w:pStyle w:val="13"/>
            </w:pPr>
            <w:r>
              <w:rPr>
                <w:rFonts w:hint="eastAsia"/>
                <w:lang w:eastAsia="zh-CN"/>
              </w:rPr>
              <w:t>自支人员对拨付经费</w:t>
            </w:r>
            <w:r>
              <w:t>满意</w:t>
            </w:r>
            <w:r>
              <w:rPr>
                <w:rFonts w:hint="eastAsia"/>
                <w:lang w:eastAsia="zh-CN"/>
              </w:rPr>
              <w:t>程</w:t>
            </w:r>
            <w:r>
              <w:t>度</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根据职工反馈意见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4、偿还借款绩效目标表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1.目标内容1、及时偿还借款，提高政府公信力。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偿还金额</w:t>
            </w:r>
          </w:p>
        </w:tc>
        <w:tc>
          <w:tcPr>
            <w:tcW w:w="2835" w:type="dxa"/>
            <w:vAlign w:val="center"/>
          </w:tcPr>
          <w:p>
            <w:pPr>
              <w:pStyle w:val="13"/>
            </w:pPr>
            <w:r>
              <w:t>偿还</w:t>
            </w:r>
            <w:r>
              <w:rPr>
                <w:rFonts w:hint="eastAsia" w:eastAsiaTheme="minorEastAsia"/>
                <w:lang w:eastAsia="zh-CN"/>
              </w:rPr>
              <w:t>借款</w:t>
            </w:r>
            <w:r>
              <w:t>金额</w:t>
            </w:r>
          </w:p>
        </w:tc>
        <w:tc>
          <w:tcPr>
            <w:tcW w:w="2551" w:type="dxa"/>
            <w:vAlign w:val="center"/>
          </w:tcPr>
          <w:p>
            <w:pPr>
              <w:pStyle w:val="13"/>
            </w:pPr>
            <w:r>
              <w:t>50万元</w:t>
            </w:r>
          </w:p>
        </w:tc>
        <w:tc>
          <w:tcPr>
            <w:tcW w:w="2268" w:type="dxa"/>
            <w:vAlign w:val="center"/>
          </w:tcPr>
          <w:p>
            <w:pPr>
              <w:pStyle w:val="13"/>
            </w:pPr>
            <w:r>
              <w:t>民事判决书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eastAsiaTheme="minorEastAsia"/>
                <w:lang w:eastAsia="zh-CN"/>
              </w:rPr>
            </w:pPr>
            <w:r>
              <w:rPr>
                <w:rFonts w:hint="eastAsia" w:eastAsiaTheme="minorEastAsia"/>
                <w:lang w:eastAsia="zh-CN"/>
              </w:rPr>
              <w:t>资金到位率</w:t>
            </w:r>
          </w:p>
        </w:tc>
        <w:tc>
          <w:tcPr>
            <w:tcW w:w="2835" w:type="dxa"/>
            <w:vAlign w:val="center"/>
          </w:tcPr>
          <w:p>
            <w:pPr>
              <w:pStyle w:val="13"/>
              <w:rPr>
                <w:rFonts w:eastAsiaTheme="minorEastAsia"/>
                <w:lang w:eastAsia="zh-CN"/>
              </w:rPr>
            </w:pPr>
            <w:r>
              <w:rPr>
                <w:rFonts w:hint="eastAsia" w:eastAsiaTheme="minorEastAsia"/>
                <w:lang w:eastAsia="zh-CN"/>
              </w:rPr>
              <w:t>实际到位资金占预算资金比率（%）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rPr>
                <w:lang w:eastAsia="zh-CN"/>
              </w:rPr>
            </w:pPr>
            <w:r>
              <w:rPr>
                <w:rFonts w:hint="eastAsia"/>
                <w:lang w:eastAsia="zh-CN"/>
              </w:rPr>
              <w:t>偿债计划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资金拨付及时率</w:t>
            </w:r>
          </w:p>
        </w:tc>
        <w:tc>
          <w:tcPr>
            <w:tcW w:w="2835" w:type="dxa"/>
          </w:tcPr>
          <w:p>
            <w:pPr>
              <w:rPr>
                <w:rFonts w:ascii="宋体" w:hAnsi="宋体" w:eastAsia="宋体" w:cs="宋体"/>
                <w:color w:val="000000"/>
                <w:sz w:val="22"/>
                <w:szCs w:val="22"/>
                <w:lang w:eastAsia="zh-CN"/>
              </w:rPr>
            </w:pPr>
            <w:r>
              <w:rPr>
                <w:rFonts w:hint="eastAsia" w:ascii="宋体" w:hAnsi="宋体" w:eastAsia="宋体" w:cs="宋体"/>
                <w:color w:val="000000"/>
                <w:sz w:val="22"/>
                <w:szCs w:val="22"/>
              </w:rPr>
              <w:t>资金拨付及时</w:t>
            </w:r>
            <w:r>
              <w:rPr>
                <w:rFonts w:hint="eastAsia" w:ascii="宋体" w:hAnsi="宋体" w:eastAsia="宋体" w:cs="宋体"/>
                <w:color w:val="000000"/>
                <w:sz w:val="22"/>
                <w:szCs w:val="22"/>
                <w:lang w:eastAsia="zh-CN"/>
              </w:rPr>
              <w:t>程度</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偿债计划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2835" w:type="dxa"/>
            <w:vAlign w:val="center"/>
          </w:tcPr>
          <w:p>
            <w:pPr>
              <w:pStyle w:val="13"/>
            </w:pPr>
            <w:r>
              <w:rPr>
                <w:rFonts w:hint="eastAsia"/>
                <w:lang w:eastAsia="zh-CN"/>
              </w:rPr>
              <w:t>实际执行资金占预算资金的比率（%）</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偿债计划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提高政府公信力</w:t>
            </w:r>
          </w:p>
        </w:tc>
        <w:tc>
          <w:tcPr>
            <w:tcW w:w="2835" w:type="dxa"/>
            <w:vAlign w:val="center"/>
          </w:tcPr>
          <w:p>
            <w:pPr>
              <w:pStyle w:val="13"/>
              <w:rPr>
                <w:lang w:eastAsia="zh-CN"/>
              </w:rPr>
            </w:pPr>
            <w:r>
              <w:rPr>
                <w:rFonts w:hint="eastAsia"/>
                <w:lang w:eastAsia="zh-CN"/>
              </w:rPr>
              <w:t>反映</w:t>
            </w:r>
            <w:r>
              <w:t>政府公信力</w:t>
            </w:r>
            <w:r>
              <w:rPr>
                <w:rFonts w:hint="eastAsia"/>
                <w:lang w:eastAsia="zh-CN"/>
              </w:rPr>
              <w:t>的提高</w:t>
            </w:r>
          </w:p>
        </w:tc>
        <w:tc>
          <w:tcPr>
            <w:tcW w:w="2551" w:type="dxa"/>
            <w:vAlign w:val="center"/>
          </w:tcPr>
          <w:p>
            <w:pPr>
              <w:pStyle w:val="13"/>
              <w:rPr>
                <w:lang w:eastAsia="zh-CN"/>
              </w:rPr>
            </w:pPr>
            <w:r>
              <w:rPr>
                <w:rFonts w:hint="eastAsia"/>
                <w:lang w:eastAsia="zh-CN"/>
              </w:rPr>
              <w:t>明显提高</w:t>
            </w:r>
          </w:p>
        </w:tc>
        <w:tc>
          <w:tcPr>
            <w:tcW w:w="2268" w:type="dxa"/>
          </w:tcPr>
          <w:p>
            <w:pPr>
              <w:pStyle w:val="13"/>
            </w:pPr>
            <w:r>
              <w:rPr>
                <w:rFonts w:hint="eastAsia"/>
                <w:lang w:eastAsia="zh-CN"/>
              </w:rPr>
              <w:t>偿债计划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债权人满意度</w:t>
            </w:r>
          </w:p>
        </w:tc>
        <w:tc>
          <w:tcPr>
            <w:tcW w:w="2835" w:type="dxa"/>
            <w:vAlign w:val="center"/>
          </w:tcPr>
          <w:p>
            <w:pPr>
              <w:pStyle w:val="13"/>
            </w:pPr>
            <w:r>
              <w:rPr>
                <w:rFonts w:hint="eastAsia"/>
                <w:lang w:eastAsia="zh-CN"/>
              </w:rPr>
              <w:t>反映</w:t>
            </w:r>
            <w:r>
              <w:t>债权人满意</w:t>
            </w:r>
            <w:r>
              <w:rPr>
                <w:rFonts w:hint="eastAsia"/>
                <w:lang w:eastAsia="zh-CN"/>
              </w:rPr>
              <w:t>程</w:t>
            </w:r>
            <w:r>
              <w:t>度</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偿债计划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5、冀财教[2022]189号/提前下达2023年省级公共文化服务体系建设补助资金绩效目标表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1.目标内容1、确保数字广播电视信号的正常稳定传输，保证全县广大群众收看到中央和省级广播电视台的节目信号。</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维护台站数量</w:t>
            </w:r>
          </w:p>
        </w:tc>
        <w:tc>
          <w:tcPr>
            <w:tcW w:w="2835" w:type="dxa"/>
            <w:vAlign w:val="center"/>
          </w:tcPr>
          <w:p>
            <w:pPr>
              <w:pStyle w:val="13"/>
            </w:pPr>
            <w:r>
              <w:t>维护微波台站数量</w:t>
            </w:r>
          </w:p>
        </w:tc>
        <w:tc>
          <w:tcPr>
            <w:tcW w:w="2551" w:type="dxa"/>
            <w:vAlign w:val="center"/>
          </w:tcPr>
          <w:p>
            <w:pPr>
              <w:pStyle w:val="13"/>
            </w:pPr>
            <w:r>
              <w:t>1个</w:t>
            </w:r>
          </w:p>
        </w:tc>
        <w:tc>
          <w:tcPr>
            <w:tcW w:w="2268" w:type="dxa"/>
            <w:vAlign w:val="center"/>
          </w:tcPr>
          <w:p>
            <w:pPr>
              <w:pStyle w:val="13"/>
              <w:rPr>
                <w:lang w:eastAsia="zh-CN"/>
              </w:rPr>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安全播出率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反映安全播出次数占所有播出次数的比例</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设备维修及时率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设备维修及时率（</w:t>
            </w:r>
            <w:r>
              <w:rPr>
                <w:rFonts w:ascii="Calibri" w:hAnsi="Calibri" w:cs="Calibri"/>
                <w:color w:val="000000"/>
                <w:sz w:val="22"/>
                <w:szCs w:val="22"/>
              </w:rPr>
              <w:t>%</w:t>
            </w:r>
            <w:r>
              <w:rPr>
                <w:rFonts w:hint="eastAsia" w:ascii="宋体" w:hAnsi="宋体" w:eastAsia="宋体" w:cs="宋体"/>
                <w:color w:val="000000"/>
                <w:sz w:val="22"/>
                <w:szCs w:val="22"/>
              </w:rPr>
              <w:t>）</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全年预算资金完成率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年终完成全年预算资金支出进度（</w:t>
            </w:r>
            <w:r>
              <w:rPr>
                <w:rFonts w:ascii="Calibri" w:hAnsi="Calibri" w:cs="Calibri"/>
                <w:color w:val="000000"/>
                <w:sz w:val="22"/>
                <w:szCs w:val="22"/>
              </w:rPr>
              <w:t>%</w:t>
            </w:r>
            <w:r>
              <w:rPr>
                <w:rFonts w:hint="eastAsia" w:ascii="宋体" w:hAnsi="宋体" w:eastAsia="宋体" w:cs="宋体"/>
                <w:color w:val="000000"/>
                <w:sz w:val="22"/>
                <w:szCs w:val="22"/>
              </w:rPr>
              <w:t>）</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广播电视综合人口覆盖率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县级广播电视综合人口覆盖率（</w:t>
            </w:r>
            <w:r>
              <w:rPr>
                <w:rFonts w:ascii="Calibri" w:hAnsi="Calibri" w:cs="Calibri"/>
                <w:color w:val="000000"/>
                <w:sz w:val="22"/>
                <w:szCs w:val="22"/>
              </w:rPr>
              <w:t>%</w:t>
            </w:r>
            <w:r>
              <w:rPr>
                <w:rFonts w:hint="eastAsia" w:ascii="宋体" w:hAnsi="宋体" w:eastAsia="宋体" w:cs="宋体"/>
                <w:color w:val="000000"/>
                <w:sz w:val="22"/>
                <w:szCs w:val="22"/>
              </w:rPr>
              <w:t>）</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群众对广播电视公共文化服务满意度</w:t>
            </w:r>
          </w:p>
        </w:tc>
        <w:tc>
          <w:tcPr>
            <w:tcW w:w="2835" w:type="dxa"/>
            <w:vAlign w:val="center"/>
          </w:tcPr>
          <w:p>
            <w:pPr>
              <w:pStyle w:val="13"/>
            </w:pPr>
            <w:r>
              <w:t>群众对广播电视公共文化服务满意</w:t>
            </w:r>
            <w:r>
              <w:rPr>
                <w:rFonts w:hint="eastAsia"/>
                <w:lang w:eastAsia="zh-CN"/>
              </w:rPr>
              <w:t>程</w:t>
            </w:r>
            <w:r>
              <w:t>度</w:t>
            </w:r>
          </w:p>
        </w:tc>
        <w:tc>
          <w:tcPr>
            <w:tcW w:w="2551" w:type="dxa"/>
            <w:vAlign w:val="center"/>
          </w:tcPr>
          <w:p>
            <w:pPr>
              <w:pStyle w:val="13"/>
            </w:pPr>
            <w:r>
              <w:t>≥90</w:t>
            </w:r>
            <w:r>
              <w:rPr>
                <w:rFonts w:hint="eastAsia"/>
                <w:lang w:eastAsia="zh-CN"/>
              </w:rPr>
              <w:t>%</w:t>
            </w:r>
          </w:p>
        </w:tc>
        <w:tc>
          <w:tcPr>
            <w:tcW w:w="2268" w:type="dxa"/>
          </w:tcPr>
          <w:p>
            <w:pPr>
              <w:pStyle w:val="13"/>
            </w:pPr>
            <w:r>
              <w:rPr>
                <w:rFonts w:hint="eastAsia"/>
                <w:lang w:eastAsia="zh-CN"/>
              </w:rPr>
              <w:t>冀财教[2022]189号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1.目标内容1、为职工提供一个温暖舒适的办公环境，提高工作效率，更好</w:t>
            </w:r>
            <w:r>
              <w:rPr>
                <w:rFonts w:hint="eastAsia"/>
                <w:lang w:eastAsia="zh-CN"/>
              </w:rPr>
              <w:t>地</w:t>
            </w:r>
            <w:bookmarkStart w:id="18" w:name="_GoBack"/>
            <w:bookmarkEnd w:id="18"/>
            <w:r>
              <w:t>为县委、县政府的中心工作开展宣传工作。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供暖面积</w:t>
            </w:r>
          </w:p>
        </w:tc>
        <w:tc>
          <w:tcPr>
            <w:tcW w:w="2835" w:type="dxa"/>
            <w:vAlign w:val="center"/>
          </w:tcPr>
          <w:p>
            <w:pPr>
              <w:pStyle w:val="13"/>
            </w:pPr>
            <w:r>
              <w:rPr>
                <w:rFonts w:hint="eastAsia" w:eastAsiaTheme="minorEastAsia"/>
                <w:lang w:eastAsia="zh-CN"/>
              </w:rPr>
              <w:t>实际</w:t>
            </w:r>
            <w:r>
              <w:t>供暖面积</w:t>
            </w:r>
          </w:p>
        </w:tc>
        <w:tc>
          <w:tcPr>
            <w:tcW w:w="2551" w:type="dxa"/>
            <w:vAlign w:val="center"/>
          </w:tcPr>
          <w:p>
            <w:pPr>
              <w:pStyle w:val="13"/>
            </w:pPr>
            <w:r>
              <w:t>1954.8㎡</w:t>
            </w:r>
          </w:p>
        </w:tc>
        <w:tc>
          <w:tcPr>
            <w:tcW w:w="2268" w:type="dxa"/>
            <w:vAlign w:val="center"/>
          </w:tcPr>
          <w:p>
            <w:pPr>
              <w:pStyle w:val="13"/>
            </w:pPr>
            <w:r>
              <w:t>实际供暖面积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室温达标率</w:t>
            </w:r>
          </w:p>
        </w:tc>
        <w:tc>
          <w:tcPr>
            <w:tcW w:w="2835" w:type="dxa"/>
            <w:vAlign w:val="center"/>
          </w:tcPr>
          <w:p>
            <w:pPr>
              <w:pStyle w:val="13"/>
              <w:rPr>
                <w:rFonts w:eastAsiaTheme="minorEastAsia"/>
                <w:lang w:eastAsia="zh-CN"/>
              </w:rPr>
            </w:pPr>
            <w:r>
              <w:rPr>
                <w:rFonts w:hint="eastAsia" w:eastAsiaTheme="minorEastAsia"/>
                <w:lang w:eastAsia="zh-CN"/>
              </w:rPr>
              <w:t>供暖室温达标天数占供暖总天数的比率（%）</w:t>
            </w:r>
          </w:p>
        </w:tc>
        <w:tc>
          <w:tcPr>
            <w:tcW w:w="2551" w:type="dxa"/>
            <w:vAlign w:val="center"/>
          </w:tcPr>
          <w:p>
            <w:pPr>
              <w:pStyle w:val="13"/>
              <w:rPr>
                <w:rFonts w:eastAsiaTheme="minorEastAsia"/>
                <w:lang w:eastAsia="zh-CN"/>
              </w:rPr>
            </w:pPr>
            <w:r>
              <w:t>≥95</w:t>
            </w:r>
            <w:r>
              <w:rPr>
                <w:rFonts w:hint="eastAsia" w:eastAsiaTheme="minorEastAsia"/>
                <w:lang w:eastAsia="zh-CN"/>
              </w:rPr>
              <w:t>%</w:t>
            </w:r>
          </w:p>
        </w:tc>
        <w:tc>
          <w:tcPr>
            <w:tcW w:w="2268" w:type="dxa"/>
            <w:vAlign w:val="center"/>
          </w:tcPr>
          <w:p>
            <w:pPr>
              <w:pStyle w:val="13"/>
            </w:pPr>
            <w:r>
              <w:rPr>
                <w:rFonts w:hint="eastAsia"/>
                <w:lang w:eastAsia="zh-CN"/>
              </w:rPr>
              <w:t>历史</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供暖及时率</w:t>
            </w:r>
          </w:p>
        </w:tc>
        <w:tc>
          <w:tcPr>
            <w:tcW w:w="2835" w:type="dxa"/>
            <w:vAlign w:val="center"/>
          </w:tcPr>
          <w:p>
            <w:pPr>
              <w:pStyle w:val="13"/>
              <w:rPr>
                <w:rFonts w:eastAsiaTheme="minorEastAsia"/>
                <w:lang w:eastAsia="zh-CN"/>
              </w:rPr>
            </w:pPr>
            <w:r>
              <w:rPr>
                <w:rFonts w:hint="eastAsia" w:eastAsiaTheme="minorEastAsia"/>
                <w:lang w:eastAsia="zh-CN"/>
              </w:rPr>
              <w:t>反映</w:t>
            </w:r>
            <w:r>
              <w:t>供暖及时</w:t>
            </w:r>
            <w:r>
              <w:rPr>
                <w:rFonts w:hint="eastAsia" w:eastAsiaTheme="minorEastAsia"/>
                <w:lang w:eastAsia="zh-CN"/>
              </w:rPr>
              <w:t>情况</w:t>
            </w:r>
          </w:p>
        </w:tc>
        <w:tc>
          <w:tcPr>
            <w:tcW w:w="2551" w:type="dxa"/>
            <w:vAlign w:val="center"/>
          </w:tcPr>
          <w:p>
            <w:pPr>
              <w:pStyle w:val="13"/>
            </w:pPr>
            <w:r>
              <w:t>100</w:t>
            </w:r>
            <w:r>
              <w:rPr>
                <w:rFonts w:hint="eastAsia" w:eastAsiaTheme="minorEastAsia"/>
                <w:lang w:eastAsia="zh-CN"/>
              </w:rPr>
              <w:t>%</w:t>
            </w:r>
          </w:p>
        </w:tc>
        <w:tc>
          <w:tcPr>
            <w:tcW w:w="2268" w:type="dxa"/>
            <w:vAlign w:val="center"/>
          </w:tcPr>
          <w:p>
            <w:pPr>
              <w:pStyle w:val="13"/>
            </w:pPr>
            <w:r>
              <w:rPr>
                <w:rFonts w:hint="eastAsia"/>
                <w:lang w:eastAsia="zh-CN"/>
              </w:rPr>
              <w:t>历史</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2835" w:type="dxa"/>
            <w:vAlign w:val="center"/>
          </w:tcPr>
          <w:p>
            <w:pPr>
              <w:pStyle w:val="13"/>
            </w:pPr>
            <w:r>
              <w:rPr>
                <w:rFonts w:hint="eastAsia" w:eastAsiaTheme="minorEastAsia"/>
                <w:lang w:eastAsia="zh-CN"/>
              </w:rPr>
              <w:t>实际运行成本占运行保障成本的比率（%）</w:t>
            </w:r>
          </w:p>
        </w:tc>
        <w:tc>
          <w:tcPr>
            <w:tcW w:w="2551" w:type="dxa"/>
            <w:vAlign w:val="center"/>
          </w:tcPr>
          <w:p>
            <w:pPr>
              <w:pStyle w:val="13"/>
            </w:pPr>
            <w:r>
              <w:t>100</w:t>
            </w:r>
            <w:r>
              <w:rPr>
                <w:rFonts w:hint="eastAsia" w:eastAsiaTheme="minorEastAsia"/>
                <w:lang w:eastAsia="zh-CN"/>
              </w:rPr>
              <w:t>%</w:t>
            </w:r>
          </w:p>
        </w:tc>
        <w:tc>
          <w:tcPr>
            <w:tcW w:w="2268" w:type="dxa"/>
            <w:vAlign w:val="center"/>
          </w:tcPr>
          <w:p>
            <w:pPr>
              <w:pStyle w:val="13"/>
            </w:pPr>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工作效率</w:t>
            </w:r>
          </w:p>
        </w:tc>
        <w:tc>
          <w:tcPr>
            <w:tcW w:w="2835" w:type="dxa"/>
            <w:vAlign w:val="center"/>
          </w:tcPr>
          <w:p>
            <w:pPr>
              <w:pStyle w:val="13"/>
            </w:pPr>
            <w:r>
              <w:rPr>
                <w:rFonts w:hint="eastAsia" w:eastAsiaTheme="minorEastAsia"/>
                <w:lang w:eastAsia="zh-CN"/>
              </w:rPr>
              <w:t>实际完成工作占应完成工作的比率（%）</w:t>
            </w:r>
          </w:p>
        </w:tc>
        <w:tc>
          <w:tcPr>
            <w:tcW w:w="2551" w:type="dxa"/>
            <w:vAlign w:val="center"/>
          </w:tcPr>
          <w:p>
            <w:pPr>
              <w:pStyle w:val="13"/>
            </w:pPr>
            <w:r>
              <w:t>≥95</w:t>
            </w:r>
            <w:r>
              <w:rPr>
                <w:rFonts w:hint="eastAsia" w:eastAsiaTheme="minorEastAsia"/>
                <w:lang w:eastAsia="zh-CN"/>
              </w:rPr>
              <w:t>%</w:t>
            </w:r>
          </w:p>
        </w:tc>
        <w:tc>
          <w:tcPr>
            <w:tcW w:w="2268" w:type="dxa"/>
            <w:vAlign w:val="center"/>
          </w:tcPr>
          <w:p>
            <w:pPr>
              <w:pStyle w:val="13"/>
              <w:rPr>
                <w:rFonts w:eastAsiaTheme="minorEastAsia"/>
                <w:lang w:eastAsia="zh-CN"/>
              </w:rPr>
            </w:pPr>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2835" w:type="dxa"/>
            <w:vAlign w:val="center"/>
          </w:tcPr>
          <w:p>
            <w:pPr>
              <w:pStyle w:val="13"/>
            </w:pPr>
            <w:r>
              <w:rPr>
                <w:rFonts w:hint="eastAsia" w:eastAsiaTheme="minorEastAsia"/>
                <w:lang w:eastAsia="zh-CN"/>
              </w:rPr>
              <w:t>反映</w:t>
            </w:r>
            <w:r>
              <w:t>工作人员满意</w:t>
            </w:r>
            <w:r>
              <w:rPr>
                <w:rFonts w:hint="eastAsia" w:eastAsiaTheme="minorEastAsia"/>
                <w:lang w:eastAsia="zh-CN"/>
              </w:rPr>
              <w:t>程</w:t>
            </w:r>
            <w:r>
              <w:t>度</w:t>
            </w:r>
          </w:p>
        </w:tc>
        <w:tc>
          <w:tcPr>
            <w:tcW w:w="2551" w:type="dxa"/>
            <w:vAlign w:val="center"/>
          </w:tcPr>
          <w:p>
            <w:pPr>
              <w:pStyle w:val="13"/>
            </w:pPr>
            <w:r>
              <w:t>≥95</w:t>
            </w:r>
            <w:r>
              <w:rPr>
                <w:rFonts w:hint="eastAsia" w:eastAsiaTheme="minorEastAsia"/>
                <w:lang w:eastAsia="zh-CN"/>
              </w:rPr>
              <w:t>%</w:t>
            </w:r>
          </w:p>
        </w:tc>
        <w:tc>
          <w:tcPr>
            <w:tcW w:w="2268" w:type="dxa"/>
            <w:vAlign w:val="center"/>
          </w:tcPr>
          <w:p>
            <w:pPr>
              <w:pStyle w:val="13"/>
            </w:pPr>
            <w:r>
              <w:rPr>
                <w:rFonts w:hint="eastAsia" w:eastAsiaTheme="minorEastAsia"/>
                <w:lang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7、融媒体中心正常运转经费绩效目标表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1.目标内容1、保持人员稳定，保障融媒体中心日常正常运转，从而能更好的服务宣传县委、县政府中心工作。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对上报道任务完成率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反映实际完成的对上报道任务占县委宣传部下达的目标任务数的比例</w:t>
            </w:r>
          </w:p>
        </w:tc>
        <w:tc>
          <w:tcPr>
            <w:tcW w:w="2551" w:type="dxa"/>
            <w:vAlign w:val="center"/>
          </w:tcPr>
          <w:p>
            <w:pPr>
              <w:pStyle w:val="13"/>
              <w:rPr>
                <w:rFonts w:eastAsiaTheme="minorEastAsia"/>
                <w:lang w:eastAsia="zh-CN"/>
              </w:rPr>
            </w:pPr>
            <w:r>
              <w:t>≥</w:t>
            </w:r>
            <w:r>
              <w:rPr>
                <w:rFonts w:hint="eastAsia" w:eastAsiaTheme="minorEastAsia"/>
                <w:lang w:eastAsia="zh-CN"/>
              </w:rPr>
              <w:t>95%</w:t>
            </w:r>
          </w:p>
        </w:tc>
        <w:tc>
          <w:tcPr>
            <w:tcW w:w="2268" w:type="dxa"/>
            <w:vAlign w:val="center"/>
          </w:tcPr>
          <w:p>
            <w:pPr>
              <w:pStyle w:val="13"/>
              <w:rPr>
                <w:rFonts w:eastAsiaTheme="minorEastAsia"/>
                <w:lang w:eastAsia="zh-CN"/>
              </w:rPr>
            </w:pPr>
            <w:r>
              <w:rPr>
                <w:rFonts w:hint="eastAsia" w:eastAsiaTheme="minorEastAsia"/>
                <w:lang w:eastAsia="zh-CN"/>
              </w:rP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综合事务管理工作完成率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反映综合事务管理工作完成情况</w:t>
            </w:r>
          </w:p>
        </w:tc>
        <w:tc>
          <w:tcPr>
            <w:tcW w:w="2551" w:type="dxa"/>
            <w:vAlign w:val="center"/>
          </w:tcPr>
          <w:p>
            <w:pPr>
              <w:pStyle w:val="13"/>
            </w:pPr>
            <w:r>
              <w:t>≥</w:t>
            </w:r>
            <w:r>
              <w:rPr>
                <w:rFonts w:hint="eastAsia" w:eastAsiaTheme="minorEastAsia"/>
                <w:lang w:eastAsia="zh-CN"/>
              </w:rPr>
              <w:t>95%</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运转经费拨付及时率</w:t>
            </w:r>
          </w:p>
        </w:tc>
        <w:tc>
          <w:tcPr>
            <w:tcW w:w="2835" w:type="dxa"/>
          </w:tcPr>
          <w:p>
            <w:pPr>
              <w:rPr>
                <w:rFonts w:ascii="宋体" w:hAnsi="宋体" w:cs="宋体" w:eastAsiaTheme="minorEastAsia"/>
                <w:color w:val="000000"/>
                <w:sz w:val="22"/>
                <w:szCs w:val="22"/>
                <w:lang w:eastAsia="zh-CN"/>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运转经费拨付</w:t>
            </w:r>
            <w:r>
              <w:rPr>
                <w:rFonts w:hint="eastAsia" w:ascii="宋体" w:hAnsi="宋体" w:eastAsia="宋体" w:cs="宋体"/>
                <w:color w:val="000000"/>
                <w:sz w:val="22"/>
                <w:szCs w:val="22"/>
                <w:lang w:eastAsia="zh-CN"/>
              </w:rPr>
              <w:t>情况</w:t>
            </w:r>
          </w:p>
        </w:tc>
        <w:tc>
          <w:tcPr>
            <w:tcW w:w="2551" w:type="dxa"/>
            <w:vAlign w:val="center"/>
          </w:tcPr>
          <w:p>
            <w:pPr>
              <w:pStyle w:val="13"/>
              <w:rPr>
                <w:rFonts w:eastAsiaTheme="minorEastAsia"/>
                <w:lang w:eastAsia="zh-CN"/>
              </w:rPr>
            </w:pPr>
            <w:r>
              <w:t>100</w:t>
            </w:r>
            <w:r>
              <w:rPr>
                <w:rFonts w:hint="eastAsia" w:eastAsiaTheme="minorEastAsia"/>
                <w:lang w:eastAsia="zh-CN"/>
              </w:rPr>
              <w:t>%</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预算资金执行率</w:t>
            </w:r>
          </w:p>
        </w:tc>
        <w:tc>
          <w:tcPr>
            <w:tcW w:w="2835" w:type="dxa"/>
          </w:tcPr>
          <w:p>
            <w:pPr>
              <w:rPr>
                <w:rFonts w:ascii="宋体" w:hAnsi="宋体" w:cs="宋体" w:eastAsiaTheme="minorEastAsia"/>
                <w:color w:val="000000"/>
                <w:sz w:val="22"/>
                <w:szCs w:val="22"/>
                <w:lang w:eastAsia="zh-CN"/>
              </w:rPr>
            </w:pPr>
            <w:r>
              <w:rPr>
                <w:rFonts w:hint="eastAsia"/>
                <w:sz w:val="22"/>
                <w:szCs w:val="22"/>
                <w:lang w:eastAsia="zh-CN"/>
              </w:rPr>
              <w:t>实际执行资金占预算资金的比率（%）</w:t>
            </w:r>
          </w:p>
        </w:tc>
        <w:tc>
          <w:tcPr>
            <w:tcW w:w="2551" w:type="dxa"/>
            <w:vAlign w:val="center"/>
          </w:tcPr>
          <w:p>
            <w:pPr>
              <w:pStyle w:val="13"/>
              <w:rPr>
                <w:rFonts w:eastAsiaTheme="minorEastAsia"/>
                <w:lang w:eastAsia="zh-CN"/>
              </w:rPr>
            </w:pPr>
            <w:r>
              <w:t>100</w:t>
            </w:r>
            <w:r>
              <w:rPr>
                <w:rFonts w:hint="eastAsia" w:eastAsiaTheme="minorEastAsia"/>
                <w:lang w:eastAsia="zh-CN"/>
              </w:rPr>
              <w:t>%</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职工队伍情绪稳定情况</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情绪稳定</w:t>
            </w:r>
            <w:r>
              <w:rPr>
                <w:rFonts w:hint="eastAsia" w:ascii="宋体" w:hAnsi="宋体" w:eastAsia="宋体" w:cs="宋体"/>
                <w:color w:val="000000"/>
                <w:sz w:val="22"/>
                <w:szCs w:val="22"/>
                <w:lang w:eastAsia="zh-CN"/>
              </w:rPr>
              <w:t>职工占总职工人数的比率（%）</w:t>
            </w:r>
          </w:p>
        </w:tc>
        <w:tc>
          <w:tcPr>
            <w:tcW w:w="2551" w:type="dxa"/>
            <w:vAlign w:val="center"/>
          </w:tcPr>
          <w:p>
            <w:pPr>
              <w:pStyle w:val="13"/>
              <w:rPr>
                <w:rFonts w:eastAsiaTheme="minorEastAsia"/>
                <w:lang w:eastAsia="zh-CN"/>
              </w:rPr>
            </w:pPr>
            <w:r>
              <w:t>≥80</w:t>
            </w:r>
            <w:r>
              <w:rPr>
                <w:rFonts w:hint="eastAsia" w:eastAsiaTheme="minorEastAsia"/>
                <w:lang w:eastAsia="zh-CN"/>
              </w:rPr>
              <w:t>%</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自支人员满意度</w:t>
            </w:r>
          </w:p>
        </w:tc>
        <w:tc>
          <w:tcPr>
            <w:tcW w:w="2835" w:type="dxa"/>
            <w:vAlign w:val="center"/>
          </w:tcPr>
          <w:p>
            <w:pPr>
              <w:pStyle w:val="13"/>
            </w:pPr>
            <w:r>
              <w:rPr>
                <w:rFonts w:hint="eastAsia"/>
                <w:lang w:eastAsia="zh-CN"/>
              </w:rPr>
              <w:t>反映</w:t>
            </w:r>
            <w:r>
              <w:t>自支人员满意程度</w:t>
            </w:r>
          </w:p>
        </w:tc>
        <w:tc>
          <w:tcPr>
            <w:tcW w:w="2551" w:type="dxa"/>
            <w:vAlign w:val="center"/>
          </w:tcPr>
          <w:p>
            <w:pPr>
              <w:pStyle w:val="13"/>
              <w:rPr>
                <w:lang w:eastAsia="zh-CN"/>
              </w:rPr>
            </w:pPr>
            <w:r>
              <w:t>≥80</w:t>
            </w:r>
            <w:r>
              <w:rPr>
                <w:rFonts w:hint="eastAsia"/>
                <w:lang w:eastAsia="zh-CN"/>
              </w:rPr>
              <w:t>%</w:t>
            </w:r>
          </w:p>
        </w:tc>
        <w:tc>
          <w:tcPr>
            <w:tcW w:w="2268" w:type="dxa"/>
          </w:tcPr>
          <w:p>
            <w:pPr>
              <w:pStyle w:val="13"/>
            </w:pPr>
            <w:r>
              <w:rPr>
                <w:rFonts w:hint="eastAsia"/>
                <w:lang w:eastAsia="zh-CN"/>
              </w:rPr>
              <w:t>根据反馈意见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8、退役军人专岗资金绩效目标表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1.目标内容1、促进退役军人稳定就业，解决退役军人生活生产问题，提高工作积极性，弘扬退役军人正能量</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专岗人数</w:t>
            </w:r>
          </w:p>
        </w:tc>
        <w:tc>
          <w:tcPr>
            <w:tcW w:w="2835" w:type="dxa"/>
            <w:vAlign w:val="center"/>
          </w:tcPr>
          <w:p>
            <w:pPr>
              <w:pStyle w:val="13"/>
            </w:pPr>
            <w:r>
              <w:rPr>
                <w:rFonts w:hint="eastAsia" w:eastAsiaTheme="minorEastAsia"/>
                <w:lang w:eastAsia="zh-CN"/>
              </w:rPr>
              <w:t>反映</w:t>
            </w:r>
            <w:r>
              <w:t>退役军人专岗人数</w:t>
            </w:r>
          </w:p>
        </w:tc>
        <w:tc>
          <w:tcPr>
            <w:tcW w:w="2551" w:type="dxa"/>
            <w:vAlign w:val="center"/>
          </w:tcPr>
          <w:p>
            <w:pPr>
              <w:pStyle w:val="13"/>
            </w:pPr>
            <w:r>
              <w:t>1人</w:t>
            </w:r>
          </w:p>
        </w:tc>
        <w:tc>
          <w:tcPr>
            <w:tcW w:w="2268" w:type="dxa"/>
            <w:vAlign w:val="center"/>
          </w:tcPr>
          <w:p>
            <w:pPr>
              <w:pStyle w:val="13"/>
            </w:pPr>
            <w:r>
              <w:t>退役军人事务局提供数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补贴资金到位率</w:t>
            </w:r>
          </w:p>
        </w:tc>
        <w:tc>
          <w:tcPr>
            <w:tcW w:w="2835" w:type="dxa"/>
            <w:vAlign w:val="center"/>
          </w:tcPr>
          <w:p>
            <w:pPr>
              <w:pStyle w:val="13"/>
              <w:rPr>
                <w:rFonts w:eastAsiaTheme="minorEastAsia"/>
                <w:lang w:eastAsia="zh-CN"/>
              </w:rPr>
            </w:pPr>
            <w:r>
              <w:rPr>
                <w:rFonts w:hint="eastAsia" w:eastAsiaTheme="minorEastAsia"/>
                <w:lang w:eastAsia="zh-CN"/>
              </w:rPr>
              <w:t>反映</w:t>
            </w:r>
            <w:r>
              <w:t>补贴资金到位</w:t>
            </w:r>
            <w:r>
              <w:rPr>
                <w:rFonts w:hint="eastAsia" w:eastAsiaTheme="minorEastAsia"/>
                <w:lang w:eastAsia="zh-CN"/>
              </w:rPr>
              <w:t>情况</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rPr>
                <w:lang w:eastAsia="zh-CN"/>
              </w:rPr>
            </w:pPr>
            <w:r>
              <w:rPr>
                <w:rFonts w:hint="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补贴资金发放及时率</w:t>
            </w:r>
          </w:p>
        </w:tc>
        <w:tc>
          <w:tcPr>
            <w:tcW w:w="2835" w:type="dxa"/>
            <w:vAlign w:val="center"/>
          </w:tcPr>
          <w:p>
            <w:pPr>
              <w:pStyle w:val="13"/>
              <w:rPr>
                <w:rFonts w:eastAsiaTheme="minorEastAsia"/>
                <w:lang w:eastAsia="zh-CN"/>
              </w:rPr>
            </w:pPr>
            <w:r>
              <w:rPr>
                <w:rFonts w:hint="eastAsia" w:eastAsiaTheme="minorEastAsia"/>
                <w:lang w:eastAsia="zh-CN"/>
              </w:rPr>
              <w:t>反映</w:t>
            </w:r>
            <w:r>
              <w:t>补贴资金发放</w:t>
            </w:r>
            <w:r>
              <w:rPr>
                <w:rFonts w:hint="eastAsia" w:eastAsiaTheme="minorEastAsia"/>
                <w:lang w:eastAsia="zh-CN"/>
              </w:rPr>
              <w:t>情况</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2835" w:type="dxa"/>
            <w:vAlign w:val="center"/>
          </w:tcPr>
          <w:p>
            <w:pPr>
              <w:pStyle w:val="13"/>
            </w:pPr>
            <w:r>
              <w:rPr>
                <w:rFonts w:hint="eastAsia" w:eastAsiaTheme="minorEastAsia"/>
                <w:lang w:eastAsia="zh-CN"/>
              </w:rPr>
              <w:t>实际运行成本占运行保障成本的比率（%）</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社会稳定性</w:t>
            </w:r>
          </w:p>
        </w:tc>
        <w:tc>
          <w:tcPr>
            <w:tcW w:w="2835" w:type="dxa"/>
            <w:vAlign w:val="center"/>
          </w:tcPr>
          <w:p>
            <w:pPr>
              <w:pStyle w:val="13"/>
              <w:rPr>
                <w:lang w:eastAsia="zh-CN"/>
              </w:rPr>
            </w:pPr>
            <w:r>
              <w:t>促进退役军人稳定就业，解决退役军人生活生产问题，提高工作积极性，弘扬退役军人正能量稳定性</w:t>
            </w:r>
          </w:p>
        </w:tc>
        <w:tc>
          <w:tcPr>
            <w:tcW w:w="2551" w:type="dxa"/>
            <w:vAlign w:val="center"/>
          </w:tcPr>
          <w:p>
            <w:pPr>
              <w:pStyle w:val="13"/>
            </w:pPr>
            <w:r>
              <w:t>工作积极性稳步提高</w:t>
            </w:r>
          </w:p>
        </w:tc>
        <w:tc>
          <w:tcPr>
            <w:tcW w:w="2268" w:type="dxa"/>
          </w:tcPr>
          <w:p>
            <w:pPr>
              <w:pStyle w:val="13"/>
            </w:pPr>
            <w:r>
              <w:rPr>
                <w:rFonts w:hint="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eastAsiaTheme="minorEastAsia"/>
                <w:lang w:eastAsia="zh-CN"/>
              </w:rPr>
              <w:t>服务对象</w:t>
            </w:r>
            <w:r>
              <w:t>满意度</w:t>
            </w:r>
          </w:p>
        </w:tc>
        <w:tc>
          <w:tcPr>
            <w:tcW w:w="2835" w:type="dxa"/>
            <w:vAlign w:val="center"/>
          </w:tcPr>
          <w:p>
            <w:pPr>
              <w:pStyle w:val="13"/>
            </w:pPr>
            <w:r>
              <w:rPr>
                <w:rFonts w:hint="eastAsia" w:eastAsiaTheme="minorEastAsia"/>
                <w:lang w:eastAsia="zh-CN"/>
              </w:rPr>
              <w:t>反映</w:t>
            </w:r>
            <w:r>
              <w:t>退役士兵对政府补贴满意程度</w:t>
            </w:r>
          </w:p>
        </w:tc>
        <w:tc>
          <w:tcPr>
            <w:tcW w:w="2551" w:type="dxa"/>
            <w:vAlign w:val="center"/>
          </w:tcPr>
          <w:p>
            <w:pPr>
              <w:pStyle w:val="13"/>
            </w:pPr>
            <w:r>
              <w:t>≥95</w:t>
            </w:r>
            <w:r>
              <w:rPr>
                <w:rFonts w:hint="eastAsia"/>
                <w:lang w:eastAsia="zh-CN"/>
              </w:rPr>
              <w:t>%</w:t>
            </w:r>
          </w:p>
        </w:tc>
        <w:tc>
          <w:tcPr>
            <w:tcW w:w="2268" w:type="dxa"/>
          </w:tcPr>
          <w:p>
            <w:pPr>
              <w:pStyle w:val="13"/>
            </w:pPr>
            <w:r>
              <w:rPr>
                <w:rFonts w:hint="eastAsia"/>
                <w:lang w:eastAsia="zh-CN"/>
              </w:rPr>
              <w:t>县政府专题会议纪要[2020]15号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9、网络传输费绩效目标表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1.目标内容1、保障IPTV网络电视传输专线、融媒体中心互联网专线线路传输畅通、信号稳定，更好的开展宣传工作。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网络数量</w:t>
            </w:r>
          </w:p>
        </w:tc>
        <w:tc>
          <w:tcPr>
            <w:tcW w:w="2835" w:type="dxa"/>
            <w:vAlign w:val="center"/>
          </w:tcPr>
          <w:p>
            <w:pPr>
              <w:pStyle w:val="13"/>
            </w:pPr>
            <w:r>
              <w:t>网络传输数量</w:t>
            </w:r>
          </w:p>
        </w:tc>
        <w:tc>
          <w:tcPr>
            <w:tcW w:w="2551" w:type="dxa"/>
            <w:vAlign w:val="center"/>
          </w:tcPr>
          <w:p>
            <w:pPr>
              <w:pStyle w:val="13"/>
            </w:pPr>
            <w:r>
              <w:t>2个</w:t>
            </w:r>
          </w:p>
        </w:tc>
        <w:tc>
          <w:tcPr>
            <w:tcW w:w="2268" w:type="dxa"/>
            <w:vAlign w:val="center"/>
          </w:tcPr>
          <w:p>
            <w:pPr>
              <w:pStyle w:val="13"/>
              <w:rPr>
                <w:rFonts w:eastAsiaTheme="minorEastAsia"/>
                <w:lang w:eastAsia="zh-CN"/>
              </w:rPr>
            </w:pPr>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项目资金到位率</w:t>
            </w:r>
          </w:p>
        </w:tc>
        <w:tc>
          <w:tcPr>
            <w:tcW w:w="2835" w:type="dxa"/>
          </w:tcPr>
          <w:p>
            <w:pPr>
              <w:rPr>
                <w:rFonts w:ascii="宋体" w:hAnsi="宋体" w:eastAsia="宋体" w:cs="宋体"/>
                <w:color w:val="000000"/>
                <w:sz w:val="22"/>
                <w:szCs w:val="22"/>
                <w:lang w:eastAsia="zh-CN"/>
              </w:rPr>
            </w:pPr>
            <w:r>
              <w:rPr>
                <w:rFonts w:hint="eastAsia" w:ascii="宋体" w:hAnsi="宋体" w:eastAsia="宋体" w:cs="宋体"/>
                <w:color w:val="000000"/>
                <w:sz w:val="22"/>
                <w:szCs w:val="22"/>
              </w:rPr>
              <w:t>实际到位资金</w:t>
            </w:r>
            <w:r>
              <w:rPr>
                <w:rFonts w:ascii="Calibri" w:hAnsi="Calibri"/>
                <w:color w:val="000000"/>
                <w:sz w:val="22"/>
                <w:szCs w:val="22"/>
              </w:rPr>
              <w:t>/</w:t>
            </w:r>
            <w:r>
              <w:rPr>
                <w:rFonts w:hint="eastAsia" w:ascii="宋体" w:hAnsi="宋体" w:eastAsia="宋体" w:cs="宋体"/>
                <w:color w:val="000000"/>
                <w:sz w:val="22"/>
                <w:szCs w:val="22"/>
              </w:rPr>
              <w:t>预算资金</w:t>
            </w:r>
            <w:r>
              <w:rPr>
                <w:rFonts w:hint="eastAsia" w:ascii="宋体" w:hAnsi="宋体" w:eastAsia="宋体" w:cs="宋体"/>
                <w:color w:val="000000"/>
                <w:sz w:val="22"/>
                <w:szCs w:val="22"/>
                <w:lang w:eastAsia="zh-CN"/>
              </w:rPr>
              <w:t>*100%</w:t>
            </w:r>
          </w:p>
        </w:tc>
        <w:tc>
          <w:tcPr>
            <w:tcW w:w="2551" w:type="dxa"/>
            <w:vAlign w:val="center"/>
          </w:tcPr>
          <w:p>
            <w:pPr>
              <w:pStyle w:val="13"/>
              <w:rPr>
                <w:rFonts w:eastAsiaTheme="minorEastAsia"/>
                <w:lang w:eastAsia="zh-CN"/>
              </w:rPr>
            </w:pPr>
            <w:r>
              <w:rPr>
                <w:rFonts w:hint="eastAsia" w:eastAsiaTheme="minorEastAsia"/>
                <w:lang w:eastAsia="zh-CN"/>
              </w:rPr>
              <w:t>100%</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项目资金到位及时性</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项目资金到达单位是否及时</w:t>
            </w:r>
          </w:p>
        </w:tc>
        <w:tc>
          <w:tcPr>
            <w:tcW w:w="2551" w:type="dxa"/>
            <w:vAlign w:val="center"/>
          </w:tcPr>
          <w:p>
            <w:pPr>
              <w:pStyle w:val="13"/>
            </w:pPr>
            <w:r>
              <w:t>100</w:t>
            </w:r>
            <w:r>
              <w:rPr>
                <w:rFonts w:hint="eastAsia" w:eastAsiaTheme="minorEastAsia"/>
                <w:lang w:eastAsia="zh-CN"/>
              </w:rPr>
              <w:t>%</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pStyle w:val="13"/>
            </w:pPr>
            <w:r>
              <w:rPr>
                <w:rFonts w:hint="eastAsia"/>
              </w:rPr>
              <w:t>项目资金成本</w:t>
            </w:r>
          </w:p>
        </w:tc>
        <w:tc>
          <w:tcPr>
            <w:tcW w:w="2835" w:type="dxa"/>
          </w:tcPr>
          <w:p>
            <w:pPr>
              <w:pStyle w:val="13"/>
              <w:rPr>
                <w:lang w:eastAsia="zh-CN"/>
              </w:rPr>
            </w:pPr>
            <w:r>
              <w:rPr>
                <w:rFonts w:hint="eastAsia"/>
                <w:lang w:eastAsia="zh-CN"/>
              </w:rPr>
              <w:t>不超过预算金额</w:t>
            </w:r>
          </w:p>
        </w:tc>
        <w:tc>
          <w:tcPr>
            <w:tcW w:w="2551" w:type="dxa"/>
            <w:vAlign w:val="center"/>
          </w:tcPr>
          <w:p>
            <w:pPr>
              <w:pStyle w:val="13"/>
              <w:rPr>
                <w:lang w:eastAsia="zh-CN"/>
              </w:rPr>
            </w:pPr>
            <w:r>
              <w:t>≤</w:t>
            </w:r>
            <w:r>
              <w:rPr>
                <w:rFonts w:hint="eastAsia"/>
                <w:lang w:eastAsia="zh-CN"/>
              </w:rPr>
              <w:t>4.2万元</w:t>
            </w:r>
          </w:p>
        </w:tc>
        <w:tc>
          <w:tcPr>
            <w:tcW w:w="2268" w:type="dxa"/>
          </w:tcPr>
          <w:p>
            <w:pPr>
              <w:pStyle w:val="13"/>
            </w:pPr>
            <w:r>
              <w:rPr>
                <w:rFonts w:hint="eastAsia"/>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tcPr>
          <w:p>
            <w:pPr>
              <w:pStyle w:val="13"/>
            </w:pPr>
            <w:r>
              <w:rPr>
                <w:rFonts w:hint="eastAsia"/>
              </w:rPr>
              <w:t>广播、电视人口综合覆盖率</w:t>
            </w:r>
          </w:p>
        </w:tc>
        <w:tc>
          <w:tcPr>
            <w:tcW w:w="2835" w:type="dxa"/>
          </w:tcPr>
          <w:p>
            <w:pPr>
              <w:pStyle w:val="13"/>
            </w:pPr>
            <w:r>
              <w:rPr>
                <w:rFonts w:hint="eastAsia"/>
              </w:rPr>
              <w:t>县级广播、电视人口综合覆盖率（</w:t>
            </w:r>
            <w:r>
              <w:t>%</w:t>
            </w:r>
            <w:r>
              <w:rPr>
                <w:rFonts w:hint="eastAsia"/>
              </w:rPr>
              <w:t>）</w:t>
            </w:r>
          </w:p>
        </w:tc>
        <w:tc>
          <w:tcPr>
            <w:tcW w:w="2551" w:type="dxa"/>
            <w:vAlign w:val="center"/>
          </w:tcPr>
          <w:p>
            <w:pPr>
              <w:pStyle w:val="13"/>
            </w:pPr>
            <w:r>
              <w:t>≥95</w:t>
            </w:r>
            <w:r>
              <w:rPr>
                <w:rFonts w:hint="eastAsia"/>
                <w:lang w:eastAsia="zh-CN"/>
              </w:rPr>
              <w:t>%</w:t>
            </w:r>
          </w:p>
        </w:tc>
        <w:tc>
          <w:tcPr>
            <w:tcW w:w="2268" w:type="dxa"/>
          </w:tcPr>
          <w:p>
            <w:pPr>
              <w:pStyle w:val="13"/>
            </w:pPr>
            <w:r>
              <w:rPr>
                <w:rFonts w:hint="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社会公众或服务对象的满意度</w:t>
            </w:r>
          </w:p>
        </w:tc>
        <w:tc>
          <w:tcPr>
            <w:tcW w:w="2835" w:type="dxa"/>
            <w:vAlign w:val="center"/>
          </w:tcPr>
          <w:p>
            <w:pPr>
              <w:pStyle w:val="13"/>
            </w:pPr>
            <w:r>
              <w:rPr>
                <w:rFonts w:hint="eastAsia" w:eastAsiaTheme="minorEastAsia"/>
                <w:lang w:eastAsia="zh-CN"/>
              </w:rPr>
              <w:t>反映</w:t>
            </w:r>
            <w:r>
              <w:t>社会公众或服务对象的满意程度</w:t>
            </w:r>
          </w:p>
        </w:tc>
        <w:tc>
          <w:tcPr>
            <w:tcW w:w="2551" w:type="dxa"/>
            <w:vAlign w:val="center"/>
          </w:tcPr>
          <w:p>
            <w:pPr>
              <w:pStyle w:val="13"/>
            </w:pPr>
            <w:r>
              <w:t>≥90</w:t>
            </w:r>
            <w:r>
              <w:rPr>
                <w:rFonts w:hint="eastAsia" w:eastAsiaTheme="minorEastAsia"/>
                <w:lang w:eastAsia="zh-CN"/>
              </w:rPr>
              <w:t>%</w:t>
            </w:r>
          </w:p>
        </w:tc>
        <w:tc>
          <w:tcPr>
            <w:tcW w:w="2268" w:type="dxa"/>
          </w:tcPr>
          <w:p>
            <w:r>
              <w:rPr>
                <w:rFonts w:hint="eastAsia" w:eastAsiaTheme="minorEastAsia"/>
                <w:lang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10、邢台市项目比看视频汇报片绩效目标表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eastAsiaTheme="minorEastAsia"/>
                <w:lang w:eastAsia="zh-CN"/>
              </w:rPr>
            </w:pPr>
            <w:r>
              <w:t>1.目标内容1、拍摄制作隆尧县项目建设进展情况视频汇报片，</w:t>
            </w:r>
            <w:r>
              <w:rPr>
                <w:rFonts w:hint="eastAsia" w:eastAsiaTheme="minorEastAsia"/>
                <w:lang w:eastAsia="zh-CN"/>
              </w:rPr>
              <w:t>宣传隆尧，推介隆尧。</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制作期数</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汇报片制作期数</w:t>
            </w:r>
          </w:p>
        </w:tc>
        <w:tc>
          <w:tcPr>
            <w:tcW w:w="2551" w:type="dxa"/>
            <w:vAlign w:val="center"/>
          </w:tcPr>
          <w:p>
            <w:pPr>
              <w:pStyle w:val="13"/>
            </w:pPr>
            <w:r>
              <w:t>≥4期数</w:t>
            </w:r>
          </w:p>
        </w:tc>
        <w:tc>
          <w:tcPr>
            <w:tcW w:w="2268" w:type="dxa"/>
            <w:vAlign w:val="center"/>
          </w:tcPr>
          <w:p>
            <w:pPr>
              <w:pStyle w:val="13"/>
            </w:pPr>
            <w:r>
              <w:t>根据县</w:t>
            </w:r>
            <w:r>
              <w:rPr>
                <w:rFonts w:hint="eastAsia"/>
                <w:lang w:eastAsia="zh-CN"/>
              </w:rPr>
              <w:t>工作</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质量指标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制作质量</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反映视频片</w:t>
            </w:r>
            <w:r>
              <w:rPr>
                <w:rFonts w:hint="eastAsia" w:ascii="方正书宋_GBK" w:hAnsi="方正书宋_GBK" w:eastAsia="方正书宋_GBK" w:cs="方正书宋_GBK"/>
                <w:sz w:val="21"/>
              </w:rPr>
              <w:t>制作质量情况</w:t>
            </w:r>
          </w:p>
        </w:tc>
        <w:tc>
          <w:tcPr>
            <w:tcW w:w="2551" w:type="dxa"/>
            <w:vAlign w:val="center"/>
          </w:tcPr>
          <w:p>
            <w:pPr>
              <w:pStyle w:val="13"/>
            </w:pPr>
            <w:r>
              <w:t>≥95</w:t>
            </w:r>
            <w:r>
              <w:rPr>
                <w:rFonts w:hint="eastAsia"/>
                <w:lang w:eastAsia="zh-CN"/>
              </w:rPr>
              <w:t>%</w:t>
            </w:r>
          </w:p>
        </w:tc>
        <w:tc>
          <w:tcPr>
            <w:tcW w:w="2268" w:type="dxa"/>
            <w:vAlign w:val="center"/>
          </w:tcPr>
          <w:p>
            <w:pPr>
              <w:rPr>
                <w:rFonts w:ascii="方正书宋_GBK" w:hAnsi="方正书宋_GBK" w:eastAsia="方正书宋_GBK" w:cs="方正书宋_GBK"/>
                <w:sz w:val="21"/>
                <w:lang w:eastAsia="zh-CN"/>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时效指标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各项工作完成及时率</w:t>
            </w:r>
          </w:p>
        </w:tc>
        <w:tc>
          <w:tcPr>
            <w:tcW w:w="2835" w:type="dxa"/>
          </w:tcPr>
          <w:p>
            <w:pPr>
              <w:rPr>
                <w:rFonts w:ascii="方正书宋_GBK" w:hAnsi="方正书宋_GBK" w:eastAsia="方正书宋_GBK" w:cs="方正书宋_GBK"/>
                <w:sz w:val="21"/>
                <w:lang w:eastAsia="zh-CN"/>
              </w:rPr>
            </w:pPr>
            <w:r>
              <w:rPr>
                <w:rFonts w:hint="eastAsia" w:ascii="方正书宋_GBK" w:hAnsi="方正书宋_GBK" w:eastAsia="方正书宋_GBK" w:cs="方正书宋_GBK"/>
                <w:sz w:val="21"/>
                <w:lang w:eastAsia="zh-CN"/>
              </w:rPr>
              <w:t>反映</w:t>
            </w:r>
            <w:r>
              <w:rPr>
                <w:rFonts w:hint="eastAsia" w:ascii="方正书宋_GBK" w:hAnsi="方正书宋_GBK" w:eastAsia="方正书宋_GBK" w:cs="方正书宋_GBK"/>
                <w:sz w:val="21"/>
              </w:rPr>
              <w:t>各项工作完成及时</w:t>
            </w:r>
            <w:r>
              <w:rPr>
                <w:rFonts w:hint="eastAsia" w:ascii="方正书宋_GBK" w:hAnsi="方正书宋_GBK" w:eastAsia="方正书宋_GBK" w:cs="方正书宋_GBK"/>
                <w:sz w:val="21"/>
                <w:lang w:eastAsia="zh-CN"/>
              </w:rPr>
              <w:t>情况</w:t>
            </w:r>
          </w:p>
        </w:tc>
        <w:tc>
          <w:tcPr>
            <w:tcW w:w="2551" w:type="dxa"/>
            <w:vAlign w:val="center"/>
          </w:tcPr>
          <w:p>
            <w:pPr>
              <w:pStyle w:val="13"/>
              <w:rPr>
                <w:lang w:eastAsia="zh-CN"/>
              </w:rPr>
            </w:pPr>
            <w:r>
              <w:rPr>
                <w:rFonts w:hint="eastAsia"/>
                <w:lang w:eastAsia="zh-CN"/>
              </w:rPr>
              <w:t>100%</w:t>
            </w:r>
          </w:p>
        </w:tc>
        <w:tc>
          <w:tcPr>
            <w:tcW w:w="2268" w:type="dxa"/>
          </w:tcPr>
          <w:p>
            <w:pPr>
              <w:rPr>
                <w:rFonts w:ascii="方正书宋_GBK" w:hAnsi="方正书宋_GBK" w:eastAsia="方正书宋_GBK" w:cs="方正书宋_GBK"/>
                <w:sz w:val="21"/>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成本指标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项目资金成本</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不超过预算金额</w:t>
            </w:r>
          </w:p>
        </w:tc>
        <w:tc>
          <w:tcPr>
            <w:tcW w:w="2551" w:type="dxa"/>
            <w:vAlign w:val="center"/>
          </w:tcPr>
          <w:p>
            <w:pPr>
              <w:pStyle w:val="13"/>
            </w:pPr>
            <w:r>
              <w:t>≤</w:t>
            </w:r>
            <w:r>
              <w:rPr>
                <w:rFonts w:hint="eastAsia"/>
                <w:lang w:eastAsia="zh-CN"/>
              </w:rPr>
              <w:t>8万元</w:t>
            </w:r>
          </w:p>
        </w:tc>
        <w:tc>
          <w:tcPr>
            <w:tcW w:w="2268" w:type="dxa"/>
          </w:tcPr>
          <w:p>
            <w:pPr>
              <w:rPr>
                <w:rFonts w:ascii="方正书宋_GBK" w:hAnsi="方正书宋_GBK" w:eastAsia="方正书宋_GBK" w:cs="方正书宋_GBK"/>
                <w:sz w:val="21"/>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视频片对宣传</w:t>
            </w:r>
            <w:r>
              <w:t>隆尧社会影响力</w:t>
            </w:r>
          </w:p>
        </w:tc>
        <w:tc>
          <w:tcPr>
            <w:tcW w:w="2551" w:type="dxa"/>
            <w:vAlign w:val="center"/>
          </w:tcPr>
          <w:p>
            <w:pPr>
              <w:pStyle w:val="13"/>
              <w:rPr>
                <w:lang w:eastAsia="zh-CN"/>
              </w:rPr>
            </w:pPr>
            <w:r>
              <w:rPr>
                <w:rFonts w:hint="eastAsia"/>
                <w:lang w:eastAsia="zh-CN"/>
              </w:rPr>
              <w:t>大幅提高</w:t>
            </w:r>
          </w:p>
        </w:tc>
        <w:tc>
          <w:tcPr>
            <w:tcW w:w="2268" w:type="dxa"/>
          </w:tcPr>
          <w:p>
            <w:pPr>
              <w:rPr>
                <w:rFonts w:ascii="方正书宋_GBK" w:hAnsi="方正书宋_GBK" w:eastAsia="方正书宋_GBK" w:cs="方正书宋_GBK"/>
                <w:sz w:val="21"/>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rPr>
                <w:rFonts w:hint="eastAsia"/>
                <w:lang w:eastAsia="zh-CN"/>
              </w:rPr>
              <w:t>反映</w:t>
            </w:r>
            <w:r>
              <w:t>服务对象满意</w:t>
            </w:r>
            <w:r>
              <w:rPr>
                <w:rFonts w:hint="eastAsia"/>
                <w:lang w:eastAsia="zh-CN"/>
              </w:rPr>
              <w:t>程</w:t>
            </w:r>
            <w:r>
              <w:t>度</w:t>
            </w:r>
          </w:p>
        </w:tc>
        <w:tc>
          <w:tcPr>
            <w:tcW w:w="2551" w:type="dxa"/>
            <w:vAlign w:val="center"/>
          </w:tcPr>
          <w:p>
            <w:pPr>
              <w:pStyle w:val="13"/>
              <w:rPr>
                <w:lang w:eastAsia="zh-CN"/>
              </w:rPr>
            </w:pPr>
            <w:r>
              <w:t>≥95</w:t>
            </w:r>
            <w:r>
              <w:rPr>
                <w:rFonts w:hint="eastAsia"/>
                <w:lang w:eastAsia="zh-CN"/>
              </w:rPr>
              <w:t>%</w:t>
            </w:r>
          </w:p>
        </w:tc>
        <w:tc>
          <w:tcPr>
            <w:tcW w:w="2268" w:type="dxa"/>
          </w:tcPr>
          <w:p>
            <w:pPr>
              <w:rPr>
                <w:rFonts w:ascii="方正书宋_GBK" w:hAnsi="方正书宋_GBK" w:eastAsia="方正书宋_GBK" w:cs="方正书宋_GBK"/>
                <w:sz w:val="21"/>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11、与上级媒体合作经费绩效目标表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1.目标内容1、县级各项重点工作和创新举措，以视频、图文、音频等形式进行推送，全方位宣传隆尧、推介隆尧。</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发布形式</w:t>
            </w:r>
          </w:p>
        </w:tc>
        <w:tc>
          <w:tcPr>
            <w:tcW w:w="2835" w:type="dxa"/>
            <w:vAlign w:val="center"/>
          </w:tcPr>
          <w:p>
            <w:pPr>
              <w:pStyle w:val="13"/>
            </w:pPr>
            <w:r>
              <w:t>以视频、图文、音频等形式进行推送</w:t>
            </w:r>
          </w:p>
        </w:tc>
        <w:tc>
          <w:tcPr>
            <w:tcW w:w="2551" w:type="dxa"/>
            <w:vAlign w:val="center"/>
          </w:tcPr>
          <w:p>
            <w:pPr>
              <w:pStyle w:val="13"/>
            </w:pPr>
            <w:r>
              <w:t>≥3个</w:t>
            </w:r>
          </w:p>
        </w:tc>
        <w:tc>
          <w:tcPr>
            <w:tcW w:w="2268" w:type="dxa"/>
            <w:vAlign w:val="center"/>
          </w:tcPr>
          <w:p>
            <w:pPr>
              <w:pStyle w:val="13"/>
              <w:rPr>
                <w:lang w:eastAsia="zh-CN"/>
              </w:rPr>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业务工作完成率（%）</w:t>
            </w:r>
          </w:p>
        </w:tc>
        <w:tc>
          <w:tcPr>
            <w:tcW w:w="2835" w:type="dxa"/>
            <w:vAlign w:val="center"/>
          </w:tcPr>
          <w:p>
            <w:pPr>
              <w:pStyle w:val="13"/>
            </w:pPr>
            <w:r>
              <w:t>业务工作完成率（%）</w:t>
            </w:r>
          </w:p>
        </w:tc>
        <w:tc>
          <w:tcPr>
            <w:tcW w:w="2551" w:type="dxa"/>
            <w:vAlign w:val="center"/>
          </w:tcPr>
          <w:p>
            <w:pPr>
              <w:pStyle w:val="13"/>
              <w:rPr>
                <w:lang w:eastAsia="zh-CN"/>
              </w:rPr>
            </w:pPr>
            <w:r>
              <w:t>≥95</w:t>
            </w:r>
            <w:r>
              <w:rPr>
                <w:rFonts w:hint="eastAsia"/>
                <w:lang w:eastAsia="zh-CN"/>
              </w:rPr>
              <w:t>%</w:t>
            </w:r>
          </w:p>
        </w:tc>
        <w:tc>
          <w:tcPr>
            <w:tcW w:w="2268" w:type="dxa"/>
          </w:tcPr>
          <w:p>
            <w:pPr>
              <w:pStyle w:val="13"/>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各项工作推送及时率</w:t>
            </w:r>
          </w:p>
        </w:tc>
        <w:tc>
          <w:tcPr>
            <w:tcW w:w="2835" w:type="dxa"/>
            <w:vAlign w:val="center"/>
          </w:tcPr>
          <w:p>
            <w:pPr>
              <w:pStyle w:val="13"/>
              <w:rPr>
                <w:lang w:eastAsia="zh-CN"/>
              </w:rPr>
            </w:pPr>
            <w:r>
              <w:t>县级各项工作在上级主流媒体推送及时</w:t>
            </w:r>
            <w:r>
              <w:rPr>
                <w:rFonts w:hint="eastAsia"/>
                <w:lang w:eastAsia="zh-CN"/>
              </w:rPr>
              <w:t>情况</w:t>
            </w:r>
          </w:p>
        </w:tc>
        <w:tc>
          <w:tcPr>
            <w:tcW w:w="2551" w:type="dxa"/>
            <w:vAlign w:val="center"/>
          </w:tcPr>
          <w:p>
            <w:pPr>
              <w:pStyle w:val="13"/>
            </w:pPr>
            <w:r>
              <w:t>≥95</w:t>
            </w:r>
            <w:r>
              <w:rPr>
                <w:rFonts w:hint="eastAsia"/>
                <w:lang w:eastAsia="zh-CN"/>
              </w:rPr>
              <w:t>%</w:t>
            </w:r>
          </w:p>
        </w:tc>
        <w:tc>
          <w:tcPr>
            <w:tcW w:w="2268" w:type="dxa"/>
          </w:tcPr>
          <w:p>
            <w:pPr>
              <w:pStyle w:val="13"/>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2835" w:type="dxa"/>
            <w:vAlign w:val="center"/>
          </w:tcPr>
          <w:p>
            <w:pPr>
              <w:pStyle w:val="13"/>
            </w:pPr>
            <w:r>
              <w:rPr>
                <w:rFonts w:hint="eastAsia"/>
                <w:sz w:val="22"/>
                <w:szCs w:val="22"/>
                <w:lang w:eastAsia="zh-CN"/>
              </w:rPr>
              <w:t>实际执行资金占预算资金的比率（%）</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增强影响力</w:t>
            </w:r>
          </w:p>
        </w:tc>
        <w:tc>
          <w:tcPr>
            <w:tcW w:w="2835" w:type="dxa"/>
            <w:vAlign w:val="center"/>
          </w:tcPr>
          <w:p>
            <w:pPr>
              <w:pStyle w:val="13"/>
              <w:rPr>
                <w:rFonts w:eastAsiaTheme="minorEastAsia"/>
                <w:lang w:eastAsia="zh-CN"/>
              </w:rPr>
            </w:pPr>
            <w:r>
              <w:rPr>
                <w:rFonts w:hint="eastAsia" w:eastAsiaTheme="minorEastAsia"/>
                <w:lang w:eastAsia="zh-CN"/>
              </w:rPr>
              <w:t>反映</w:t>
            </w:r>
            <w:r>
              <w:t>增强</w:t>
            </w:r>
            <w:r>
              <w:rPr>
                <w:rFonts w:hint="eastAsia" w:eastAsiaTheme="minorEastAsia"/>
                <w:lang w:eastAsia="zh-CN"/>
              </w:rPr>
              <w:t>社会</w:t>
            </w:r>
            <w:r>
              <w:t>影响力</w:t>
            </w:r>
            <w:r>
              <w:rPr>
                <w:rFonts w:hint="eastAsia" w:eastAsiaTheme="minorEastAsia"/>
                <w:lang w:eastAsia="zh-CN"/>
              </w:rPr>
              <w:t>程度</w:t>
            </w:r>
          </w:p>
        </w:tc>
        <w:tc>
          <w:tcPr>
            <w:tcW w:w="2551" w:type="dxa"/>
            <w:vAlign w:val="center"/>
          </w:tcPr>
          <w:p>
            <w:pPr>
              <w:pStyle w:val="13"/>
              <w:rPr>
                <w:lang w:eastAsia="zh-CN"/>
              </w:rPr>
            </w:pPr>
            <w:r>
              <w:rPr>
                <w:rFonts w:hint="eastAsia"/>
                <w:lang w:eastAsia="zh-CN"/>
              </w:rPr>
              <w:t>明显增强</w:t>
            </w:r>
          </w:p>
        </w:tc>
        <w:tc>
          <w:tcPr>
            <w:tcW w:w="2268" w:type="dxa"/>
          </w:tcPr>
          <w:p>
            <w:pPr>
              <w:pStyle w:val="13"/>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rPr>
                <w:rFonts w:hint="eastAsia" w:eastAsiaTheme="minorEastAsia"/>
                <w:lang w:eastAsia="zh-CN"/>
              </w:rPr>
              <w:t>反映</w:t>
            </w:r>
            <w:r>
              <w:t>服务对象满意</w:t>
            </w:r>
            <w:r>
              <w:rPr>
                <w:rFonts w:hint="eastAsia" w:eastAsiaTheme="minorEastAsia"/>
                <w:lang w:eastAsia="zh-CN"/>
              </w:rPr>
              <w:t>程</w:t>
            </w:r>
            <w:r>
              <w:t>度</w:t>
            </w:r>
          </w:p>
        </w:tc>
        <w:tc>
          <w:tcPr>
            <w:tcW w:w="2551" w:type="dxa"/>
            <w:vAlign w:val="center"/>
          </w:tcPr>
          <w:p>
            <w:pPr>
              <w:pStyle w:val="13"/>
            </w:pPr>
            <w:r>
              <w:t>≥90</w:t>
            </w:r>
            <w:r>
              <w:rPr>
                <w:rFonts w:hint="eastAsia"/>
                <w:lang w:eastAsia="zh-CN"/>
              </w:rPr>
              <w:t>%</w:t>
            </w:r>
          </w:p>
        </w:tc>
        <w:tc>
          <w:tcPr>
            <w:tcW w:w="2268" w:type="dxa"/>
          </w:tcPr>
          <w:p>
            <w:pPr>
              <w:pStyle w:val="13"/>
            </w:pPr>
            <w:r>
              <w:rPr>
                <w:rFonts w:hint="eastAsia"/>
                <w:lang w:eastAsia="zh-CN"/>
              </w:rPr>
              <w:t>根据县工作要求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12、智慧隆尧APP网络传输及软硬件维护项目经费绩效目标表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eastAsiaTheme="minorEastAsia"/>
                <w:lang w:eastAsia="zh-CN"/>
              </w:rPr>
            </w:pPr>
            <w:r>
              <w:t>1.目标内容1、保障线路畅通、信号传输清晰稳定，更好的为县委、县政府中心工作开展宣传</w:t>
            </w:r>
            <w:r>
              <w:rPr>
                <w:rFonts w:hint="eastAsia" w:eastAsiaTheme="minor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维护系统数量</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维护系统数量</w:t>
            </w:r>
          </w:p>
        </w:tc>
        <w:tc>
          <w:tcPr>
            <w:tcW w:w="2551" w:type="dxa"/>
            <w:vAlign w:val="center"/>
          </w:tcPr>
          <w:p>
            <w:pPr>
              <w:pStyle w:val="13"/>
            </w:pPr>
            <w:r>
              <w:t>≥3个</w:t>
            </w:r>
          </w:p>
        </w:tc>
        <w:tc>
          <w:tcPr>
            <w:tcW w:w="2268" w:type="dxa"/>
            <w:vAlign w:val="center"/>
          </w:tcPr>
          <w:p>
            <w:pPr>
              <w:pStyle w:val="13"/>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系统故障率（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系统出故障时间</w:t>
            </w:r>
            <w:r>
              <w:rPr>
                <w:rFonts w:ascii="Calibri" w:hAnsi="Calibri"/>
                <w:color w:val="000000"/>
                <w:sz w:val="22"/>
                <w:szCs w:val="22"/>
              </w:rPr>
              <w:t>/</w:t>
            </w:r>
            <w:r>
              <w:rPr>
                <w:rFonts w:hint="eastAsia" w:ascii="宋体" w:hAnsi="宋体" w:eastAsia="宋体" w:cs="宋体"/>
                <w:color w:val="000000"/>
                <w:sz w:val="22"/>
                <w:szCs w:val="22"/>
              </w:rPr>
              <w:t>总运行时间</w:t>
            </w:r>
            <w:r>
              <w:rPr>
                <w:rFonts w:ascii="Calibri" w:hAnsi="Calibri"/>
                <w:color w:val="000000"/>
                <w:sz w:val="22"/>
                <w:szCs w:val="22"/>
              </w:rPr>
              <w:t>*100%</w:t>
            </w:r>
          </w:p>
        </w:tc>
        <w:tc>
          <w:tcPr>
            <w:tcW w:w="2551" w:type="dxa"/>
            <w:vAlign w:val="center"/>
          </w:tcPr>
          <w:p>
            <w:pPr>
              <w:pStyle w:val="13"/>
            </w:pPr>
            <w:r>
              <w:t>≤</w:t>
            </w:r>
            <w:r>
              <w:rPr>
                <w:rFonts w:hint="eastAsia"/>
                <w:lang w:eastAsia="zh-CN"/>
              </w:rPr>
              <w:t>5%</w:t>
            </w:r>
          </w:p>
        </w:tc>
        <w:tc>
          <w:tcPr>
            <w:tcW w:w="2268" w:type="dxa"/>
          </w:tcPr>
          <w:p>
            <w:pPr>
              <w:pStyle w:val="13"/>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故障维护及时率（</w:t>
            </w:r>
            <w:r>
              <w:rPr>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及时维护的故障数量</w:t>
            </w:r>
            <w:r>
              <w:rPr>
                <w:rFonts w:ascii="Calibri" w:hAnsi="Calibri"/>
                <w:color w:val="000000"/>
                <w:sz w:val="22"/>
                <w:szCs w:val="22"/>
              </w:rPr>
              <w:t>/</w:t>
            </w:r>
            <w:r>
              <w:rPr>
                <w:rFonts w:hint="eastAsia" w:ascii="宋体" w:hAnsi="宋体" w:eastAsia="宋体" w:cs="宋体"/>
                <w:color w:val="000000"/>
                <w:sz w:val="22"/>
                <w:szCs w:val="22"/>
              </w:rPr>
              <w:t>总故障数量</w:t>
            </w:r>
            <w:r>
              <w:rPr>
                <w:rFonts w:ascii="Calibri" w:hAnsi="Calibri"/>
                <w:color w:val="000000"/>
                <w:sz w:val="22"/>
                <w:szCs w:val="22"/>
              </w:rPr>
              <w:t>*100%</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预算资金成本</w:t>
            </w:r>
          </w:p>
        </w:tc>
        <w:tc>
          <w:tcPr>
            <w:tcW w:w="2835" w:type="dxa"/>
          </w:tcPr>
          <w:p>
            <w:pPr>
              <w:rPr>
                <w:rFonts w:ascii="Calibri" w:hAnsi="Calibri" w:eastAsia="宋体" w:cs="宋体"/>
                <w:color w:val="000000"/>
                <w:sz w:val="22"/>
                <w:szCs w:val="22"/>
                <w:lang w:eastAsia="zh-CN"/>
              </w:rPr>
            </w:pPr>
            <w:r>
              <w:rPr>
                <w:rFonts w:hint="eastAsia" w:ascii="宋体" w:hAnsi="宋体" w:eastAsia="宋体" w:cs="宋体"/>
                <w:color w:val="000000"/>
                <w:sz w:val="22"/>
                <w:szCs w:val="22"/>
                <w:lang w:eastAsia="zh-CN"/>
              </w:rPr>
              <w:t>实际</w:t>
            </w:r>
            <w:r>
              <w:rPr>
                <w:rFonts w:hint="eastAsia" w:ascii="宋体" w:hAnsi="宋体" w:eastAsia="宋体" w:cs="宋体"/>
                <w:color w:val="000000"/>
                <w:sz w:val="22"/>
                <w:szCs w:val="22"/>
              </w:rPr>
              <w:t>资金成本</w:t>
            </w:r>
            <w:r>
              <w:rPr>
                <w:rFonts w:hint="eastAsia" w:ascii="宋体" w:hAnsi="宋体" w:eastAsia="宋体" w:cs="宋体"/>
                <w:color w:val="000000"/>
                <w:sz w:val="22"/>
                <w:szCs w:val="22"/>
                <w:lang w:eastAsia="zh-CN"/>
              </w:rPr>
              <w:t>占预算资金成本的比率（%）</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rPr>
                <w:rFonts w:hint="eastAsia" w:eastAsiaTheme="minorEastAsia"/>
                <w:lang w:eastAsia="zh-CN"/>
              </w:rPr>
              <w:t>经济效益</w:t>
            </w:r>
            <w:r>
              <w:t>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故障降低率（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故障发生同期下降比率（</w:t>
            </w:r>
            <w:r>
              <w:rPr>
                <w:color w:val="000000"/>
                <w:sz w:val="22"/>
                <w:szCs w:val="22"/>
              </w:rPr>
              <w:t>%</w:t>
            </w:r>
            <w:r>
              <w:rPr>
                <w:rFonts w:hint="eastAsia" w:ascii="宋体" w:hAnsi="宋体" w:eastAsia="宋体" w:cs="宋体"/>
                <w:color w:val="000000"/>
                <w:sz w:val="22"/>
                <w:szCs w:val="22"/>
              </w:rPr>
              <w:t>）</w:t>
            </w:r>
          </w:p>
        </w:tc>
        <w:tc>
          <w:tcPr>
            <w:tcW w:w="2551" w:type="dxa"/>
            <w:vAlign w:val="center"/>
          </w:tcPr>
          <w:p>
            <w:pPr>
              <w:pStyle w:val="13"/>
              <w:rPr>
                <w:lang w:eastAsia="zh-CN"/>
              </w:rPr>
            </w:pPr>
            <w:r>
              <w:t>≥</w:t>
            </w:r>
            <w:r>
              <w:rPr>
                <w:rFonts w:hint="eastAsia"/>
                <w:lang w:eastAsia="zh-CN"/>
              </w:rPr>
              <w:t>5%</w:t>
            </w:r>
          </w:p>
        </w:tc>
        <w:tc>
          <w:tcPr>
            <w:tcW w:w="2268" w:type="dxa"/>
          </w:tcPr>
          <w:p>
            <w:pPr>
              <w:pStyle w:val="13"/>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通用设备运行（或应用软件）的满意率（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服务申请单中满意的数量占服务申请单总数量的比率</w:t>
            </w:r>
          </w:p>
        </w:tc>
        <w:tc>
          <w:tcPr>
            <w:tcW w:w="2551" w:type="dxa"/>
            <w:vAlign w:val="center"/>
          </w:tcPr>
          <w:p>
            <w:pPr>
              <w:pStyle w:val="13"/>
            </w:pPr>
            <w:r>
              <w:t>≥90</w:t>
            </w:r>
            <w:r>
              <w:rPr>
                <w:rFonts w:hint="eastAsia"/>
                <w:lang w:eastAsia="zh-CN"/>
              </w:rPr>
              <w:t>%</w:t>
            </w:r>
          </w:p>
        </w:tc>
        <w:tc>
          <w:tcPr>
            <w:tcW w:w="2268" w:type="dxa"/>
          </w:tcPr>
          <w:p>
            <w:pPr>
              <w:pStyle w:val="13"/>
            </w:pPr>
            <w:r>
              <w:rPr>
                <w:rFonts w:hint="eastAsia"/>
                <w:lang w:eastAsia="zh-CN"/>
              </w:rPr>
              <w:t>年度工作计划</w:t>
            </w:r>
          </w:p>
        </w:tc>
      </w:tr>
    </w:tbl>
    <w:p>
      <w:pPr>
        <w:rPr>
          <w:rFonts w:eastAsiaTheme="minorEastAsia"/>
          <w:lang w:eastAsia="zh-CN"/>
        </w:rPr>
        <w:sectPr>
          <w:pgSz w:w="16840" w:h="11900" w:orient="landscape"/>
          <w:pgMar w:top="1361" w:right="1020" w:bottom="1134" w:left="1020" w:header="720" w:footer="720" w:gutter="0"/>
          <w:cols w:space="720" w:num="1"/>
        </w:sectPr>
      </w:pPr>
    </w:p>
    <w:p>
      <w:pPr>
        <w:ind w:firstLine="280" w:firstLineChars="100"/>
      </w:pPr>
      <w:r>
        <w:rPr>
          <w:rFonts w:ascii="方正仿宋_GBK" w:hAnsi="方正仿宋_GBK" w:eastAsia="方正仿宋_GBK" w:cs="方正仿宋_GBK"/>
          <w:b/>
          <w:color w:val="000000"/>
          <w:sz w:val="28"/>
        </w:rPr>
        <w:t>13、专项活动经费绩效目标表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r>
              <w:rPr>
                <w:rFonts w:hint="eastAsia" w:eastAsiaTheme="minorEastAsia"/>
                <w:lang w:eastAsia="zh-CN"/>
              </w:rPr>
              <w:t>通过开展活动，</w:t>
            </w:r>
            <w:r>
              <w:t>展示我县广大干部群众热爱党、热爱祖国、热爱家乡的精神风貌，提升我县知名度、美誉度。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宣传、活动开展次数</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宣传、活动开展次数</w:t>
            </w:r>
          </w:p>
        </w:tc>
        <w:tc>
          <w:tcPr>
            <w:tcW w:w="2551" w:type="dxa"/>
            <w:vAlign w:val="center"/>
          </w:tcPr>
          <w:p>
            <w:pPr>
              <w:pStyle w:val="13"/>
              <w:rPr>
                <w:lang w:eastAsia="zh-CN"/>
              </w:rPr>
            </w:pPr>
            <w:r>
              <w:t>2</w:t>
            </w:r>
            <w:r>
              <w:rPr>
                <w:rFonts w:hint="eastAsia"/>
                <w:lang w:eastAsia="zh-CN"/>
              </w:rPr>
              <w:t>次</w:t>
            </w:r>
          </w:p>
        </w:tc>
        <w:tc>
          <w:tcPr>
            <w:tcW w:w="2268" w:type="dxa"/>
            <w:vAlign w:val="center"/>
          </w:tcPr>
          <w:p>
            <w:pPr>
              <w:pStyle w:val="13"/>
              <w:rPr>
                <w:lang w:eastAsia="zh-CN"/>
              </w:rPr>
            </w:pPr>
            <w:r>
              <w:rPr>
                <w:rFonts w:hint="eastAsia"/>
                <w:lang w:eastAsia="zh-CN"/>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宣传方案制作质量</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宣传方案制作质量情况</w:t>
            </w:r>
          </w:p>
        </w:tc>
        <w:tc>
          <w:tcPr>
            <w:tcW w:w="2551" w:type="dxa"/>
            <w:vAlign w:val="center"/>
          </w:tcPr>
          <w:p>
            <w:pPr>
              <w:pStyle w:val="13"/>
              <w:rPr>
                <w:lang w:eastAsia="zh-CN"/>
              </w:rPr>
            </w:pPr>
            <w:r>
              <w:t>≥</w:t>
            </w:r>
            <w:r>
              <w:rPr>
                <w:rFonts w:hint="eastAsia"/>
                <w:lang w:eastAsia="zh-CN"/>
              </w:rPr>
              <w:t>9</w:t>
            </w:r>
            <w:r>
              <w:t>0</w:t>
            </w:r>
            <w:r>
              <w:rPr>
                <w:rFonts w:hint="eastAsia"/>
                <w:lang w:eastAsia="zh-CN"/>
              </w:rPr>
              <w:t>%</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各项工作完成及时率（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lang w:eastAsia="zh-CN"/>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各项工作完成及时</w:t>
            </w:r>
            <w:r>
              <w:rPr>
                <w:rFonts w:hint="eastAsia" w:ascii="宋体" w:hAnsi="宋体" w:eastAsia="宋体" w:cs="宋体"/>
                <w:color w:val="000000"/>
                <w:sz w:val="22"/>
                <w:szCs w:val="22"/>
                <w:lang w:eastAsia="zh-CN"/>
              </w:rPr>
              <w:t>程度</w:t>
            </w:r>
          </w:p>
        </w:tc>
        <w:tc>
          <w:tcPr>
            <w:tcW w:w="2551" w:type="dxa"/>
            <w:vAlign w:val="center"/>
          </w:tcPr>
          <w:p>
            <w:pPr>
              <w:pStyle w:val="13"/>
            </w:pPr>
            <w:r>
              <w:t>≥</w:t>
            </w:r>
            <w:r>
              <w:rPr>
                <w:rFonts w:hint="eastAsia"/>
                <w:lang w:eastAsia="zh-CN"/>
              </w:rPr>
              <w:t>95%</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项目资金成本</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不超过预算金额</w:t>
            </w:r>
          </w:p>
        </w:tc>
        <w:tc>
          <w:tcPr>
            <w:tcW w:w="2551" w:type="dxa"/>
            <w:vAlign w:val="center"/>
          </w:tcPr>
          <w:p>
            <w:pPr>
              <w:pStyle w:val="13"/>
              <w:rPr>
                <w:lang w:eastAsia="zh-CN"/>
              </w:rPr>
            </w:pPr>
            <w:r>
              <w:t>≤</w:t>
            </w:r>
            <w:r>
              <w:rPr>
                <w:rFonts w:hint="eastAsia"/>
                <w:lang w:eastAsia="zh-CN"/>
              </w:rPr>
              <w:t>6万元</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宣传、活动影响力</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反映</w:t>
            </w:r>
            <w:r>
              <w:rPr>
                <w:rFonts w:hint="eastAsia" w:ascii="方正书宋_GBK" w:hAnsi="方正书宋_GBK" w:eastAsia="方正书宋_GBK" w:cs="方正书宋_GBK"/>
                <w:sz w:val="21"/>
              </w:rPr>
              <w:t>宣传、活动</w:t>
            </w:r>
            <w:r>
              <w:rPr>
                <w:rFonts w:hint="eastAsia" w:ascii="方正书宋_GBK" w:hAnsi="方正书宋_GBK" w:eastAsia="方正书宋_GBK" w:cs="方正书宋_GBK"/>
                <w:sz w:val="21"/>
                <w:lang w:eastAsia="zh-CN"/>
              </w:rPr>
              <w:t>的</w:t>
            </w:r>
            <w:r>
              <w:rPr>
                <w:rFonts w:hint="eastAsia" w:ascii="方正书宋_GBK" w:hAnsi="方正书宋_GBK" w:eastAsia="方正书宋_GBK" w:cs="方正书宋_GBK"/>
                <w:sz w:val="21"/>
              </w:rPr>
              <w:t>影响力</w:t>
            </w:r>
          </w:p>
        </w:tc>
        <w:tc>
          <w:tcPr>
            <w:tcW w:w="2551" w:type="dxa"/>
            <w:vAlign w:val="center"/>
          </w:tcPr>
          <w:p>
            <w:pPr>
              <w:pStyle w:val="13"/>
              <w:rPr>
                <w:lang w:eastAsia="zh-CN"/>
              </w:rPr>
            </w:pPr>
            <w:r>
              <w:rPr>
                <w:rFonts w:hint="eastAsia"/>
                <w:lang w:eastAsia="zh-CN"/>
              </w:rPr>
              <w:t>大幅提高</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社会受众群体满意</w:t>
            </w:r>
            <w:r>
              <w:rPr>
                <w:rFonts w:hint="eastAsia"/>
                <w:lang w:eastAsia="zh-CN"/>
              </w:rPr>
              <w:t>程</w:t>
            </w:r>
            <w:r>
              <w:t>度</w:t>
            </w:r>
          </w:p>
        </w:tc>
        <w:tc>
          <w:tcPr>
            <w:tcW w:w="2551" w:type="dxa"/>
            <w:vAlign w:val="center"/>
          </w:tcPr>
          <w:p>
            <w:pPr>
              <w:pStyle w:val="13"/>
              <w:rPr>
                <w:lang w:eastAsia="zh-CN"/>
              </w:rPr>
            </w:pPr>
            <w:r>
              <w:t>≥85</w:t>
            </w:r>
            <w:r>
              <w:rPr>
                <w:rFonts w:hint="eastAsia"/>
                <w:lang w:eastAsia="zh-CN"/>
              </w:rPr>
              <w:t>%</w:t>
            </w:r>
          </w:p>
        </w:tc>
        <w:tc>
          <w:tcPr>
            <w:tcW w:w="2268" w:type="dxa"/>
          </w:tcPr>
          <w:p>
            <w:pPr>
              <w:pStyle w:val="13"/>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14、专项业务经费绩效目标表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1.目标内容1、对系统设备进行技术</w:t>
            </w:r>
            <w:r>
              <w:rPr>
                <w:rFonts w:hint="eastAsia" w:eastAsiaTheme="minorEastAsia"/>
                <w:lang w:eastAsia="zh-CN"/>
              </w:rPr>
              <w:t>、</w:t>
            </w:r>
            <w:r>
              <w:t>维护服务</w:t>
            </w:r>
            <w:r>
              <w:rPr>
                <w:rFonts w:hint="eastAsia" w:eastAsiaTheme="minorEastAsia"/>
                <w:lang w:eastAsia="zh-CN"/>
              </w:rPr>
              <w:t>，更好的开展宣传工作。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设备运行指标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根据专业技术标准测算的设备运行情况</w:t>
            </w:r>
          </w:p>
        </w:tc>
        <w:tc>
          <w:tcPr>
            <w:tcW w:w="2551" w:type="dxa"/>
            <w:vAlign w:val="center"/>
          </w:tcPr>
          <w:p>
            <w:pPr>
              <w:pStyle w:val="13"/>
            </w:pPr>
            <w:r>
              <w:t>≥95</w:t>
            </w:r>
            <w:r>
              <w:rPr>
                <w:rFonts w:hint="eastAsia"/>
                <w:lang w:eastAsia="zh-CN"/>
              </w:rPr>
              <w:t>%</w:t>
            </w:r>
          </w:p>
        </w:tc>
        <w:tc>
          <w:tcPr>
            <w:tcW w:w="2268" w:type="dxa"/>
            <w:vAlign w:val="center"/>
          </w:tcPr>
          <w:p>
            <w:pPr>
              <w:pStyle w:val="13"/>
              <w:rPr>
                <w:lang w:eastAsia="zh-CN"/>
              </w:rPr>
            </w:pPr>
            <w:r>
              <w:rPr>
                <w:rFonts w:hint="eastAsia"/>
                <w:lang w:eastAsia="zh-CN"/>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新媒体的融合度</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反映广播电视与新媒体制作一体化程度</w:t>
            </w:r>
          </w:p>
        </w:tc>
        <w:tc>
          <w:tcPr>
            <w:tcW w:w="2551" w:type="dxa"/>
            <w:vAlign w:val="center"/>
          </w:tcPr>
          <w:p>
            <w:pPr>
              <w:pStyle w:val="13"/>
            </w:pPr>
            <w:r>
              <w:t>≥95</w:t>
            </w:r>
            <w:r>
              <w:rPr>
                <w:rFonts w:hint="eastAsia"/>
                <w:lang w:eastAsia="zh-CN"/>
              </w:rPr>
              <w:t>%</w:t>
            </w:r>
          </w:p>
        </w:tc>
        <w:tc>
          <w:tcPr>
            <w:tcW w:w="2268" w:type="dxa"/>
          </w:tcPr>
          <w:p>
            <w:pPr>
              <w:pStyle w:val="13"/>
            </w:pPr>
            <w:r>
              <w:rPr>
                <w:rFonts w:hint="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设备维修及时率（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lang w:eastAsia="zh-CN"/>
              </w:rPr>
            </w:pPr>
            <w:r>
              <w:rPr>
                <w:rFonts w:hint="eastAsia" w:ascii="宋体" w:hAnsi="宋体" w:eastAsia="宋体" w:cs="宋体"/>
                <w:color w:val="000000"/>
                <w:sz w:val="22"/>
                <w:szCs w:val="22"/>
                <w:lang w:eastAsia="zh-CN"/>
              </w:rPr>
              <w:t>实际维修设备占应维修设备的比率（%）</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运行保障成本</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lang w:eastAsia="zh-CN"/>
              </w:rPr>
              <w:t>反映实际</w:t>
            </w:r>
            <w:r>
              <w:rPr>
                <w:rFonts w:hint="eastAsia" w:ascii="宋体" w:hAnsi="宋体" w:eastAsia="宋体" w:cs="宋体"/>
                <w:color w:val="000000"/>
                <w:sz w:val="22"/>
                <w:szCs w:val="22"/>
              </w:rPr>
              <w:t>运行保障成本</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传播力与社会影响力</w:t>
            </w:r>
          </w:p>
        </w:tc>
        <w:tc>
          <w:tcPr>
            <w:tcW w:w="2835" w:type="dxa"/>
          </w:tcPr>
          <w:p>
            <w:pPr>
              <w:rPr>
                <w:rFonts w:ascii="Calibri" w:hAnsi="Calibri" w:eastAsia="宋体" w:cs="宋体"/>
                <w:color w:val="000000"/>
                <w:sz w:val="22"/>
                <w:szCs w:val="22"/>
                <w:lang w:eastAsia="zh-CN"/>
              </w:rPr>
            </w:pPr>
            <w:r>
              <w:rPr>
                <w:rFonts w:hint="eastAsia" w:ascii="宋体" w:hAnsi="宋体" w:eastAsia="宋体" w:cs="宋体"/>
                <w:color w:val="000000"/>
                <w:sz w:val="22"/>
                <w:szCs w:val="22"/>
              </w:rPr>
              <w:t>传播力与社会影响力</w:t>
            </w:r>
            <w:r>
              <w:rPr>
                <w:rFonts w:hint="eastAsia" w:ascii="宋体" w:hAnsi="宋体" w:eastAsia="宋体" w:cs="宋体"/>
                <w:color w:val="000000"/>
                <w:sz w:val="22"/>
                <w:szCs w:val="22"/>
                <w:lang w:eastAsia="zh-CN"/>
              </w:rPr>
              <w:t>程度</w:t>
            </w:r>
          </w:p>
        </w:tc>
        <w:tc>
          <w:tcPr>
            <w:tcW w:w="2551" w:type="dxa"/>
            <w:vAlign w:val="center"/>
          </w:tcPr>
          <w:p>
            <w:pPr>
              <w:pStyle w:val="13"/>
              <w:rPr>
                <w:lang w:eastAsia="zh-CN"/>
              </w:rPr>
            </w:pPr>
            <w:r>
              <w:rPr>
                <w:rFonts w:hint="eastAsia"/>
                <w:lang w:eastAsia="zh-CN"/>
              </w:rPr>
              <w:t>大幅提高</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rPr>
                <w:rFonts w:hint="eastAsia" w:eastAsiaTheme="minorEastAsia"/>
                <w:lang w:eastAsia="zh-CN"/>
              </w:rPr>
              <w:t>反映</w:t>
            </w:r>
            <w:r>
              <w:t>服务对象满意</w:t>
            </w:r>
            <w:r>
              <w:rPr>
                <w:rFonts w:hint="eastAsia" w:eastAsiaTheme="minorEastAsia"/>
                <w:lang w:eastAsia="zh-CN"/>
              </w:rPr>
              <w:t>程</w:t>
            </w:r>
            <w:r>
              <w:t>度</w:t>
            </w:r>
          </w:p>
        </w:tc>
        <w:tc>
          <w:tcPr>
            <w:tcW w:w="2551" w:type="dxa"/>
            <w:vAlign w:val="center"/>
          </w:tcPr>
          <w:p>
            <w:pPr>
              <w:pStyle w:val="13"/>
              <w:rPr>
                <w:lang w:eastAsia="zh-CN"/>
              </w:rPr>
            </w:pPr>
            <w:r>
              <w:t>≥90</w:t>
            </w:r>
            <w:r>
              <w:rPr>
                <w:rFonts w:hint="eastAsia"/>
                <w:lang w:eastAsia="zh-CN"/>
              </w:rPr>
              <w:t>%</w:t>
            </w:r>
          </w:p>
        </w:tc>
        <w:tc>
          <w:tcPr>
            <w:tcW w:w="2268" w:type="dxa"/>
          </w:tcPr>
          <w:p>
            <w:pPr>
              <w:pStyle w:val="13"/>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2023年，隆尧县融媒体中心安排政府采购预算36.55万元。具体内容见下表。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359隆尧县融媒体中心</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政府采购金额（当年单位预算安排资金）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36.55</w:t>
            </w:r>
          </w:p>
        </w:tc>
        <w:tc>
          <w:tcPr>
            <w:tcW w:w="964" w:type="dxa"/>
            <w:vAlign w:val="center"/>
          </w:tcPr>
          <w:p>
            <w:pPr>
              <w:pStyle w:val="16"/>
            </w:pPr>
            <w:r>
              <w:t>36.55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隆尧县融媒体中心本级小计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36.55</w:t>
            </w:r>
          </w:p>
        </w:tc>
        <w:tc>
          <w:tcPr>
            <w:tcW w:w="964" w:type="dxa"/>
            <w:vAlign w:val="center"/>
          </w:tcPr>
          <w:p>
            <w:pPr>
              <w:pStyle w:val="16"/>
            </w:pPr>
            <w:r>
              <w:t>36.55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2023年公用经费项目</w:t>
            </w:r>
          </w:p>
        </w:tc>
        <w:tc>
          <w:tcPr>
            <w:tcW w:w="964" w:type="dxa"/>
            <w:vAlign w:val="center"/>
          </w:tcPr>
          <w:p>
            <w:pPr>
              <w:pStyle w:val="12"/>
            </w:pPr>
            <w:r>
              <w:t>28.64</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0.45</w:t>
            </w:r>
          </w:p>
        </w:tc>
        <w:tc>
          <w:tcPr>
            <w:tcW w:w="964" w:type="dxa"/>
            <w:vAlign w:val="center"/>
          </w:tcPr>
          <w:p>
            <w:pPr>
              <w:pStyle w:val="12"/>
            </w:pPr>
            <w:r>
              <w:t>1.35</w:t>
            </w:r>
          </w:p>
        </w:tc>
        <w:tc>
          <w:tcPr>
            <w:tcW w:w="964" w:type="dxa"/>
            <w:vAlign w:val="center"/>
          </w:tcPr>
          <w:p>
            <w:pPr>
              <w:pStyle w:val="12"/>
            </w:pPr>
            <w:r>
              <w:t>1.35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2023年公用经费项目</w:t>
            </w:r>
          </w:p>
        </w:tc>
        <w:tc>
          <w:tcPr>
            <w:tcW w:w="964" w:type="dxa"/>
            <w:vAlign w:val="center"/>
          </w:tcPr>
          <w:p>
            <w:pPr>
              <w:pStyle w:val="12"/>
            </w:pPr>
            <w:r>
              <w:t>28.64</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0.17</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2023年公用经费项目</w:t>
            </w:r>
          </w:p>
        </w:tc>
        <w:tc>
          <w:tcPr>
            <w:tcW w:w="964" w:type="dxa"/>
            <w:vAlign w:val="center"/>
          </w:tcPr>
          <w:p>
            <w:pPr>
              <w:pStyle w:val="12"/>
            </w:pPr>
            <w:r>
              <w:t>28.64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2023年公用经费项目</w:t>
            </w:r>
          </w:p>
        </w:tc>
        <w:tc>
          <w:tcPr>
            <w:tcW w:w="964" w:type="dxa"/>
            <w:vAlign w:val="center"/>
          </w:tcPr>
          <w:p>
            <w:pPr>
              <w:pStyle w:val="12"/>
            </w:pPr>
            <w:r>
              <w:t>28.64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25</w:t>
            </w:r>
          </w:p>
        </w:tc>
        <w:tc>
          <w:tcPr>
            <w:tcW w:w="850" w:type="dxa"/>
            <w:vAlign w:val="center"/>
          </w:tcPr>
          <w:p>
            <w:pPr>
              <w:pStyle w:val="12"/>
            </w:pPr>
            <w:r>
              <w:t>0.02</w:t>
            </w:r>
          </w:p>
        </w:tc>
        <w:tc>
          <w:tcPr>
            <w:tcW w:w="964" w:type="dxa"/>
            <w:vAlign w:val="center"/>
          </w:tcPr>
          <w:p>
            <w:pPr>
              <w:pStyle w:val="12"/>
            </w:pPr>
            <w:r>
              <w:t>0.43</w:t>
            </w:r>
          </w:p>
        </w:tc>
        <w:tc>
          <w:tcPr>
            <w:tcW w:w="964" w:type="dxa"/>
            <w:vAlign w:val="center"/>
          </w:tcPr>
          <w:p>
            <w:pPr>
              <w:pStyle w:val="12"/>
            </w:pPr>
            <w:r>
              <w:t>0.43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《今日隆尧》内刊经费</w:t>
            </w:r>
          </w:p>
        </w:tc>
        <w:tc>
          <w:tcPr>
            <w:tcW w:w="964" w:type="dxa"/>
            <w:vAlign w:val="center"/>
          </w:tcPr>
          <w:p>
            <w:pPr>
              <w:pStyle w:val="12"/>
            </w:pPr>
            <w:r>
              <w:t>14.80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14.80</w:t>
            </w:r>
          </w:p>
        </w:tc>
        <w:tc>
          <w:tcPr>
            <w:tcW w:w="964" w:type="dxa"/>
            <w:vAlign w:val="center"/>
          </w:tcPr>
          <w:p>
            <w:pPr>
              <w:pStyle w:val="12"/>
            </w:pPr>
            <w:r>
              <w:t>14.80</w:t>
            </w:r>
          </w:p>
        </w:tc>
        <w:tc>
          <w:tcPr>
            <w:tcW w:w="964" w:type="dxa"/>
            <w:vAlign w:val="center"/>
          </w:tcPr>
          <w:p>
            <w:pPr>
              <w:pStyle w:val="12"/>
            </w:pPr>
            <w:r>
              <w:t>14.80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网络传输费</w:t>
            </w:r>
          </w:p>
        </w:tc>
        <w:tc>
          <w:tcPr>
            <w:tcW w:w="964" w:type="dxa"/>
            <w:vAlign w:val="center"/>
          </w:tcPr>
          <w:p>
            <w:pPr>
              <w:pStyle w:val="12"/>
            </w:pPr>
            <w:r>
              <w:t>4.20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4.20</w:t>
            </w:r>
          </w:p>
        </w:tc>
        <w:tc>
          <w:tcPr>
            <w:tcW w:w="964" w:type="dxa"/>
            <w:vAlign w:val="center"/>
          </w:tcPr>
          <w:p>
            <w:pPr>
              <w:pStyle w:val="12"/>
            </w:pPr>
            <w:r>
              <w:t>4.20</w:t>
            </w:r>
          </w:p>
        </w:tc>
        <w:tc>
          <w:tcPr>
            <w:tcW w:w="964" w:type="dxa"/>
            <w:vAlign w:val="center"/>
          </w:tcPr>
          <w:p>
            <w:pPr>
              <w:pStyle w:val="12"/>
            </w:pPr>
            <w:r>
              <w:t>4.20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智慧隆尧APP网络传输及软硬件维护项目经费</w:t>
            </w:r>
          </w:p>
        </w:tc>
        <w:tc>
          <w:tcPr>
            <w:tcW w:w="964" w:type="dxa"/>
            <w:vAlign w:val="center"/>
          </w:tcPr>
          <w:p>
            <w:pPr>
              <w:pStyle w:val="12"/>
            </w:pPr>
            <w:r>
              <w:t>12.00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4.60</w:t>
            </w:r>
          </w:p>
        </w:tc>
        <w:tc>
          <w:tcPr>
            <w:tcW w:w="964" w:type="dxa"/>
            <w:vAlign w:val="center"/>
          </w:tcPr>
          <w:p>
            <w:pPr>
              <w:pStyle w:val="12"/>
            </w:pPr>
            <w:r>
              <w:t>4.60</w:t>
            </w:r>
          </w:p>
        </w:tc>
        <w:tc>
          <w:tcPr>
            <w:tcW w:w="964" w:type="dxa"/>
            <w:vAlign w:val="center"/>
          </w:tcPr>
          <w:p>
            <w:pPr>
              <w:pStyle w:val="12"/>
            </w:pPr>
            <w:r>
              <w:t>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智慧隆尧APP网络传输及软硬件维护项目经费</w:t>
            </w:r>
          </w:p>
        </w:tc>
        <w:tc>
          <w:tcPr>
            <w:tcW w:w="964" w:type="dxa"/>
            <w:vAlign w:val="center"/>
          </w:tcPr>
          <w:p>
            <w:pPr>
              <w:pStyle w:val="12"/>
            </w:pPr>
            <w:r>
              <w:t>12.00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专项业务经费</w:t>
            </w:r>
          </w:p>
        </w:tc>
        <w:tc>
          <w:tcPr>
            <w:tcW w:w="964" w:type="dxa"/>
            <w:vAlign w:val="center"/>
          </w:tcPr>
          <w:p>
            <w:pPr>
              <w:pStyle w:val="12"/>
            </w:pPr>
            <w:r>
              <w:t>24.00</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隆尧县融媒体中心（含所属单位）上年末固定资产金额为1424.52万元（详见下表）。本年度拟购置固定资产总额为2.12万元，已按要求列入政府采购预算，详见政府采购预算表。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359隆尧县融媒体中心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2772</w:t>
            </w:r>
          </w:p>
        </w:tc>
        <w:tc>
          <w:tcPr>
            <w:tcW w:w="2835" w:type="dxa"/>
            <w:vAlign w:val="center"/>
          </w:tcPr>
          <w:p>
            <w:pPr>
              <w:pStyle w:val="12"/>
            </w:pPr>
            <w:r>
              <w:t>316.69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2314</w:t>
            </w:r>
          </w:p>
        </w:tc>
        <w:tc>
          <w:tcPr>
            <w:tcW w:w="2835" w:type="dxa"/>
            <w:vAlign w:val="center"/>
          </w:tcPr>
          <w:p>
            <w:pPr>
              <w:pStyle w:val="12"/>
            </w:pPr>
            <w:r>
              <w:t>293.45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6</w:t>
            </w:r>
          </w:p>
        </w:tc>
        <w:tc>
          <w:tcPr>
            <w:tcW w:w="2835" w:type="dxa"/>
            <w:vAlign w:val="center"/>
          </w:tcPr>
          <w:p>
            <w:pPr>
              <w:pStyle w:val="12"/>
            </w:pPr>
            <w:r>
              <w:t>243.16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864.67</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方正仿宋_GBK"/>
          <w:color w:val="000000"/>
          <w:sz w:val="28"/>
          <w:lang w:eastAsia="zh-CN"/>
        </w:rPr>
      </w:pPr>
      <w:r>
        <w:rPr>
          <w:rFonts w:eastAsia="方正仿宋_GBK"/>
          <w:color w:val="000000"/>
          <w:sz w:val="28"/>
        </w:rPr>
        <w:t>我单位无其他需要说明的</w:t>
      </w:r>
      <w:r>
        <w:rPr>
          <w:rFonts w:hint="eastAsia" w:eastAsia="方正仿宋_GBK"/>
          <w:color w:val="000000"/>
          <w:sz w:val="28"/>
          <w:lang w:eastAsia="zh-CN"/>
        </w:rPr>
        <w:t>。</w:t>
      </w:r>
    </w:p>
    <w:p>
      <w:pPr>
        <w:rPr>
          <w:rFonts w:eastAsiaTheme="minorEastAsia"/>
          <w:lang w:eastAsia="zh-CN"/>
        </w:rPr>
      </w:pPr>
    </w:p>
    <w:sectPr>
      <w:pgSz w:w="16840" w:h="11900" w:orient="landscape"/>
      <w:pgMar w:top="1361" w:right="1021" w:bottom="1361" w:left="1021"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00" w:usb3="00000000" w:csb0="00040000" w:csb1="00000000"/>
  </w:font>
  <w:font w:name="方正小标宋_GBK">
    <w:altName w:val="微软雅黑"/>
    <w:panose1 w:val="00000000000000000000"/>
    <w:charset w:val="86"/>
    <w:family w:val="roman"/>
    <w:pitch w:val="default"/>
    <w:sig w:usb0="00000000" w:usb1="00000000" w:usb2="00082016" w:usb3="00000000" w:csb0="00040001" w:csb1="00000000"/>
  </w:font>
  <w:font w:name="方正书宋_GBK">
    <w:altName w:val="微软雅黑"/>
    <w:panose1 w:val="00000000000000000000"/>
    <w:charset w:val="86"/>
    <w:family w:val="roman"/>
    <w:pitch w:val="default"/>
    <w:sig w:usb0="00000000" w:usb1="00000000" w:usb2="00000000" w:usb3="00000000" w:csb0="00040000" w:csb1="00000000"/>
  </w:font>
  <w:font w:name="方正楷体_GBK">
    <w:altName w:val="微软雅黑"/>
    <w:panose1 w:val="00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eastAsiaTheme="minorEastAsia"/>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drawingGridHorizontalSpacing w:val="120"/>
  <w:displayHorizontalDrawingGridEvery w:val="2"/>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MyMjIxYWYyN2NiNmYxYzI3OWZiMmQyYTI1ZjkzNDMifQ=="/>
  </w:docVars>
  <w:rsids>
    <w:rsidRoot w:val="00CD3468"/>
    <w:rsid w:val="00033A73"/>
    <w:rsid w:val="000676E9"/>
    <w:rsid w:val="000D20CB"/>
    <w:rsid w:val="00146807"/>
    <w:rsid w:val="001732C8"/>
    <w:rsid w:val="00193E33"/>
    <w:rsid w:val="001D6B20"/>
    <w:rsid w:val="002154EC"/>
    <w:rsid w:val="002A2A7D"/>
    <w:rsid w:val="002A6D9C"/>
    <w:rsid w:val="0030322D"/>
    <w:rsid w:val="00307EA0"/>
    <w:rsid w:val="00315A0F"/>
    <w:rsid w:val="003730D5"/>
    <w:rsid w:val="003815A9"/>
    <w:rsid w:val="003A2BCD"/>
    <w:rsid w:val="003B5000"/>
    <w:rsid w:val="003D6A6F"/>
    <w:rsid w:val="003E310A"/>
    <w:rsid w:val="0040076E"/>
    <w:rsid w:val="00412BDF"/>
    <w:rsid w:val="00490F9E"/>
    <w:rsid w:val="005028F6"/>
    <w:rsid w:val="00550537"/>
    <w:rsid w:val="005D2403"/>
    <w:rsid w:val="005E386B"/>
    <w:rsid w:val="005F1B5D"/>
    <w:rsid w:val="005F2B09"/>
    <w:rsid w:val="00602DD9"/>
    <w:rsid w:val="00612C70"/>
    <w:rsid w:val="00637E09"/>
    <w:rsid w:val="006754DB"/>
    <w:rsid w:val="006A2CCD"/>
    <w:rsid w:val="006B0033"/>
    <w:rsid w:val="006C7D81"/>
    <w:rsid w:val="0083085A"/>
    <w:rsid w:val="00896039"/>
    <w:rsid w:val="008D0B9C"/>
    <w:rsid w:val="009029E6"/>
    <w:rsid w:val="0094456E"/>
    <w:rsid w:val="00965430"/>
    <w:rsid w:val="00973D7F"/>
    <w:rsid w:val="009A1867"/>
    <w:rsid w:val="009E6A55"/>
    <w:rsid w:val="00A25AA4"/>
    <w:rsid w:val="00A4573A"/>
    <w:rsid w:val="00A72689"/>
    <w:rsid w:val="00AF2919"/>
    <w:rsid w:val="00B24E55"/>
    <w:rsid w:val="00B30EBF"/>
    <w:rsid w:val="00B36DE7"/>
    <w:rsid w:val="00B5102E"/>
    <w:rsid w:val="00B82CF2"/>
    <w:rsid w:val="00BB12C7"/>
    <w:rsid w:val="00BB42E0"/>
    <w:rsid w:val="00BC7FB4"/>
    <w:rsid w:val="00C16383"/>
    <w:rsid w:val="00C46843"/>
    <w:rsid w:val="00C67916"/>
    <w:rsid w:val="00C91573"/>
    <w:rsid w:val="00CA1520"/>
    <w:rsid w:val="00CA7E53"/>
    <w:rsid w:val="00CD3468"/>
    <w:rsid w:val="00D23932"/>
    <w:rsid w:val="00D77C1F"/>
    <w:rsid w:val="00E424C4"/>
    <w:rsid w:val="00E5373C"/>
    <w:rsid w:val="00E948A7"/>
    <w:rsid w:val="00E9583C"/>
    <w:rsid w:val="00E97FEE"/>
    <w:rsid w:val="00F1580C"/>
    <w:rsid w:val="00F215EF"/>
    <w:rsid w:val="014F4E7D"/>
    <w:rsid w:val="0284483A"/>
    <w:rsid w:val="04795208"/>
    <w:rsid w:val="04DC422B"/>
    <w:rsid w:val="08275DEA"/>
    <w:rsid w:val="0E21742C"/>
    <w:rsid w:val="106A4D6D"/>
    <w:rsid w:val="112410D9"/>
    <w:rsid w:val="124E70EA"/>
    <w:rsid w:val="142E34B0"/>
    <w:rsid w:val="144D1B2E"/>
    <w:rsid w:val="163E1CFE"/>
    <w:rsid w:val="171D14AC"/>
    <w:rsid w:val="19481E9C"/>
    <w:rsid w:val="1981715C"/>
    <w:rsid w:val="1E7E2212"/>
    <w:rsid w:val="211D660F"/>
    <w:rsid w:val="281B59F6"/>
    <w:rsid w:val="293D1AEA"/>
    <w:rsid w:val="2A4917DD"/>
    <w:rsid w:val="2B170DDA"/>
    <w:rsid w:val="2B631DDB"/>
    <w:rsid w:val="2B807273"/>
    <w:rsid w:val="2E404A54"/>
    <w:rsid w:val="33293712"/>
    <w:rsid w:val="33C76378"/>
    <w:rsid w:val="34274EEA"/>
    <w:rsid w:val="34B66335"/>
    <w:rsid w:val="35226619"/>
    <w:rsid w:val="37915383"/>
    <w:rsid w:val="38B67B31"/>
    <w:rsid w:val="39151653"/>
    <w:rsid w:val="392679A4"/>
    <w:rsid w:val="394F3325"/>
    <w:rsid w:val="3BA44514"/>
    <w:rsid w:val="3D091CE7"/>
    <w:rsid w:val="3D2A55D0"/>
    <w:rsid w:val="423F786A"/>
    <w:rsid w:val="42FA3A1C"/>
    <w:rsid w:val="454C322E"/>
    <w:rsid w:val="4A0B547F"/>
    <w:rsid w:val="4E34001F"/>
    <w:rsid w:val="519C2671"/>
    <w:rsid w:val="52DE46FC"/>
    <w:rsid w:val="54994CF6"/>
    <w:rsid w:val="57E3666D"/>
    <w:rsid w:val="57FAD990"/>
    <w:rsid w:val="57FF5568"/>
    <w:rsid w:val="580B42A0"/>
    <w:rsid w:val="5A0A0C13"/>
    <w:rsid w:val="5AFB6602"/>
    <w:rsid w:val="5DD36048"/>
    <w:rsid w:val="605B55DE"/>
    <w:rsid w:val="61802319"/>
    <w:rsid w:val="631713FC"/>
    <w:rsid w:val="63A14DDA"/>
    <w:rsid w:val="65440F0D"/>
    <w:rsid w:val="67E8173B"/>
    <w:rsid w:val="688345E5"/>
    <w:rsid w:val="69652A6D"/>
    <w:rsid w:val="6CE75935"/>
    <w:rsid w:val="6CFB7023"/>
    <w:rsid w:val="6D3F07B6"/>
    <w:rsid w:val="6FAA76FC"/>
    <w:rsid w:val="72ED7FEB"/>
    <w:rsid w:val="742A2CC0"/>
    <w:rsid w:val="7454695B"/>
    <w:rsid w:val="768C64D8"/>
    <w:rsid w:val="7AFF215B"/>
    <w:rsid w:val="7DA95C76"/>
    <w:rsid w:val="7E0C2FDF"/>
    <w:rsid w:val="7ED630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eastAsia="方正仿宋_GBK"/>
      <w:color w:val="000000"/>
      <w:sz w:val="2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rFonts w:eastAsia="Times New Roman"/>
      <w:sz w:val="18"/>
      <w:szCs w:val="18"/>
      <w:lang w:eastAsia="uk-UA"/>
    </w:rPr>
  </w:style>
  <w:style w:type="character" w:customStyle="1" w:styleId="35">
    <w:name w:val="页脚 Char"/>
    <w:basedOn w:val="7"/>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40</Pages>
  <Words>10711</Words>
  <Characters>12216</Characters>
  <Lines>114</Lines>
  <Paragraphs>32</Paragraphs>
  <TotalTime>4</TotalTime>
  <ScaleCrop>false</ScaleCrop>
  <LinksUpToDate>false</LinksUpToDate>
  <CharactersWithSpaces>12409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2023-09-05T02:03:00Z</dcterms:created>
  <dc:creator>Administrator</dc:creator>
  <cp:lastModifiedBy>Administrator</cp:lastModifiedBy>
  <cp:lastPrinted>2023-01-16T09:32:00Z</cp:lastPrinted>
  <dcterms:modified xsi:type="dcterms:W3CDTF">2024-07-17T08:41:56Z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DDC1F0C0E42DA6691A38F763ADFC65F0</vt:lpwstr>
  </property>
</Properties>
</file>