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header+xml" PartName="/word/header6.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sz w:val="44"/>
          <w:szCs w:val="44"/>
        </w:rPr>
      </w:pPr>
      <w:r>
        <w:rPr>
          <w:rFonts w:hint="eastAsia" w:ascii="Times New Roman" w:hAnsi="Times New Roman" w:eastAsia="方正小标宋_GBK"/>
          <w:sz w:val="44"/>
          <w:szCs w:val="44"/>
        </w:rPr>
        <w:t>隆尧县财政局</w:t>
      </w:r>
      <w:r>
        <w:rPr>
          <w:rFonts w:ascii="Times New Roman" w:hAnsi="Times New Roman" w:eastAsia="方正小标宋_GBK"/>
          <w:sz w:val="44"/>
          <w:szCs w:val="44"/>
        </w:rPr>
        <w:t>2021</w:t>
      </w:r>
      <w:r>
        <w:rPr>
          <w:rFonts w:hint="eastAsia" w:ascii="Times New Roman" w:hAnsi="Times New Roman" w:eastAsia="方正小标宋_GBK"/>
          <w:sz w:val="44"/>
          <w:szCs w:val="44"/>
        </w:rPr>
        <w:t>年部门预算信息公开情况说明</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按照《预算法》、《地方预决算公开操作规程》和《河北省省级预算公开办法》规定，现将隆尧县财政局</w:t>
      </w:r>
      <w:r>
        <w:rPr>
          <w:rFonts w:ascii="Times New Roman" w:hAnsi="Times New Roman" w:eastAsia="方正仿宋_GBK"/>
          <w:sz w:val="32"/>
          <w:szCs w:val="32"/>
        </w:rPr>
        <w:t>2021</w:t>
      </w:r>
      <w:r>
        <w:rPr>
          <w:rFonts w:hint="eastAsia" w:ascii="Times New Roman" w:hAnsi="Times New Roman" w:eastAsia="方正仿宋_GBK"/>
          <w:sz w:val="32"/>
          <w:szCs w:val="32"/>
        </w:rPr>
        <w:t>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ind w:firstLine="640" w:firstLineChars="200"/>
        <w:rPr>
          <w:rFonts w:ascii="Times New Roman" w:hAnsi="Times New Roman" w:eastAsia="方正仿宋_GBK"/>
          <w:b/>
          <w:sz w:val="32"/>
          <w:szCs w:val="32"/>
        </w:rPr>
      </w:pPr>
      <w:r>
        <w:rPr>
          <w:rFonts w:hint="eastAsia" w:ascii="Times New Roman" w:hAnsi="Times New Roman" w:eastAsia="方正仿宋_GBK"/>
          <w:b/>
          <w:sz w:val="32"/>
          <w:szCs w:val="32"/>
        </w:rPr>
        <w:t>部门职责：</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2、贯彻执行财政、财务、会计管理的法律、行政法规、规章,在国家和省市授权范围内,起草相关的地方性法规、政府规章草案,并监督执行。</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3、负责管理全县各项财政收支。编制年度县级预决算草案并组织执行,汇编全县年度预决算草案。组织制定经费开支标准、定额,审核批复部门(单位)年度预决算受县政府委托，</w:t>
      </w:r>
      <w:r>
        <w:rPr>
          <w:rFonts w:hint="eastAsia" w:ascii="Times New Roman" w:hAnsi="Times New Roman" w:eastAsia="方正仿宋_GBK"/>
          <w:sz w:val="32"/>
          <w:szCs w:val="32"/>
          <w:lang w:val="zh-CN"/>
        </w:rPr>
        <w:t>向县人民代表大会及其常委会报告全县预算、执行和决算等情况。负责县级财政预决算公开。</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4、</w:t>
      </w:r>
      <w:r>
        <w:rPr>
          <w:rFonts w:hint="eastAsia" w:ascii="Times New Roman" w:hAnsi="Times New Roman" w:eastAsia="方正仿宋_GBK"/>
          <w:sz w:val="32"/>
          <w:szCs w:val="32"/>
          <w:lang w:val="zh-CN"/>
        </w:rPr>
        <w:t>承担财政体制管理的工作。负责拟订全县财政管理体制。</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5、</w:t>
      </w:r>
      <w:r>
        <w:rPr>
          <w:rFonts w:hint="eastAsia" w:ascii="Times New Roman" w:hAnsi="Times New Roman" w:eastAsia="方正仿宋_GBK"/>
          <w:sz w:val="32"/>
          <w:szCs w:val="32"/>
          <w:lang w:val="zh-CN"/>
        </w:rPr>
        <w:t>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6、</w:t>
      </w:r>
      <w:r>
        <w:rPr>
          <w:rFonts w:hint="eastAsia" w:ascii="Times New Roman" w:hAnsi="Times New Roman" w:eastAsia="方正仿宋_GBK"/>
          <w:sz w:val="32"/>
          <w:szCs w:val="32"/>
          <w:lang w:val="zh-CN"/>
        </w:rPr>
        <w:t>按分工负责政府非税收入管理。负责政府性基金管理, 按规定管理行政事业性收费。管理财政票据。制定彩票管理政策和有关办法，按规定管理彩票资金。</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7、</w:t>
      </w:r>
      <w:r>
        <w:rPr>
          <w:rFonts w:hint="eastAsia" w:ascii="Times New Roman" w:hAnsi="Times New Roman" w:eastAsia="方正仿宋_GBK"/>
          <w:sz w:val="32"/>
          <w:szCs w:val="32"/>
          <w:lang w:val="zh-CN"/>
        </w:rPr>
        <w:t>承担财政国库管理的工作。研究制定国库管理制度、国库集中收付制度并组织实施。指导和监督全县国库业务，按规定开展国库现金管理。制定政府财务报告编制办法并组织实施。</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8、</w:t>
      </w:r>
      <w:r>
        <w:rPr>
          <w:rFonts w:hint="eastAsia" w:ascii="Times New Roman" w:hAnsi="Times New Roman" w:eastAsia="方正仿宋_GBK"/>
          <w:sz w:val="32"/>
          <w:szCs w:val="32"/>
          <w:lang w:val="zh-CN"/>
        </w:rPr>
        <w:t>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9、</w:t>
      </w:r>
      <w:r>
        <w:rPr>
          <w:rFonts w:hint="eastAsia" w:ascii="Times New Roman" w:hAnsi="Times New Roman" w:eastAsia="方正仿宋_GBK"/>
          <w:sz w:val="32"/>
          <w:szCs w:val="32"/>
          <w:lang w:val="zh-CN"/>
        </w:rPr>
        <w:t>负责制定政府采购政策、制度并组织实施。监督检查政府釆购活动。</w:t>
      </w:r>
    </w:p>
    <w:p>
      <w:pPr>
        <w:ind w:firstLine="640" w:firstLineChars="200"/>
        <w:rPr>
          <w:rFonts w:ascii="Times New Roman" w:hAnsi="Times New Roman" w:eastAsia="方正仿宋_GBK"/>
          <w:sz w:val="32"/>
          <w:szCs w:val="32"/>
          <w:lang w:val="zh-CN"/>
        </w:rPr>
      </w:pPr>
      <w:r>
        <w:rPr>
          <w:rFonts w:hint="eastAsia" w:ascii="Times New Roman" w:hAnsi="Times New Roman" w:eastAsia="方正仿宋_GBK"/>
          <w:sz w:val="32"/>
          <w:szCs w:val="32"/>
        </w:rPr>
        <w:t>10、</w:t>
      </w:r>
      <w:r>
        <w:rPr>
          <w:rFonts w:hint="eastAsia" w:ascii="Times New Roman" w:hAnsi="Times New Roman" w:eastAsia="方正仿宋_GBK"/>
          <w:sz w:val="32"/>
          <w:szCs w:val="32"/>
          <w:lang w:val="zh-CN"/>
        </w:rPr>
        <w:t>负责制定行政事业单位国有资产管理规章制度，以及县委、县政府直属企事业单位和县直部门所属企事业单位的国有资产监督管理，制定需要全县统一规定的开支标准和支出政策。</w:t>
      </w:r>
    </w:p>
    <w:p>
      <w:pPr>
        <w:ind w:firstLine="640" w:firstLineChars="200"/>
        <w:rPr>
          <w:rFonts w:ascii="Times New Roman" w:hAnsi="Times New Roman" w:eastAsia="方正仿宋_GBK"/>
          <w:sz w:val="32"/>
          <w:szCs w:val="32"/>
          <w:lang w:val="zh-CN"/>
        </w:rPr>
      </w:pPr>
      <w:r>
        <w:rPr>
          <w:rFonts w:hint="eastAsia" w:ascii="Times New Roman" w:hAnsi="Times New Roman" w:eastAsia="方正仿宋_GBK"/>
          <w:sz w:val="32"/>
          <w:szCs w:val="32"/>
        </w:rPr>
        <w:t>11、</w:t>
      </w:r>
      <w:r>
        <w:rPr>
          <w:rFonts w:hint="eastAsia" w:ascii="Times New Roman" w:hAnsi="Times New Roman" w:eastAsia="方正仿宋_GBK"/>
          <w:sz w:val="32"/>
          <w:szCs w:val="32"/>
          <w:lang w:val="zh-CN"/>
        </w:rPr>
        <w:t>负责审核并汇总编制全县国有资本经营预决算草案，组织实施国有资本经营预算的制度，制定具体办法，收取全县企业国有资本收益。组织实施企业财务制度及企业财务会计报告编制等工作。</w:t>
      </w:r>
    </w:p>
    <w:p>
      <w:pPr>
        <w:ind w:firstLine="640" w:firstLineChars="200"/>
        <w:rPr>
          <w:rFonts w:ascii="Times New Roman" w:hAnsi="Times New Roman" w:eastAsia="方正仿宋_GBK"/>
          <w:sz w:val="32"/>
          <w:szCs w:val="32"/>
          <w:lang w:val="zh-CN"/>
        </w:rPr>
      </w:pPr>
      <w:r>
        <w:rPr>
          <w:rFonts w:hint="eastAsia" w:ascii="Times New Roman" w:hAnsi="Times New Roman" w:eastAsia="方正仿宋_GBK"/>
          <w:sz w:val="32"/>
          <w:szCs w:val="32"/>
        </w:rPr>
        <w:t>12、</w:t>
      </w:r>
      <w:r>
        <w:rPr>
          <w:rFonts w:hint="eastAsia" w:ascii="Times New Roman" w:hAnsi="Times New Roman" w:eastAsia="方正仿宋_GBK"/>
          <w:sz w:val="32"/>
          <w:szCs w:val="32"/>
          <w:lang w:val="zh-CN"/>
        </w:rPr>
        <w:t>负责审核并汇总编制全县社会保险基金预决算草案，会同有关部门拟订社会保障资金（基金〉的财务管理制度并组织实施。承担社会保险基金财政监管工作。</w:t>
      </w:r>
    </w:p>
    <w:p>
      <w:pPr>
        <w:ind w:firstLine="640" w:firstLineChars="200"/>
        <w:rPr>
          <w:rFonts w:ascii="Times New Roman" w:hAnsi="Times New Roman" w:eastAsia="方正仿宋_GBK"/>
          <w:sz w:val="32"/>
          <w:szCs w:val="32"/>
          <w:lang w:val="zh-CN"/>
        </w:rPr>
      </w:pPr>
      <w:r>
        <w:rPr>
          <w:rFonts w:hint="eastAsia" w:ascii="Times New Roman" w:hAnsi="Times New Roman" w:eastAsia="方正仿宋_GBK"/>
          <w:sz w:val="32"/>
          <w:szCs w:val="32"/>
        </w:rPr>
        <w:t>13、</w:t>
      </w:r>
      <w:r>
        <w:rPr>
          <w:rFonts w:hint="eastAsia" w:ascii="Times New Roman" w:hAnsi="Times New Roman" w:eastAsia="方正仿宋_GBK"/>
          <w:sz w:val="32"/>
          <w:szCs w:val="32"/>
          <w:lang w:val="zh-CN"/>
        </w:rPr>
        <w:t>负责办理和监督全县财政的经济社会发展支出、全县投资项目的财政拨款，参与拟订全县建设投资的有关政策，制定基建财务管理制度。负责财政预算评审管理。</w:t>
      </w:r>
    </w:p>
    <w:p>
      <w:pPr>
        <w:ind w:firstLine="640" w:firstLineChars="200"/>
        <w:rPr>
          <w:rFonts w:ascii="Times New Roman" w:hAnsi="Times New Roman" w:eastAsia="方正仿宋_GBK"/>
          <w:sz w:val="32"/>
          <w:szCs w:val="32"/>
          <w:lang w:val="zh-CN"/>
        </w:rPr>
      </w:pPr>
      <w:r>
        <w:rPr>
          <w:rFonts w:hint="eastAsia" w:ascii="Times New Roman" w:hAnsi="Times New Roman" w:eastAsia="方正仿宋_GBK"/>
          <w:sz w:val="32"/>
          <w:szCs w:val="32"/>
        </w:rPr>
        <w:t>14、</w:t>
      </w:r>
      <w:r>
        <w:rPr>
          <w:rFonts w:hint="eastAsia" w:ascii="Times New Roman" w:hAnsi="Times New Roman" w:eastAsia="方正仿宋_GBK"/>
          <w:sz w:val="32"/>
          <w:szCs w:val="32"/>
          <w:lang w:val="zh-CN"/>
        </w:rPr>
        <w:t>负责管理全县会计工作，监督和规范会计行为，组织实施国家统一的会计制度，指导和监督注册会计师和会计事务所的业务，指导和管理社会审计。依法管理资产评估有关工作。</w:t>
      </w:r>
    </w:p>
    <w:p>
      <w:pPr>
        <w:ind w:firstLine="640" w:firstLineChars="200"/>
        <w:rPr>
          <w:rFonts w:ascii="Times New Roman" w:hAnsi="Times New Roman" w:eastAsia="方正仿宋_GBK"/>
          <w:sz w:val="32"/>
          <w:szCs w:val="32"/>
          <w:lang w:val="zh-CN"/>
        </w:rPr>
      </w:pPr>
      <w:r>
        <w:rPr>
          <w:rFonts w:hint="eastAsia" w:ascii="Times New Roman" w:hAnsi="Times New Roman" w:eastAsia="方正仿宋_GBK"/>
          <w:sz w:val="32"/>
          <w:szCs w:val="32"/>
        </w:rPr>
        <w:t>15、</w:t>
      </w:r>
      <w:r>
        <w:rPr>
          <w:rFonts w:hint="eastAsia" w:ascii="Times New Roman" w:hAnsi="Times New Roman" w:eastAsia="方正仿宋_GBK"/>
          <w:sz w:val="32"/>
          <w:szCs w:val="32"/>
          <w:lang w:val="zh-CN"/>
        </w:rPr>
        <w:t>监督检查财税法规、政策的执行情况，反映财政收支管理中的重大问题。</w:t>
      </w:r>
    </w:p>
    <w:p>
      <w:pPr>
        <w:ind w:firstLine="640" w:firstLineChars="200"/>
        <w:rPr>
          <w:rFonts w:ascii="Times New Roman" w:hAnsi="Times New Roman" w:eastAsia="方正仿宋_GBK"/>
          <w:sz w:val="32"/>
          <w:szCs w:val="32"/>
          <w:lang w:val="zh-CN"/>
        </w:rPr>
      </w:pPr>
      <w:r>
        <w:rPr>
          <w:rFonts w:hint="eastAsia" w:ascii="Times New Roman" w:hAnsi="Times New Roman" w:eastAsia="方正仿宋_GBK"/>
          <w:sz w:val="32"/>
          <w:szCs w:val="32"/>
        </w:rPr>
        <w:t>16、</w:t>
      </w:r>
      <w:r>
        <w:rPr>
          <w:rFonts w:hint="eastAsia" w:ascii="Times New Roman" w:hAnsi="Times New Roman" w:eastAsia="方正仿宋_GBK"/>
          <w:sz w:val="32"/>
          <w:szCs w:val="32"/>
          <w:lang w:val="zh-CN"/>
        </w:rPr>
        <w:t>组织财务人员培训，负责财政信息和财政宣传工作。</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17、</w:t>
      </w:r>
      <w:r>
        <w:rPr>
          <w:rFonts w:hint="eastAsia" w:ascii="Times New Roman" w:hAnsi="Times New Roman" w:eastAsia="方正仿宋_GBK"/>
          <w:sz w:val="32"/>
          <w:szCs w:val="32"/>
          <w:lang w:val="zh-CN"/>
        </w:rPr>
        <w:t>完成县委、县政府交办的其他事项。</w:t>
      </w:r>
    </w:p>
    <w:p>
      <w:pPr>
        <w:autoSpaceDE w:val="0"/>
        <w:autoSpaceDN w:val="0"/>
        <w:adjustRightInd w:val="0"/>
        <w:ind w:firstLine="640" w:firstLineChars="200"/>
        <w:jc w:val="left"/>
        <w:rPr>
          <w:rFonts w:ascii="方正仿宋_GBK" w:hAnsi="Times New Roman" w:eastAsia="方正仿宋_GBK"/>
          <w:b/>
          <w:sz w:val="32"/>
          <w:szCs w:val="32"/>
        </w:rPr>
      </w:pPr>
      <w:r>
        <w:rPr>
          <w:rFonts w:hint="eastAsia" w:ascii="方正仿宋_GBK" w:hAnsi="Times New Roman" w:eastAsia="方正仿宋_GBK"/>
          <w:b/>
          <w:sz w:val="32"/>
          <w:szCs w:val="32"/>
        </w:rPr>
        <w:t>机构设置：</w:t>
      </w:r>
    </w:p>
    <w:p>
      <w:pPr>
        <w:jc w:val="center"/>
        <w:outlineLvl w:val="0"/>
        <w:rPr>
          <w:rFonts w:ascii="Times New Roman" w:hAnsi="Times New Roman" w:eastAsia="方正小标宋_GBK"/>
          <w:sz w:val="32"/>
          <w:szCs w:val="24"/>
        </w:rPr>
      </w:pPr>
      <w:r>
        <w:rPr>
          <w:rFonts w:hint="eastAsia" w:ascii="Times New Roman" w:hAnsi="Times New Roman" w:eastAsia="方正小标宋_GBK"/>
          <w:sz w:val="32"/>
          <w:szCs w:val="24"/>
        </w:rPr>
        <w:t>部门机构设置情况</w:t>
      </w:r>
    </w:p>
    <w:tbl>
      <w:tblPr>
        <w:tblStyle w:val="10"/>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单位名称</w:t>
            </w:r>
          </w:p>
        </w:tc>
        <w:tc>
          <w:tcPr>
            <w:tcW w:w="1134"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单位性质</w:t>
            </w:r>
          </w:p>
        </w:tc>
        <w:tc>
          <w:tcPr>
            <w:tcW w:w="1276"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单位规格</w:t>
            </w:r>
          </w:p>
        </w:tc>
        <w:tc>
          <w:tcPr>
            <w:tcW w:w="2902"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szCs w:val="24"/>
              </w:rPr>
            </w:pPr>
          </w:p>
        </w:tc>
        <w:tc>
          <w:tcPr>
            <w:tcW w:w="1134" w:type="dxa"/>
            <w:vMerge w:val="continue"/>
            <w:vAlign w:val="center"/>
          </w:tcPr>
          <w:p>
            <w:pPr>
              <w:spacing w:line="300" w:lineRule="exact"/>
              <w:jc w:val="left"/>
              <w:outlineLvl w:val="0"/>
              <w:rPr>
                <w:rFonts w:ascii="Times New Roman" w:hAnsi="Times New Roman"/>
                <w:szCs w:val="24"/>
              </w:rPr>
            </w:pPr>
          </w:p>
        </w:tc>
        <w:tc>
          <w:tcPr>
            <w:tcW w:w="1276" w:type="dxa"/>
            <w:vMerge w:val="continue"/>
            <w:vAlign w:val="center"/>
          </w:tcPr>
          <w:p>
            <w:pPr>
              <w:spacing w:line="300" w:lineRule="exact"/>
              <w:jc w:val="left"/>
              <w:outlineLvl w:val="0"/>
              <w:rPr>
                <w:rFonts w:ascii="Times New Roman" w:hAnsi="Times New Roman"/>
                <w:szCs w:val="24"/>
              </w:rPr>
            </w:pPr>
          </w:p>
        </w:tc>
        <w:tc>
          <w:tcPr>
            <w:tcW w:w="2902" w:type="dxa"/>
            <w:vMerge w:val="continue"/>
            <w:vAlign w:val="center"/>
          </w:tcPr>
          <w:p>
            <w:pPr>
              <w:spacing w:line="300" w:lineRule="exact"/>
              <w:jc w:val="left"/>
              <w:outlineLvl w:val="0"/>
              <w:rPr>
                <w:rFonts w:ascii="Times New Roman" w:hAnsi="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jc w:val="center"/>
        </w:trPr>
        <w:tc>
          <w:tcPr>
            <w:tcW w:w="4417" w:type="dxa"/>
            <w:vAlign w:val="center"/>
          </w:tcPr>
          <w:p>
            <w:pPr>
              <w:spacing w:line="300" w:lineRule="exact"/>
              <w:jc w:val="left"/>
              <w:rPr>
                <w:rFonts w:ascii="Times New Roman" w:hAnsi="Times New Roman" w:eastAsia="方正书宋_GBK"/>
                <w:szCs w:val="24"/>
              </w:rPr>
            </w:pPr>
            <w:r>
              <w:rPr>
                <w:rFonts w:hint="eastAsia" w:ascii="方正书宋_GBK" w:eastAsia="方正书宋_GBK"/>
              </w:rPr>
              <w:t>隆尧县财政局（机关）</w:t>
            </w:r>
          </w:p>
        </w:tc>
        <w:tc>
          <w:tcPr>
            <w:tcW w:w="1134" w:type="dxa"/>
            <w:vAlign w:val="center"/>
          </w:tcPr>
          <w:p>
            <w:pPr>
              <w:spacing w:line="300" w:lineRule="exact"/>
              <w:jc w:val="center"/>
              <w:rPr>
                <w:rFonts w:ascii="Times New Roman" w:hAnsi="Times New Roman" w:eastAsia="方正书宋_GBK"/>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szCs w:val="24"/>
              </w:rPr>
            </w:pPr>
            <w:r>
              <w:rPr>
                <w:rFonts w:hint="eastAsia" w:ascii="方正书宋_GBK" w:eastAsia="方正书宋_GBK"/>
              </w:rPr>
              <w:t>财政拨款</w:t>
            </w:r>
          </w:p>
        </w:tc>
      </w:tr>
    </w:tbl>
    <w:p>
      <w:pPr>
        <w:ind w:firstLine="640" w:firstLineChars="200"/>
        <w:rPr>
          <w:rFonts w:ascii="黑体" w:hAnsi="黑体" w:eastAsia="黑体"/>
          <w:sz w:val="32"/>
          <w:szCs w:val="32"/>
        </w:rPr>
      </w:pPr>
    </w:p>
    <w:p>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pPr>
        <w:ind w:firstLine="640"/>
        <w:rPr>
          <w:rFonts w:ascii="Times New Roman" w:hAnsi="Times New Roman" w:eastAsia="方正仿宋_GBK"/>
          <w:sz w:val="32"/>
          <w:szCs w:val="32"/>
        </w:rPr>
      </w:pPr>
      <w:r>
        <w:rPr>
          <w:rFonts w:hint="eastAsia" w:ascii="Times New Roman" w:hAnsi="Times New Roman" w:eastAsia="方正仿宋_GBK"/>
          <w:sz w:val="32"/>
          <w:szCs w:val="32"/>
        </w:rPr>
        <w:t>按照预算管理有关规定，目前我县部门预算的编制实行综合预算管理，即全部收入和支出都反映在预算中。隆尧县财政局机关及所属事业单位的收支包含在部门预算中。</w:t>
      </w:r>
    </w:p>
    <w:p>
      <w:pPr>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、收入说明</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反映本部门当年全部收入。</w:t>
      </w:r>
      <w:r>
        <w:rPr>
          <w:rFonts w:ascii="Times New Roman" w:hAnsi="Times New Roman" w:eastAsia="方正仿宋_GBK"/>
          <w:sz w:val="32"/>
          <w:szCs w:val="32"/>
        </w:rPr>
        <w:t>2021</w:t>
      </w:r>
      <w:r>
        <w:rPr>
          <w:rFonts w:hint="eastAsia" w:ascii="Times New Roman" w:hAnsi="Times New Roman" w:eastAsia="方正仿宋_GBK"/>
          <w:sz w:val="32"/>
          <w:szCs w:val="32"/>
        </w:rPr>
        <w:t>年预算收入</w:t>
      </w:r>
      <w:r>
        <w:rPr>
          <w:rFonts w:hint="eastAsia" w:ascii="方正书宋_GBK" w:eastAsia="方正书宋_GBK"/>
          <w:b/>
          <w:sz w:val="32"/>
          <w:szCs w:val="32"/>
        </w:rPr>
        <w:t>881.64</w:t>
      </w:r>
      <w:r>
        <w:rPr>
          <w:rFonts w:hint="eastAsia" w:ascii="Times New Roman" w:hAnsi="Times New Roman" w:eastAsia="方正仿宋_GBK"/>
          <w:sz w:val="32"/>
          <w:szCs w:val="32"/>
        </w:rPr>
        <w:t>万元，其中：一般公共预算收入</w:t>
      </w:r>
      <w:r>
        <w:rPr>
          <w:rFonts w:hint="eastAsia" w:ascii="方正书宋_GBK" w:eastAsia="方正书宋_GBK"/>
          <w:b/>
          <w:sz w:val="32"/>
          <w:szCs w:val="32"/>
        </w:rPr>
        <w:t>881.64</w:t>
      </w:r>
      <w:r>
        <w:rPr>
          <w:rFonts w:hint="eastAsia" w:ascii="Times New Roman" w:hAnsi="Times New Roman" w:eastAsia="方正仿宋_GBK"/>
          <w:sz w:val="32"/>
          <w:szCs w:val="32"/>
        </w:rPr>
        <w:t>万元，基金预算收入</w:t>
      </w:r>
      <w:r>
        <w:rPr>
          <w:rFonts w:ascii="Times New Roman" w:hAnsi="Times New Roman" w:eastAsia="方正仿宋_GBK"/>
          <w:sz w:val="32"/>
          <w:szCs w:val="32"/>
        </w:rPr>
        <w:t>0</w:t>
      </w:r>
      <w:r>
        <w:rPr>
          <w:rFonts w:hint="eastAsia" w:ascii="Times New Roman" w:hAnsi="Times New Roman" w:eastAsia="方正仿宋_GBK"/>
          <w:sz w:val="32"/>
          <w:szCs w:val="32"/>
        </w:rPr>
        <w:t>万元，财政专户核拨收入</w:t>
      </w:r>
      <w:r>
        <w:rPr>
          <w:rFonts w:ascii="Times New Roman" w:hAnsi="Times New Roman" w:eastAsia="方正仿宋_GBK"/>
          <w:sz w:val="32"/>
          <w:szCs w:val="32"/>
        </w:rPr>
        <w:t>0</w:t>
      </w:r>
      <w:r>
        <w:rPr>
          <w:rFonts w:hint="eastAsia" w:ascii="Times New Roman" w:hAnsi="Times New Roman" w:eastAsia="方正仿宋_GBK"/>
          <w:sz w:val="32"/>
          <w:szCs w:val="32"/>
        </w:rPr>
        <w:t>万元，其他来源收入（单位资金）</w:t>
      </w:r>
      <w:r>
        <w:rPr>
          <w:rFonts w:ascii="Times New Roman" w:hAnsi="Times New Roman" w:eastAsia="方正仿宋_GBK"/>
          <w:sz w:val="32"/>
          <w:szCs w:val="32"/>
        </w:rPr>
        <w:t>0</w:t>
      </w:r>
      <w:r>
        <w:rPr>
          <w:rFonts w:hint="eastAsia" w:ascii="Times New Roman" w:hAnsi="Times New Roman" w:eastAsia="方正仿宋_GBK"/>
          <w:sz w:val="32"/>
          <w:szCs w:val="32"/>
        </w:rPr>
        <w:t>万元。</w:t>
      </w:r>
    </w:p>
    <w:p>
      <w:pPr>
        <w:ind w:firstLine="64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、支出说明</w:t>
      </w:r>
    </w:p>
    <w:p>
      <w:pPr>
        <w:ind w:firstLine="640"/>
        <w:rPr>
          <w:rFonts w:ascii="Times New Roman" w:hAnsi="Times New Roman" w:eastAsia="方正仿宋_GBK"/>
          <w:sz w:val="32"/>
          <w:szCs w:val="32"/>
        </w:rPr>
      </w:pPr>
      <w:r>
        <w:rPr>
          <w:rFonts w:hint="eastAsia" w:ascii="Times New Roman" w:hAnsi="Times New Roman" w:eastAsia="方正仿宋_GBK"/>
          <w:sz w:val="32"/>
          <w:szCs w:val="32"/>
        </w:rPr>
        <w:t>收支预算总表支出栏、基本支出表、项目支出表按经济分类和支出功能分类科目编制，反映隆尧县财政局年度部门预算中支出预算的总体情况。</w:t>
      </w:r>
      <w:r>
        <w:rPr>
          <w:rFonts w:ascii="Times New Roman" w:hAnsi="Times New Roman" w:eastAsia="方正仿宋_GBK"/>
          <w:sz w:val="32"/>
          <w:szCs w:val="32"/>
        </w:rPr>
        <w:t>2021</w:t>
      </w:r>
      <w:r>
        <w:rPr>
          <w:rFonts w:hint="eastAsia" w:ascii="Times New Roman" w:hAnsi="Times New Roman" w:eastAsia="方正仿宋_GBK"/>
          <w:sz w:val="32"/>
          <w:szCs w:val="32"/>
        </w:rPr>
        <w:t>年支出预算</w:t>
      </w:r>
      <w:r>
        <w:rPr>
          <w:rFonts w:hint="eastAsia" w:ascii="方正书宋_GBK" w:eastAsia="方正书宋_GBK"/>
          <w:b/>
          <w:sz w:val="32"/>
          <w:szCs w:val="32"/>
        </w:rPr>
        <w:t>881.64</w:t>
      </w:r>
      <w:r>
        <w:rPr>
          <w:rFonts w:hint="eastAsia" w:ascii="Times New Roman" w:hAnsi="Times New Roman" w:eastAsia="方正仿宋_GBK"/>
          <w:sz w:val="32"/>
          <w:szCs w:val="32"/>
        </w:rPr>
        <w:t>万元，其中基本支出</w:t>
      </w:r>
      <w:r>
        <w:rPr>
          <w:rFonts w:hint="eastAsia" w:ascii="方正书宋_GBK" w:eastAsia="方正书宋_GBK"/>
          <w:sz w:val="32"/>
          <w:szCs w:val="32"/>
        </w:rPr>
        <w:t>408.27</w:t>
      </w:r>
      <w:r>
        <w:rPr>
          <w:rFonts w:hint="eastAsia" w:ascii="Times New Roman" w:hAnsi="Times New Roman" w:eastAsia="方正仿宋_GBK"/>
          <w:sz w:val="32"/>
          <w:szCs w:val="32"/>
        </w:rPr>
        <w:t>万元，包括人员经费</w:t>
      </w:r>
      <w:r>
        <w:rPr>
          <w:rFonts w:hint="eastAsia" w:ascii="方正书宋_GBK" w:eastAsia="方正书宋_GBK"/>
          <w:sz w:val="32"/>
          <w:szCs w:val="32"/>
        </w:rPr>
        <w:t>359.81</w:t>
      </w:r>
      <w:r>
        <w:rPr>
          <w:rFonts w:hint="eastAsia" w:ascii="Times New Roman" w:hAnsi="Times New Roman" w:eastAsia="方正仿宋_GBK"/>
          <w:sz w:val="32"/>
          <w:szCs w:val="32"/>
        </w:rPr>
        <w:t>万元和日常公用经费</w:t>
      </w:r>
      <w:r>
        <w:rPr>
          <w:rFonts w:hint="eastAsia" w:ascii="方正书宋_GBK" w:eastAsia="方正书宋_GBK"/>
          <w:sz w:val="32"/>
          <w:szCs w:val="32"/>
        </w:rPr>
        <w:t>48.4</w:t>
      </w:r>
      <w:r>
        <w:rPr>
          <w:rFonts w:ascii="方正书宋_GBK" w:eastAsia="方正书宋_GBK"/>
          <w:sz w:val="32"/>
          <w:szCs w:val="32"/>
        </w:rPr>
        <w:t>6</w:t>
      </w:r>
      <w:r>
        <w:rPr>
          <w:rFonts w:hint="eastAsia" w:ascii="Times New Roman" w:hAnsi="Times New Roman" w:eastAsia="方正仿宋_GBK"/>
          <w:sz w:val="32"/>
          <w:szCs w:val="32"/>
        </w:rPr>
        <w:t>万元；项目支出</w:t>
      </w:r>
      <w:r>
        <w:rPr>
          <w:rFonts w:hint="eastAsia" w:ascii="方正书宋_GBK" w:eastAsia="方正书宋_GBK"/>
          <w:sz w:val="32"/>
          <w:szCs w:val="32"/>
        </w:rPr>
        <w:t>473.37</w:t>
      </w:r>
      <w:r>
        <w:rPr>
          <w:rFonts w:hint="eastAsia" w:ascii="Times New Roman" w:hAnsi="Times New Roman" w:eastAsia="方正仿宋_GBK"/>
          <w:sz w:val="32"/>
          <w:szCs w:val="32"/>
        </w:rPr>
        <w:t>万元，主要为一般公共服务支出，442.37万元，农林水支出31万元。</w:t>
      </w:r>
    </w:p>
    <w:p>
      <w:pPr>
        <w:ind w:firstLine="64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、比上年增减情况</w:t>
      </w:r>
    </w:p>
    <w:p>
      <w:pPr>
        <w:ind w:firstLine="640"/>
        <w:rPr>
          <w:rFonts w:ascii="仿宋_GB2312" w:hAnsi="黑体" w:eastAsia="仿宋_GB2312"/>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年预算收支安排</w:t>
      </w:r>
      <w:r>
        <w:rPr>
          <w:rFonts w:hint="eastAsia" w:ascii="方正书宋_GBK" w:eastAsia="方正书宋_GBK"/>
          <w:b/>
          <w:sz w:val="32"/>
          <w:szCs w:val="32"/>
        </w:rPr>
        <w:t>881.64</w:t>
      </w:r>
      <w:r>
        <w:rPr>
          <w:rFonts w:hint="eastAsia" w:ascii="Times New Roman" w:hAnsi="Times New Roman" w:eastAsia="方正仿宋_GBK"/>
          <w:sz w:val="32"/>
          <w:szCs w:val="32"/>
        </w:rPr>
        <w:t>万元，较</w:t>
      </w:r>
      <w:r>
        <w:rPr>
          <w:rFonts w:ascii="Times New Roman" w:hAnsi="Times New Roman" w:eastAsia="方正仿宋_GBK"/>
          <w:sz w:val="32"/>
          <w:szCs w:val="32"/>
        </w:rPr>
        <w:t>2020</w:t>
      </w:r>
      <w:r>
        <w:rPr>
          <w:rFonts w:hint="eastAsia" w:ascii="Times New Roman" w:hAnsi="Times New Roman" w:eastAsia="方正仿宋_GBK"/>
          <w:sz w:val="32"/>
          <w:szCs w:val="32"/>
        </w:rPr>
        <w:t>年年初预算增加121.2万元，其中：基本支出增加21.1万元，主要为增加人员经费支出；项目支出增加100.1万元，主要为财政投资项目评审费增加45万元，面貌提升增加38万元国有企业改制领导小组工作经费增加20万元。</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pPr>
        <w:ind w:firstLine="960" w:firstLineChars="300"/>
        <w:jc w:val="left"/>
        <w:rPr>
          <w:rFonts w:ascii="宋体" w:cs="宋体"/>
          <w:sz w:val="24"/>
          <w:szCs w:val="24"/>
        </w:rPr>
      </w:pPr>
      <w:r>
        <w:rPr>
          <w:rFonts w:ascii="Times New Roman" w:hAnsi="Times New Roman" w:eastAsia="方正仿宋_GBK"/>
          <w:sz w:val="32"/>
          <w:szCs w:val="32"/>
        </w:rPr>
        <w:t>2021</w:t>
      </w:r>
      <w:r>
        <w:rPr>
          <w:rFonts w:hint="eastAsia" w:ascii="Times New Roman" w:hAnsi="Times New Roman" w:eastAsia="方正仿宋_GBK"/>
          <w:sz w:val="32"/>
          <w:szCs w:val="32"/>
        </w:rPr>
        <w:t>年，我部门局机关运行经费共计安排</w:t>
      </w:r>
      <w:r>
        <w:rPr>
          <w:rFonts w:hint="eastAsia" w:eastAsia="方正仿宋_GBK"/>
          <w:sz w:val="32"/>
          <w:szCs w:val="32"/>
        </w:rPr>
        <w:t>312.23</w:t>
      </w:r>
      <w:r>
        <w:rPr>
          <w:rFonts w:hint="eastAsia" w:ascii="Times New Roman" w:hAnsi="Times New Roman" w:eastAsia="方正仿宋_GBK"/>
          <w:sz w:val="32"/>
          <w:szCs w:val="32"/>
        </w:rPr>
        <w:t>万元，主要用于保证机关正常运转的办公及印刷费、邮电费、差旅费、福利费、办公用房水电费、办公用房取暖费、日常维修费、办公楼物业管理费等支出。</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年，我部门财政拨款</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经费预算安排1.8万元，其中：因公出国（境）费0万元；公务用车购置及运维费0万元（其中：公务用车购置费0万元，公务用车运行维护费0万元)；公务接待费1.9万元。与</w:t>
      </w:r>
      <w:r>
        <w:rPr>
          <w:rFonts w:ascii="Times New Roman" w:hAnsi="Times New Roman" w:eastAsia="方正仿宋_GBK"/>
          <w:sz w:val="32"/>
          <w:szCs w:val="32"/>
        </w:rPr>
        <w:t>2020</w:t>
      </w:r>
      <w:r>
        <w:rPr>
          <w:rFonts w:hint="eastAsia" w:ascii="Times New Roman" w:hAnsi="Times New Roman" w:eastAsia="方正仿宋_GBK"/>
          <w:sz w:val="32"/>
          <w:szCs w:val="32"/>
        </w:rPr>
        <w:t>年相比减少0.1万元，减少的主要原因是：压减了公务接待费。</w:t>
      </w:r>
    </w:p>
    <w:p>
      <w:pPr>
        <w:ind w:firstLine="640" w:firstLineChars="200"/>
        <w:rPr>
          <w:rFonts w:ascii="黑体" w:hAnsi="黑体" w:eastAsia="黑体"/>
          <w:sz w:val="32"/>
          <w:szCs w:val="32"/>
        </w:rPr>
      </w:pPr>
      <w:r>
        <w:rPr>
          <w:rFonts w:hint="eastAsia" w:ascii="黑体" w:hAnsi="黑体" w:eastAsia="黑体"/>
          <w:sz w:val="32"/>
          <w:szCs w:val="32"/>
        </w:rPr>
        <w:t>五、预算绩效信息</w:t>
      </w:r>
    </w:p>
    <w:p>
      <w:pPr>
        <w:ind w:firstLine="640" w:firstLineChars="200"/>
        <w:jc w:val="left"/>
        <w:rPr>
          <w:rFonts w:ascii="Times New Roman" w:hAnsi="Times New Roman" w:eastAsia="方正仿宋_GBK"/>
          <w:b/>
          <w:sz w:val="32"/>
          <w:szCs w:val="32"/>
        </w:rPr>
      </w:pPr>
      <w:bookmarkStart w:id="0" w:name="_Toc471398463"/>
      <w:r>
        <w:rPr>
          <w:rFonts w:hint="eastAsia" w:ascii="Times New Roman" w:hAnsi="Times New Roman" w:eastAsia="方正仿宋_GBK"/>
          <w:b/>
          <w:sz w:val="32"/>
          <w:szCs w:val="32"/>
        </w:rPr>
        <w:t>第一部分部门整体绩效目标</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（一）总体绩效目标</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1、保障机关日常运转，规范业务流程，提升财政政策管理水平。</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2、加强财政资金监管，强化政府债务管理，做好全县总决算和部门决算编报工作，规范预算公开程序，提高全县预算绩效管理工作整体水平。</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3、提高收入质量，提升基本财力保障程度，调度全县预算支出进度，盘活财政存量资金。</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4、做好行政事业单位国有资产管理，国有企业改制和整合工作，大力推广政府和社会资本合作（PPP）模式。</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5、提升会计人员专业素质和会计培训工作质量。</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6、加强对财政部门内部财经制度执行情况的监督检查。</w:t>
      </w:r>
    </w:p>
    <w:p>
      <w:pPr>
        <w:pStyle w:val="3"/>
        <w:ind w:firstLine="560" w:firstLineChars="200"/>
        <w:rPr>
          <w:rFonts w:ascii="方正黑体_GBK" w:eastAsia="方正黑体_GBK"/>
          <w:b w:val="0"/>
          <w:sz w:val="28"/>
          <w:szCs w:val="28"/>
        </w:rPr>
      </w:pPr>
      <w:bookmarkStart w:id="1" w:name="_Toc64110071"/>
      <w:bookmarkStart w:id="2" w:name="_Toc60391233"/>
      <w:bookmarkStart w:id="3" w:name="_Toc64110028"/>
      <w:r>
        <w:rPr>
          <w:rFonts w:hint="eastAsia" w:ascii="方正楷体_GBK" w:hAnsi="楷体" w:eastAsia="方正楷体_GBK" w:cs="楷体"/>
          <w:b w:val="0"/>
          <w:sz w:val="28"/>
          <w:szCs w:val="28"/>
        </w:rPr>
        <w:t>（二）</w:t>
      </w:r>
      <w:r>
        <w:rPr>
          <w:rFonts w:hint="eastAsia" w:ascii="方正黑体_GBK" w:eastAsia="方正黑体_GBK"/>
          <w:b w:val="0"/>
          <w:sz w:val="28"/>
          <w:szCs w:val="28"/>
        </w:rPr>
        <w:t>分项绩效目标</w:t>
      </w:r>
      <w:bookmarkEnd w:id="1"/>
      <w:bookmarkEnd w:id="2"/>
      <w:bookmarkEnd w:id="3"/>
      <w:r>
        <w:rPr>
          <w:rFonts w:ascii="方正黑体_GBK" w:eastAsia="方正黑体_GBK"/>
          <w:b w:val="0"/>
          <w:sz w:val="28"/>
          <w:szCs w:val="28"/>
        </w:rPr>
        <w:fldChar w:fldCharType="begin"/>
      </w:r>
      <w:r>
        <w:rPr>
          <w:rFonts w:ascii="方正黑体_GBK" w:eastAsia="方正黑体_GBK"/>
          <w:b w:val="0"/>
          <w:sz w:val="28"/>
          <w:szCs w:val="28"/>
        </w:rPr>
        <w:instrText xml:space="preserve">tc "</w:instrText>
      </w:r>
      <w:r>
        <w:rPr>
          <w:rFonts w:hint="eastAsia" w:ascii="方正黑体_GBK" w:eastAsia="方正黑体_GBK"/>
          <w:b w:val="0"/>
          <w:sz w:val="28"/>
          <w:szCs w:val="28"/>
        </w:rPr>
        <w:instrText xml:space="preserve">分项绩效目标</w:instrText>
      </w:r>
      <w:r>
        <w:rPr>
          <w:rFonts w:ascii="方正黑体_GBK" w:eastAsia="方正黑体_GBK"/>
          <w:b w:val="0"/>
          <w:sz w:val="28"/>
          <w:szCs w:val="28"/>
        </w:rPr>
        <w:instrText xml:space="preserve">" \f A \l 000000000000001</w:instrText>
      </w:r>
      <w:r>
        <w:rPr>
          <w:rFonts w:ascii="方正黑体_GBK" w:eastAsia="方正黑体_GBK"/>
          <w:b w:val="0"/>
          <w:sz w:val="28"/>
          <w:szCs w:val="28"/>
        </w:rPr>
        <w:fldChar w:fldCharType="end"/>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1、保障机关日常运转、信息安全，做好财政系统人才队伍建设，规范业务流程，提升财政政策管理水平，确保国家、省市和县委县政府各项重大决策部署贯彻落实。</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2、加强财政资金预算监管，对部门预算调整事项进行审核，做好财政收支分析管理。强化政府债务管理，做好风险预警。规范预算公开程序，扩大预算公开范围，细化公开内容。</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3、提高全县预算绩效管理工作整体水平，实现预算绩效挂钩办法，落实资金使用必问效，无效必问责的机制。</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4、提升基本财力保障程度，调度全县预算支出进度，盘活财政存量资金。</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5、做好全县总决算和部门决算编报工作，及时做好专项资金的拨付核对工作，加强暂存暂付款管理，完善财政专户管理各项规章制度。</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6、规范非税收入票据管理，提高收入质量。</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7、做好行政事业单位国有资产管理，国有企业改制和整合工作，大力推广政府和社会资本合作（PPP）模式。</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8、履行财政监管职能，对财政投资项目进行评审，降低财政投资风险，提高财政资金使用效率。</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9、管理县级财政社会保障和就业及医疗卫生支出，拟订社会保障资金（基金）的财务管理制度，编制县级社会保障预决算草案。</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10、支持实施乡村振兴战略，统筹安排财政扶贫资金，管理农村综合改革资金。</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11、提升会计人员专业素质和会计培训工作质量，提高农村财会人员专业素质，提升培训的层次和效果。</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12、按省级预算管理规定及相关资金管理办法申报、审核和拨付专项资金，按时保质保量完成发放工作。</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13、加强对财政部门内部财经制度执行情况的监督检查。</w:t>
      </w:r>
    </w:p>
    <w:p>
      <w:pPr>
        <w:pStyle w:val="3"/>
        <w:ind w:firstLine="560" w:firstLineChars="200"/>
        <w:rPr>
          <w:rFonts w:ascii="方正黑体_GBK" w:eastAsia="方正黑体_GBK"/>
          <w:b w:val="0"/>
          <w:sz w:val="28"/>
          <w:szCs w:val="28"/>
        </w:rPr>
      </w:pPr>
      <w:bookmarkStart w:id="4" w:name="_Toc60391234"/>
      <w:bookmarkStart w:id="5" w:name="_Toc64110072"/>
      <w:bookmarkStart w:id="6" w:name="_Toc64110029"/>
      <w:r>
        <w:rPr>
          <w:rFonts w:hint="eastAsia" w:ascii="方正黑体_GBK" w:eastAsia="方正黑体_GBK"/>
          <w:b w:val="0"/>
          <w:sz w:val="28"/>
          <w:szCs w:val="28"/>
        </w:rPr>
        <w:t>（三）工作保障措施</w:t>
      </w:r>
      <w:bookmarkEnd w:id="4"/>
      <w:bookmarkEnd w:id="5"/>
      <w:bookmarkEnd w:id="6"/>
      <w:r>
        <w:rPr>
          <w:rFonts w:ascii="方正黑体_GBK" w:eastAsia="方正黑体_GBK"/>
          <w:b w:val="0"/>
          <w:sz w:val="28"/>
          <w:szCs w:val="28"/>
        </w:rPr>
        <w:fldChar w:fldCharType="begin"/>
      </w:r>
      <w:r>
        <w:rPr>
          <w:rFonts w:ascii="方正黑体_GBK" w:eastAsia="方正黑体_GBK"/>
          <w:b w:val="0"/>
          <w:sz w:val="28"/>
          <w:szCs w:val="28"/>
        </w:rPr>
        <w:instrText xml:space="preserve">tc "</w:instrText>
      </w:r>
      <w:r>
        <w:rPr>
          <w:rFonts w:hint="eastAsia" w:ascii="方正黑体_GBK" w:eastAsia="方正黑体_GBK"/>
          <w:b w:val="0"/>
          <w:sz w:val="28"/>
          <w:szCs w:val="28"/>
        </w:rPr>
        <w:instrText xml:space="preserve">工作保障措施</w:instrText>
      </w:r>
      <w:r>
        <w:rPr>
          <w:rFonts w:ascii="方正黑体_GBK" w:eastAsia="方正黑体_GBK"/>
          <w:b w:val="0"/>
          <w:sz w:val="28"/>
          <w:szCs w:val="28"/>
        </w:rPr>
        <w:instrText xml:space="preserve">" \f A \l 000000000000001</w:instrText>
      </w:r>
      <w:r>
        <w:rPr>
          <w:rFonts w:ascii="方正黑体_GBK" w:eastAsia="方正黑体_GBK"/>
          <w:b w:val="0"/>
          <w:sz w:val="28"/>
          <w:szCs w:val="28"/>
        </w:rPr>
        <w:fldChar w:fldCharType="end"/>
      </w:r>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1、科学测算收支增长预期</w:t>
      </w:r>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结合“十四五”规划编制，及早科学规范编制2021年政府预算，合理确定经济增长预期，以保工资、保运转、保民生为支撑，全力支持社会经济和谐平衡发展。一是科学研究判断当前形势，严格落实减税降费政策，加强财税部门征管调度，确保征收到位，力争超收。二是科学谋划政府性基金收入，特别是土地出让收入，加快土地出让开发，确保土地收入入库。三是科学统筹保障支出。坚持以收定支、保障重点、注重绩效原则，将有限的财力用于重点领域和关键环节，保障县委、县政府重大项目资金需求。</w:t>
      </w:r>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2、强化财政资金管理</w:t>
      </w:r>
      <w:bookmarkStart w:id="10" w:name="_GoBack"/>
      <w:bookmarkEnd w:id="10"/>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一是硬化预算执行刚性，提高预算执行均衡性和效率。严控预算追加和调剂，确保预算的刚性，年度中除应急救灾等支出外，一般不追加预算。二是加强对库款运行的监测和统计分析，做好资金统筹调度，确保不发生支付风险。加快预算执行和上级专项资金下达进度，督促预算部门按照有关规定及时支出，防止国库资金沉淀，更好地发挥财政政策对稳增长、促发展的促进作用。三是坚决落实政府过“紧日子”要求，严控“三公”经费，严格执行开支范围和标准，坚持艰苦奋斗，勤俭节约，从紧安排项目支出，大力压减一般性支出10%以上，把有限资金用在刀刃上。</w:t>
      </w:r>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3、增强保障和改善民生</w:t>
      </w:r>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一是加大支农投入，加快推进农业农村现代化。继续做好涉农资金整合工作，充分发挥整合资金作用，凸显集中财力办大事效应，实现农业增效，农民增收，农村繁荣。继续加大农村人居整治力度，推进农村厕所改造、村容村貌整治提升等农村人居环境整治相关建设。严格落实乡村振兴战略，推进扶持村级集体经济发展工作。继续加大对适度规模经营农户的农业保险支持力度，提高农业保险保障水平和赔付金额。二是加大生态环境治理保障力度。加强对大气、水、土壤污染治理资金支持力度，特别是保障“双代”清洁取暖、污水治理、造林绿化、城乡环卫一体化、农村改厕等一批重点工程，助推打赢蓝天碧水净土保卫战。三是巩固精准扶贫成果，继续增加扶贫资金投入，强化扶贫资金监管，按照脱贫攻坚工作目标，牵头抓好扶贫资金监督检查，制定、完善资金监管机制。四是全力保障教育、医疗卫生、社保、文化和就业等民生支出，特别是持续抓好常态化疫情防控资金保障工作，把人民群众生命安全和身体健康放在第一位，全力做好新冠肺炎疫情防控资金保障。</w:t>
      </w:r>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4、全力争取债券资金</w:t>
      </w:r>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2021年初步预测上报我县政府新增债券需求133517万元，其中：一般债券需求19017万元，专项债券114500万元。加大项目储备，会同发改对各部门开展专项培训，加快建立专项债券的高质量项目储备和前期准备、评估遴选等工作机制，确保项目储备一批、发行一批、施工一批、接续一批，形成拉动经济增长的长效机制。加强监管措施，按照专项债券穿透式监管要求，全过程跟踪了解专项债券发行使用情况，发现问题及时督促整改落实。努力消减存量，严格控制增量，降低债务风险，坚决守住不发生系统性、区域性风险的底线。</w:t>
      </w:r>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5、积极深化财政改革</w:t>
      </w:r>
    </w:p>
    <w:p>
      <w:pPr>
        <w:tabs>
          <w:tab w:val="left" w:pos="180"/>
        </w:tabs>
        <w:spacing w:line="500" w:lineRule="exact"/>
        <w:ind w:firstLine="560" w:firstLineChars="200"/>
        <w:rPr>
          <w:rFonts w:ascii="Times New Roman" w:hAnsi="宋体"/>
          <w:sz w:val="52"/>
        </w:rPr>
        <w:sectPr>
          <w:headerReference r:id="rId5" w:type="first"/>
          <w:footerReference r:id="rId8" w:type="first"/>
          <w:headerReference r:id="rId3" w:type="default"/>
          <w:footerReference r:id="rId6" w:type="default"/>
          <w:headerReference r:id="rId4" w:type="even"/>
          <w:footerReference r:id="rId7" w:type="even"/>
          <w:pgSz w:w="16839" w:h="11907" w:orient="landscape"/>
          <w:pgMar w:top="1304" w:right="1985" w:bottom="1304" w:left="1134" w:header="851" w:footer="992" w:gutter="0"/>
          <w:pgNumType w:start="1"/>
          <w:cols w:space="720" w:num="1"/>
          <w:docGrid w:type="linesAndChars" w:linePitch="312" w:charSpace="0"/>
        </w:sectPr>
      </w:pPr>
      <w:r>
        <w:rPr>
          <w:rFonts w:hint="eastAsia" w:ascii="方正仿宋_GBK" w:hAnsi="仿宋" w:eastAsia="方正仿宋_GBK" w:cs="仿宋"/>
          <w:sz w:val="28"/>
          <w:szCs w:val="28"/>
        </w:rPr>
        <w:t>一是全面推进预算绩效管理。加快构建全方位、全过程、全覆盖的预算绩效管理体系。加强全过程预算绩效管理监督，健全绩效评价结果与预算安排、政策调整挂钩机制，注重结果应用，提高预算执行率和财政资金使用效益。按照《财政部预算管理一体化规范（试行）》，升级信息系统，改进预算编制，规范预算管理，构建现代信息技术条件下“制度+技术”管理机制。二是深入推进财政投入方式改革，加快PPP推广应用进程，加强对项目库管理，确保入库项目质量，推进项目规范运作。推进政府购买服务工作，转变政府职能，健全完善公共财政体系，有效提高公共服务的质量和效率。三是继续推行非税收入财政电子票据改革，对全县卫生系统电子票据提前谋划，做好前期准备工作，确保明年全县执收执罚单位非税收入票据电子化全覆盖。</w:t>
      </w:r>
    </w:p>
    <w:p>
      <w:pPr>
        <w:pStyle w:val="3"/>
        <w:rPr>
          <w:rFonts w:ascii="Times New Roman" w:hAnsi="Times New Roman" w:eastAsia="方正仿宋_GBK"/>
          <w:szCs w:val="32"/>
        </w:rPr>
      </w:pPr>
      <w:r>
        <w:rPr>
          <w:rFonts w:hint="eastAsia" w:ascii="Times New Roman" w:hAnsi="Times New Roman" w:eastAsia="方正仿宋_GBK"/>
          <w:szCs w:val="32"/>
        </w:rPr>
        <w:t>第二部分：预算项目绩效目标：</w:t>
      </w:r>
    </w:p>
    <w:p>
      <w:pPr>
        <w:pStyle w:val="3"/>
        <w:rPr>
          <w:rFonts w:ascii="方正仿宋_GBK" w:eastAsia="方正仿宋_GBK"/>
          <w:sz w:val="28"/>
          <w:szCs w:val="28"/>
        </w:rPr>
      </w:pPr>
      <w:r>
        <w:rPr>
          <w:rFonts w:hint="eastAsia" w:ascii="方正仿宋_GBK" w:eastAsia="方正仿宋_GBK"/>
          <w:sz w:val="28"/>
          <w:szCs w:val="28"/>
        </w:rPr>
        <w:t>1</w:t>
      </w:r>
      <w:r>
        <w:rPr>
          <w:rFonts w:ascii="方正仿宋_GBK" w:eastAsia="方正仿宋_GBK"/>
          <w:sz w:val="28"/>
          <w:szCs w:val="28"/>
        </w:rPr>
        <w:t>.</w:t>
      </w:r>
      <w:r>
        <w:rPr>
          <w:rFonts w:hint="eastAsia" w:ascii="方正仿宋_GBK" w:eastAsia="方正仿宋_GBK"/>
          <w:sz w:val="28"/>
        </w:rPr>
        <w:t>设备购置绩效目标表</w:t>
      </w:r>
      <w:r>
        <w:rPr>
          <w:rFonts w:ascii="方正仿宋_GBK" w:eastAsia="方正仿宋_GBK"/>
          <w:sz w:val="28"/>
          <w:szCs w:val="28"/>
        </w:rPr>
        <w:fldChar w:fldCharType="begin"/>
      </w:r>
      <w:r>
        <w:rPr>
          <w:rFonts w:ascii="方正仿宋_GBK" w:eastAsia="方正仿宋_GBK"/>
          <w:sz w:val="28"/>
          <w:szCs w:val="28"/>
        </w:rPr>
        <w:instrText xml:space="preserve">tc "16</w:instrText>
      </w:r>
      <w:r>
        <w:rPr>
          <w:rFonts w:hint="eastAsia" w:ascii="方正仿宋_GBK" w:eastAsia="方正仿宋_GBK"/>
          <w:sz w:val="28"/>
          <w:szCs w:val="28"/>
        </w:rPr>
        <w:instrText xml:space="preserve">、省直机关办公用房大中修项目绩效目标表</w:instrText>
      </w:r>
      <w:r>
        <w:rPr>
          <w:rFonts w:ascii="方正仿宋_GBK" w:eastAsia="方正仿宋_GBK"/>
          <w:sz w:val="28"/>
          <w:szCs w:val="28"/>
        </w:rPr>
        <w:instrText xml:space="preserve">" \f C \l 000000000000001</w:instrText>
      </w:r>
      <w:r>
        <w:rPr>
          <w:rFonts w:ascii="方正仿宋_GBK" w:eastAsia="方正仿宋_GBK"/>
          <w:sz w:val="28"/>
          <w:szCs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宋体" w:cs="宋体"/>
                <w:b/>
              </w:rPr>
            </w:pPr>
            <w:r>
              <w:rPr>
                <w:rFonts w:hint="eastAsia" w:ascii="宋体" w:hAnsi="宋体" w:cs="宋体"/>
                <w:b/>
              </w:rPr>
              <w:t>318</w:t>
            </w:r>
            <w:r>
              <w:rPr>
                <w:rFonts w:ascii="宋体" w:hAnsi="宋体" w:cs="宋体"/>
                <w:b/>
              </w:rPr>
              <w:t>001</w:t>
            </w:r>
            <w:r>
              <w:rPr>
                <w:rFonts w:hint="eastAsia" w:ascii="宋体" w:hAnsi="宋体" w:cs="宋体"/>
                <w:b/>
              </w:rPr>
              <w:t>隆尧县财政局本级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宋体" w:cs="宋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及时更新设备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降低设备故障率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保障日常工作正常运转</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设备更新比例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设备更新比例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购置设备合格率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购置设备合格率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购置及时性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按工作需要及时购置更新相关设备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资金使用合规率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购置设备价款低于相关标准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行政单位设备配置标准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设备使用年限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设备使用年限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群众反馈</w:t>
            </w:r>
          </w:p>
        </w:tc>
      </w:tr>
    </w:tbl>
    <w:p>
      <w:pPr>
        <w:spacing w:line="300" w:lineRule="exact"/>
        <w:ind w:firstLine="420" w:firstLineChars="200"/>
        <w:jc w:val="left"/>
        <w:rPr>
          <w:rFonts w:ascii="宋体" w:cs="宋体"/>
        </w:rPr>
        <w:sectPr>
          <w:pgSz w:w="16839" w:h="11907" w:orient="landscape"/>
          <w:pgMar w:top="1304" w:right="1985" w:bottom="1304" w:left="1134" w:header="851" w:footer="992" w:gutter="0"/>
          <w:cols w:space="720" w:num="1"/>
          <w:docGrid w:type="linesAndChars" w:linePitch="312" w:charSpace="0"/>
        </w:sectPr>
      </w:pPr>
    </w:p>
    <w:p>
      <w:pPr>
        <w:pStyle w:val="3"/>
        <w:rPr>
          <w:rFonts w:ascii="方正仿宋_GBK" w:eastAsia="方正仿宋_GBK"/>
          <w:sz w:val="28"/>
          <w:szCs w:val="28"/>
        </w:rPr>
      </w:pPr>
      <w:r>
        <w:rPr>
          <w:rFonts w:hint="eastAsia" w:ascii="方正仿宋_GBK" w:eastAsia="方正仿宋_GBK"/>
          <w:sz w:val="28"/>
          <w:szCs w:val="28"/>
        </w:rPr>
        <w:t>2</w:t>
      </w:r>
      <w:r>
        <w:rPr>
          <w:rFonts w:ascii="方正仿宋_GBK" w:eastAsia="方正仿宋_GBK"/>
          <w:sz w:val="28"/>
          <w:szCs w:val="28"/>
        </w:rPr>
        <w:t>.</w:t>
      </w:r>
      <w:r>
        <w:rPr>
          <w:rFonts w:hint="eastAsia" w:ascii="方正仿宋_GBK" w:eastAsia="方正仿宋_GBK"/>
          <w:sz w:val="28"/>
        </w:rPr>
        <w:t>财政项目评审费绩效目标表</w:t>
      </w:r>
      <w:r>
        <w:rPr>
          <w:rFonts w:ascii="方正仿宋_GBK" w:eastAsia="方正仿宋_GBK"/>
          <w:sz w:val="28"/>
          <w:szCs w:val="28"/>
        </w:rPr>
        <w:fldChar w:fldCharType="begin"/>
      </w:r>
      <w:r>
        <w:rPr>
          <w:rFonts w:ascii="方正仿宋_GBK" w:eastAsia="方正仿宋_GBK"/>
          <w:sz w:val="28"/>
          <w:szCs w:val="28"/>
        </w:rPr>
        <w:instrText xml:space="preserve">tc "16</w:instrText>
      </w:r>
      <w:r>
        <w:rPr>
          <w:rFonts w:hint="eastAsia" w:ascii="方正仿宋_GBK" w:eastAsia="方正仿宋_GBK"/>
          <w:sz w:val="28"/>
          <w:szCs w:val="28"/>
        </w:rPr>
        <w:instrText xml:space="preserve">、省直机关办公用房大中修项目绩效目标表</w:instrText>
      </w:r>
      <w:r>
        <w:rPr>
          <w:rFonts w:ascii="方正仿宋_GBK" w:eastAsia="方正仿宋_GBK"/>
          <w:sz w:val="28"/>
          <w:szCs w:val="28"/>
        </w:rPr>
        <w:instrText xml:space="preserve">" \f C \l 000000000000001</w:instrText>
      </w:r>
      <w:r>
        <w:rPr>
          <w:rFonts w:ascii="方正仿宋_GBK" w:eastAsia="方正仿宋_GBK"/>
          <w:sz w:val="28"/>
          <w:szCs w:val="28"/>
        </w:rPr>
        <w:fldChar w:fldCharType="end"/>
      </w:r>
    </w:p>
    <w:p>
      <w:pPr>
        <w:spacing w:line="300" w:lineRule="exact"/>
        <w:jc w:val="left"/>
        <w:rPr>
          <w:rFonts w:ascii="宋体" w:cs="宋体"/>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完成本年度财政投资项目评审，预算控制在预算范围内</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按时支付评审费用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项目预算审减比例达到</w:t>
            </w:r>
            <w:r>
              <w:rPr>
                <w:rFonts w:ascii="方正书宋_GBK" w:eastAsia="方正书宋_GBK"/>
              </w:rPr>
              <w:t>5%</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评审项目数量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评审项目数量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出具的评审报告合格率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出具的评审报告合格率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评审费用支付率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对第三方完成的评审项目费用支付率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项目预算审减率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对财政投资项目预算审减比例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对象反馈</w:t>
            </w:r>
          </w:p>
        </w:tc>
      </w:tr>
    </w:tbl>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扫黑除恶资金绩效目标表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做好扫黑除恶资金统计管理工作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增强扫黑除恶宣传力度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确保扫黑除恶工作资金支持</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印刷宣传品数量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印刷宣传品数量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按月拨付到位</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扩大扫黑除恶宣传力度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扩大扫黑除恶宣传力度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提高扫黑除恶政策普及率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县财政事业费绩效目标表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宋体" w:hAnsi="宋体" w:cs="宋体"/>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机关日常工作正常运转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改善办公环境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降低投诉数量</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资金支持办公场所数量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资金支持办公场所数量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投诉率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日常工作中接到的投诉数量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65.76</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工作正常运转率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工作正常运转率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意见反馈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网络舆情监测绩效目标表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318001</w:t>
            </w:r>
            <w:r>
              <w:rPr>
                <w:rFonts w:hint="eastAsia" w:ascii="方正书宋_GBK" w:eastAsia="方正书宋_GBK"/>
                <w:b/>
              </w:rPr>
              <w:t>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掌握网络舆情</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做好网络舆情及时应对和处置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通过实施网络舆情监测促进社会稳定水平逐步提高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网络舆情监测率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网络舆情监测率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网络舆情处置率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网络舆情处置率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处置结果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网络舆情处置及时率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网络舆情处置及时率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处置结果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7.61</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通过实施网络舆情监测促进社会稳定水平逐步提高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办公楼维修绩效目标表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对各项设施进行定期检修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全年各项设施故障率低于</w:t>
            </w:r>
            <w:r>
              <w:rPr>
                <w:rFonts w:ascii="方正书宋_GBK" w:eastAsia="方正书宋_GBK"/>
              </w:rPr>
              <w:t>10%</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保障机关工作正常运转</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检修面积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检修面积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设施故障率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设施故障率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定期检修率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定期检修率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工作正常开展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工作正常开展</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冀财农【2020】162号/河北省财政厅提前下达2021年省级农村综合改革转移支付预算绩效目标表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完成一事一议项目资料整理归档</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完成一事一议项目验收工作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项目整改合格率达到</w:t>
            </w:r>
            <w:r>
              <w:rPr>
                <w:rFonts w:ascii="方正书宋_GBK" w:eastAsia="方正书宋_GBK"/>
              </w:rPr>
              <w:t>100%</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整理档案数量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整理档案数量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盒</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项目整改合格率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项目整改合格率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对象反馈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绩效预算管理绩效目标表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确保预算工作正常开展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控制三公经费，厉行节约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确保全县基本财力保障</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开展绩效评价项目数量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开展绩效评价项目数量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绩效评价报告合格率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绩效评价报告合格率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预算资金拨付率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预算资金拨付率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三公经费压减率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三公经费压减率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对象反馈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行政事业单位财会人员培训费绩效目标表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全年参训人次达到</w:t>
            </w:r>
            <w:r>
              <w:rPr>
                <w:rFonts w:ascii="方正书宋_GBK" w:eastAsia="方正书宋_GBK"/>
              </w:rPr>
              <w:t>600</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培训合格率达到</w:t>
            </w:r>
            <w:r>
              <w:rPr>
                <w:rFonts w:ascii="方正书宋_GBK" w:eastAsia="方正书宋_GBK"/>
              </w:rPr>
              <w:t>80%</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提升财会人员业务水平，提高财政工作效率</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培训人员人次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参加培训人次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培训合格学员占参训学员比例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培训结果测试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往年培训情况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对财政工作的正面影响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对财政工作的正面影响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提升财政工作效率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培训结果测试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参训人员满意度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参训人员满意度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冀财农[2020]163号/省级/2021年农村财会人员培训资金绩效目标表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参训人员达到</w:t>
            </w:r>
            <w:r>
              <w:rPr>
                <w:rFonts w:ascii="方正书宋_GBK" w:eastAsia="方正书宋_GBK"/>
              </w:rPr>
              <w:t>1000</w:t>
            </w:r>
            <w:r>
              <w:rPr>
                <w:rFonts w:hint="eastAsia" w:ascii="方正书宋_GBK" w:eastAsia="方正书宋_GBK"/>
              </w:rPr>
              <w:t>人次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提高农村财会人员业务水平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提高基层财务管理水平</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参训人次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参训人次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培训出勤率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培训出勤率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培训完成时间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年底</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培训费用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培训费用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学员满意度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学员满意度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一事一议工作经费绩效目标表</w:t>
      </w: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完成一事一议项目验收任务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验收合格率达到</w:t>
            </w:r>
            <w:r>
              <w:rPr>
                <w:rFonts w:ascii="方正书宋_GBK" w:eastAsia="方正书宋_GBK"/>
              </w:rPr>
              <w:t>90%</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项目整改合格率达到</w:t>
            </w:r>
            <w:r>
              <w:rPr>
                <w:rFonts w:ascii="方正书宋_GBK" w:eastAsia="方正书宋_GBK"/>
              </w:rPr>
              <w:t>100%</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left"/>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left"/>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验收项目数量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验收项目数量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验收项目合格率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验收项目合格率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当年项目验收任务完成情况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项目整改合格率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项目整改合格率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对象反馈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财政国库业务绩效目标表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规范县级账户管理与资金核算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保证国库业务正常有序开展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全年预算支出达到序时进度</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left"/>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left"/>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实施电子差旅费单位数量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实施电子差旅费单位数量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资金管理合规率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反映资金账户和专户资金管理情况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资金管理情况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支出序时进度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预算支出按季达到序时进度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暂存款压减率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暂存款压减率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暂存款压减情况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面貌提升绩效目标表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提升办公楼面貌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提升楼前广场面貌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提升分包小区面貌</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left"/>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left"/>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办公楼和广场维修面积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维修合格程度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维修完工程度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可持续使用年限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工程使用年限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&gt;5</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党建培训费绩效目标表</w:t>
      </w: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参加培训人次达到</w:t>
            </w:r>
            <w:r>
              <w:rPr>
                <w:rFonts w:ascii="方正书宋_GBK" w:eastAsia="方正书宋_GBK"/>
              </w:rPr>
              <w:t>50</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培训合格率达到</w:t>
            </w:r>
            <w:r>
              <w:rPr>
                <w:rFonts w:ascii="方正书宋_GBK" w:eastAsia="方正书宋_GBK"/>
              </w:rPr>
              <w:t>80%</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提高党员党性修养，年内无违反党纪问题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left"/>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left"/>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参训人次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参训党员人次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提高党员党性修养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提高党员党性修养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当年无违反党纪问题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参训人员满意度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参训人员满意度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会计监督评价等委托业务费绩效目标表</w:t>
      </w: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年内开展专项检查</w:t>
            </w:r>
            <w:r>
              <w:rPr>
                <w:rFonts w:ascii="方正书宋_GBK" w:eastAsia="方正书宋_GBK"/>
              </w:rPr>
              <w:t>2</w:t>
            </w:r>
            <w:r>
              <w:rPr>
                <w:rFonts w:hint="eastAsia" w:ascii="方正书宋_GBK" w:eastAsia="方正书宋_GBK"/>
              </w:rPr>
              <w:t>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提高检查结果完整程度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降低违规率</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开展财政专项检查次数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开展财政专项检查次数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检查完成度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检查结果完整程度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w:t>
            </w:r>
            <w:r>
              <w:rPr>
                <w:rFonts w:ascii="方正书宋_GBK" w:eastAsia="方正书宋_GBK"/>
              </w:rPr>
              <w:t>/</w:t>
            </w:r>
            <w:r>
              <w:rPr>
                <w:rFonts w:hint="eastAsia" w:ascii="方正书宋_GBK" w:eastAsia="方正书宋_GBK"/>
              </w:rPr>
              <w:t>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降低违规率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降低违规率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对象反馈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国有企业改制领导小组专项经费绩效目标表</w:t>
      </w: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宋体" w:hAnsi="宋体" w:cs="宋体"/>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顺利完成国有企业改制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平稳完成国有企业改制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提高国有企业经济效益</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完成国企改制数量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完成国企改制数量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完成改制程度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完成改制程度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完成改制进度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完成改制进度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提高国企经济效益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提高国企经济效益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预算项目绩效评价绩效目标表</w:t>
      </w: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宋体" w:hAnsi="宋体" w:cs="宋体"/>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革命老区项目申报资金较</w:t>
            </w:r>
            <w:r>
              <w:rPr>
                <w:rFonts w:ascii="方正书宋_GBK" w:eastAsia="方正书宋_GBK"/>
              </w:rPr>
              <w:t>2020</w:t>
            </w:r>
            <w:r>
              <w:rPr>
                <w:rFonts w:hint="eastAsia" w:ascii="方正书宋_GBK" w:eastAsia="方正书宋_GBK"/>
              </w:rPr>
              <w:t>年增长</w:t>
            </w:r>
            <w:r>
              <w:rPr>
                <w:rFonts w:ascii="方正书宋_GBK" w:eastAsia="方正书宋_GBK"/>
              </w:rPr>
              <w:t>50%</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重点绩效评价项目总规模达到</w:t>
            </w:r>
            <w:r>
              <w:rPr>
                <w:rFonts w:ascii="方正书宋_GBK" w:eastAsia="方正书宋_GBK"/>
              </w:rPr>
              <w:t>5000</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债券规模增长</w:t>
            </w:r>
            <w:r>
              <w:rPr>
                <w:rFonts w:ascii="方正书宋_GBK" w:eastAsia="方正书宋_GBK"/>
              </w:rPr>
              <w:t>50%</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重点项目绩效评价规模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重点项目绩效评价规模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债务管理水平位次提升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债务管理水平位次提升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位次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资金拨付到位率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债券规模增长</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债券规模增长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对象反馈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金财工程建设绩效目标表</w:t>
      </w: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确保各财政网络正常运行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确保各财政软件系统正常运行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提高信息化覆盖率</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财政专网覆盖面增加</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财政专网覆盖面增加</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系统正常运转率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系统正常运转率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故障处理及时率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故障处理及时率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37</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信息化覆盖率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信息化覆盖率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用户反馈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面貌提升绩效目标表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对楼前广场进行维护，保障单位正常办公。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对分包小区面貌提升。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保持分包小区整洁</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left"/>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left"/>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楼前广场维修面积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维修合格程度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维修完工程度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工程使用年限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工程使用年限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&gt;5</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信息一体化建设绩效目标表</w:t>
      </w:r>
    </w:p>
    <w:p>
      <w:pPr>
        <w:spacing w:line="300" w:lineRule="exact"/>
        <w:jc w:val="left"/>
        <w:rPr>
          <w:rFonts w:ascii="宋体" w:hAnsi="宋体" w:cs="宋体"/>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宋体" w:hAnsi="宋体" w:cs="宋体"/>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宋体" w:hAnsi="宋体" w:cs="宋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推进信息化基础建设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保障信息化系统高效稳定运行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正常运转率大于</w:t>
            </w:r>
            <w:r>
              <w:rPr>
                <w:rFonts w:ascii="方正书宋_GBK" w:eastAsia="方正书宋_GBK"/>
              </w:rPr>
              <w:t>90%</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机房故障次数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机房故障次数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正常运转率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正常运转率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故障处理及时性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故障处理及时性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信息化覆盖率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信息化覆盖率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对象反馈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资产评估费绩效目标表</w:t>
      </w: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做好国有资产评估工作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增强国有资产管理</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降低国有资产流失风险</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left"/>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left"/>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评估项目数量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评估项目数量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费用支付率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费用支付率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降低国有资产流失风险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降低国有资产流失风险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降低国有资产流失风险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对象反馈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sectPr>
          <w:pgSz w:w="16839" w:h="11907" w:orient="landscape"/>
          <w:pgMar w:top="1304" w:right="1985" w:bottom="1304" w:left="1134" w:header="851" w:footer="992" w:gutter="0"/>
          <w:cols w:space="720" w:num="1"/>
          <w:docGrid w:type="linesAndChars" w:linePitch="312" w:charSpace="0"/>
        </w:sectPr>
      </w:pPr>
    </w:p>
    <w:p>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pPr>
        <w:ind w:firstLine="640" w:firstLineChars="200"/>
        <w:outlineLvl w:val="1"/>
        <w:rPr>
          <w:rFonts w:ascii="Times New Roman" w:hAnsi="Times New Roman" w:eastAsia="方正仿宋_GBK"/>
          <w:sz w:val="32"/>
          <w:szCs w:val="24"/>
        </w:rPr>
      </w:pPr>
      <w:bookmarkStart w:id="7" w:name="_Toc471398468"/>
      <w:r>
        <w:rPr>
          <w:rFonts w:ascii="Times New Roman" w:hAnsi="Times New Roman" w:eastAsia="方正仿宋_GBK"/>
          <w:sz w:val="32"/>
          <w:szCs w:val="24"/>
        </w:rPr>
        <w:t>2021</w:t>
      </w:r>
      <w:r>
        <w:rPr>
          <w:rFonts w:hint="eastAsia" w:ascii="Times New Roman" w:hAnsi="Times New Roman" w:eastAsia="方正仿宋_GBK"/>
          <w:sz w:val="32"/>
          <w:szCs w:val="24"/>
        </w:rPr>
        <w:t>年，我部门安排政府采购预算22.72万元。具体内容见下表。</w:t>
      </w:r>
      <w:bookmarkStart w:id="8" w:name="_Toc64379203"/>
    </w:p>
    <w:p>
      <w:pPr>
        <w:widowControl/>
        <w:jc w:val="center"/>
        <w:rPr>
          <w:rFonts w:ascii="宋体" w:hAnsi="宋体" w:cs="宋体"/>
          <w:b/>
          <w:bCs/>
          <w:kern w:val="0"/>
          <w:sz w:val="32"/>
          <w:szCs w:val="32"/>
        </w:rPr>
      </w:pPr>
      <w:bookmarkStart w:id="9" w:name="_Toc66013874"/>
      <w:r>
        <w:rPr>
          <w:rFonts w:hint="eastAsia" w:ascii="宋体" w:hAnsi="宋体" w:cs="宋体"/>
          <w:b/>
          <w:bCs/>
          <w:kern w:val="0"/>
          <w:sz w:val="32"/>
          <w:szCs w:val="32"/>
        </w:rPr>
        <w:t>部门政府采购预算</w:t>
      </w:r>
      <w:bookmarkEnd w:id="9"/>
    </w:p>
    <w:tbl>
      <w:tblPr>
        <w:tblStyle w:val="10"/>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318</w:t>
            </w:r>
            <w:r>
              <w:rPr>
                <w:rFonts w:hint="eastAsia" w:ascii="方正小标宋_GBK" w:eastAsia="方正小标宋_GBK"/>
                <w:sz w:val="24"/>
              </w:rPr>
              <w:t>隆尧县财政局</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22.72</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22.72</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隆尧县财政局本级小计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22.72</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22.72</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财政国库业务经费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16.00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6</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财政国库业务经费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16.00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便携式计算机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财政国库业务经费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16.00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多功能一体机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财政国库业务经费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16.00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碎纸机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A02021101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0.10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绩效预算管理</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2.50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绩效预算管理</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便携式计算机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绩效预算管理</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多功能一体机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绩效预算管理</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碎纸机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A02021101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0.10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金财工程建设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37.00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软件运维服务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C020603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年</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7.12</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7.12</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7.12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设备购置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设备购置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多功能一体机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0.40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0.40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设备购置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碎纸机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A02021101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0.10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0.10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0.10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设备购置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空调机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0.30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设备购置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木制台、桌类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A060205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0.25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2.50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信息一体化建设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16.00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服务器</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ind w:firstLine="640" w:firstLineChars="200"/>
        <w:outlineLvl w:val="1"/>
        <w:rPr>
          <w:rFonts w:ascii="Times New Roman" w:hAnsi="Times New Roman" w:eastAsia="方正仿宋_GBK"/>
          <w:sz w:val="32"/>
          <w:szCs w:val="24"/>
        </w:rPr>
      </w:pPr>
    </w:p>
    <w:bookmarkEnd w:id="7"/>
    <w:bookmarkEnd w:id="8"/>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pPr>
        <w:ind w:firstLine="640" w:firstLineChars="200"/>
        <w:rPr>
          <w:rFonts w:ascii="仿宋_GB2312" w:hAnsi="黑体" w:eastAsia="仿宋_GB2312"/>
          <w:sz w:val="32"/>
          <w:szCs w:val="32"/>
        </w:rPr>
      </w:pPr>
      <w:r>
        <w:rPr>
          <w:rFonts w:hint="eastAsia" w:ascii="仿宋_GB2312" w:hAnsi="黑体" w:eastAsia="仿宋_GB2312"/>
          <w:sz w:val="32"/>
          <w:szCs w:val="32"/>
        </w:rPr>
        <w:t>隆尧县财政局上年末固定资产金额为</w:t>
      </w:r>
      <w:r>
        <w:rPr>
          <w:rFonts w:ascii="仿宋_GB2312" w:hAnsi="黑体" w:eastAsia="仿宋_GB2312"/>
          <w:sz w:val="32"/>
          <w:szCs w:val="32"/>
        </w:rPr>
        <w:t>1459.07</w:t>
      </w:r>
      <w:r>
        <w:rPr>
          <w:rFonts w:hint="eastAsia" w:ascii="仿宋_GB2312" w:hAnsi="黑体" w:eastAsia="仿宋_GB2312"/>
          <w:sz w:val="32"/>
          <w:szCs w:val="32"/>
        </w:rPr>
        <w:t>万元（</w:t>
      </w:r>
      <w:r>
        <w:rPr>
          <w:rFonts w:hint="eastAsia" w:ascii="Times New Roman" w:hAnsi="Times New Roman" w:eastAsia="方正仿宋_GBK"/>
          <w:sz w:val="32"/>
          <w:szCs w:val="32"/>
        </w:rPr>
        <w:t>详见下表），</w:t>
      </w:r>
      <w:r>
        <w:rPr>
          <w:rFonts w:hint="eastAsia" w:ascii="仿宋_GB2312" w:hAnsi="黑体" w:eastAsia="仿宋_GB2312"/>
          <w:sz w:val="32"/>
          <w:szCs w:val="32"/>
        </w:rPr>
        <w:t>本年度各单位（处室）拟购置固定资产总额为22.72万元，主要为计算机设备、打印设备、空调、办公家具等，已列入政府采购预算，详见政府采购预算表。</w:t>
      </w:r>
    </w:p>
    <w:tbl>
      <w:tblPr>
        <w:tblStyle w:val="10"/>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ign w:val="center"/>
          </w:tcPr>
          <w:p>
            <w:pPr>
              <w:widowControl/>
              <w:jc w:val="center"/>
              <w:rPr>
                <w:rFonts w:ascii="宋体" w:cs="宋体"/>
                <w:b/>
                <w:bCs/>
                <w:kern w:val="0"/>
                <w:sz w:val="32"/>
                <w:szCs w:val="32"/>
              </w:rPr>
            </w:pPr>
            <w:r>
              <w:rPr>
                <w:rFonts w:hint="eastAsia" w:ascii="宋体" w:hAnsi="宋体" w:cs="宋体"/>
                <w:b/>
                <w:bCs/>
                <w:kern w:val="0"/>
                <w:sz w:val="32"/>
                <w:szCs w:val="32"/>
              </w:rPr>
              <w:t>隆尧县县直部门固定资产占用情况表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ign w:val="center"/>
          </w:tcPr>
          <w:p>
            <w:pPr>
              <w:widowControl/>
              <w:jc w:val="left"/>
              <w:rPr>
                <w:rFonts w:ascii="宋体" w:cs="宋体"/>
                <w:kern w:val="0"/>
                <w:sz w:val="22"/>
              </w:rPr>
            </w:pPr>
            <w:r>
              <w:rPr>
                <w:rFonts w:hint="eastAsia" w:ascii="宋体" w:hAnsi="宋体" w:cs="宋体"/>
                <w:kern w:val="0"/>
                <w:sz w:val="22"/>
              </w:rPr>
              <w:t>编制部门：隆尧县财政局</w:t>
            </w:r>
          </w:p>
        </w:tc>
        <w:tc>
          <w:tcPr>
            <w:tcW w:w="5103" w:type="dxa"/>
            <w:tcBorders>
              <w:top w:val="nil"/>
              <w:left w:val="nil"/>
              <w:bottom w:val="nil"/>
              <w:right w:val="nil"/>
            </w:tcBorders>
            <w:noWrap/>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2020</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center"/>
              <w:rPr>
                <w:rFonts w:asci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noWrap/>
            <w:vAlign w:val="center"/>
          </w:tcPr>
          <w:p>
            <w:pPr>
              <w:widowControl/>
              <w:jc w:val="center"/>
              <w:rPr>
                <w:rFonts w:ascii="Times New Roman" w:hAnsi="Times New Roman"/>
                <w:kern w:val="0"/>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noWrap/>
            <w:vAlign w:val="center"/>
          </w:tcPr>
          <w:p>
            <w:pPr>
              <w:widowControl/>
              <w:jc w:val="center"/>
              <w:rPr>
                <w:rFonts w:ascii="Times New Roman" w:hAnsi="Times New Roman"/>
                <w:kern w:val="0"/>
                <w:sz w:val="22"/>
              </w:rPr>
            </w:pPr>
            <w:r>
              <w:rPr>
                <w:rFonts w:hint="eastAsia" w:ascii="Times New Roman" w:hAnsi="Times New Roman"/>
                <w:kern w:val="0"/>
                <w:sz w:val="22"/>
              </w:rPr>
              <w:t>1459.07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6099.9</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1348.71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hint="eastAsia" w:ascii="宋体" w:hAnsi="宋体" w:cs="宋体"/>
                <w:kern w:val="0"/>
                <w:sz w:val="22"/>
              </w:rPr>
              <w:t>其中：办公用房（平方米）</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3885.23</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859.04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0</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万元以上的设备</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0</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110.36</w:t>
            </w:r>
          </w:p>
        </w:tc>
      </w:tr>
    </w:tbl>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1</w:t>
      </w:r>
      <w:r>
        <w:rPr>
          <w:rFonts w:hint="eastAsia" w:ascii="Times New Roman" w:hAnsi="Times New Roman" w:eastAsia="方正仿宋_GBK"/>
          <w:b/>
          <w:sz w:val="32"/>
          <w:szCs w:val="32"/>
        </w:rPr>
        <w:t>、一般公共预算拨款收入：</w:t>
      </w:r>
      <w:r>
        <w:rPr>
          <w:rFonts w:hint="eastAsia" w:ascii="Times New Roman" w:hAnsi="Times New Roman" w:eastAsia="方正仿宋_GBK"/>
          <w:sz w:val="32"/>
          <w:szCs w:val="32"/>
        </w:rPr>
        <w:t>指县级财政当年拨付的资金。</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2</w:t>
      </w:r>
      <w:r>
        <w:rPr>
          <w:rFonts w:hint="eastAsia" w:ascii="Times New Roman" w:hAnsi="Times New Roman" w:eastAsia="方正仿宋_GBK"/>
          <w:b/>
          <w:sz w:val="32"/>
          <w:szCs w:val="32"/>
        </w:rPr>
        <w:t>、事业收入：</w:t>
      </w:r>
      <w:r>
        <w:rPr>
          <w:rFonts w:hint="eastAsia" w:ascii="Times New Roman" w:hAnsi="Times New Roman" w:eastAsia="方正仿宋_GBK"/>
          <w:sz w:val="32"/>
          <w:szCs w:val="32"/>
        </w:rPr>
        <w:t>指事业单位开展专业业务活动及辅助活动所取得的收入。</w:t>
      </w:r>
    </w:p>
    <w:p>
      <w:pPr>
        <w:tabs>
          <w:tab w:val="left" w:pos="11490"/>
        </w:tabs>
        <w:ind w:firstLine="640" w:firstLineChars="200"/>
        <w:rPr>
          <w:rFonts w:ascii="Times New Roman" w:hAnsi="Times New Roman" w:eastAsia="方正仿宋_GBK"/>
          <w:b/>
          <w:sz w:val="32"/>
          <w:szCs w:val="32"/>
        </w:rPr>
      </w:pPr>
      <w:r>
        <w:rPr>
          <w:rFonts w:ascii="Times New Roman" w:hAnsi="Times New Roman" w:eastAsia="方正仿宋_GBK"/>
          <w:b/>
          <w:sz w:val="32"/>
          <w:szCs w:val="32"/>
        </w:rPr>
        <w:t>3</w:t>
      </w:r>
      <w:r>
        <w:rPr>
          <w:rFonts w:hint="eastAsia" w:ascii="Times New Roman" w:hAnsi="Times New Roman" w:eastAsia="方正仿宋_GBK"/>
          <w:b/>
          <w:sz w:val="32"/>
          <w:szCs w:val="32"/>
        </w:rPr>
        <w:t>、其他收入：</w:t>
      </w:r>
      <w:r>
        <w:rPr>
          <w:rFonts w:hint="eastAsia" w:ascii="Times New Roman" w:hAnsi="Times New Roman" w:eastAsia="方正仿宋_GBK"/>
          <w:sz w:val="32"/>
          <w:szCs w:val="32"/>
        </w:rPr>
        <w:t>指除</w:t>
      </w:r>
      <w:r>
        <w:rPr>
          <w:rFonts w:ascii="Times New Roman" w:hAnsi="Times New Roman" w:eastAsia="方正仿宋_GBK"/>
          <w:sz w:val="32"/>
          <w:szCs w:val="32"/>
        </w:rPr>
        <w:t>“</w:t>
      </w:r>
      <w:r>
        <w:rPr>
          <w:rFonts w:hint="eastAsia" w:ascii="Times New Roman" w:hAnsi="Times New Roman" w:eastAsia="方正仿宋_GBK"/>
          <w:sz w:val="32"/>
          <w:szCs w:val="32"/>
        </w:rPr>
        <w:t>一般公共预算拨款收入</w:t>
      </w:r>
      <w:r>
        <w:rPr>
          <w:rFonts w:ascii="Times New Roman" w:hAnsi="Times New Roman" w:eastAsia="方正仿宋_GBK"/>
          <w:sz w:val="32"/>
          <w:szCs w:val="32"/>
        </w:rPr>
        <w:t>”</w:t>
      </w:r>
      <w:r>
        <w:rPr>
          <w:rFonts w:hint="eastAsia" w:ascii="Times New Roman" w:hAnsi="Times New Roman" w:eastAsia="方正仿宋_GBK"/>
          <w:sz w:val="32"/>
          <w:szCs w:val="32"/>
        </w:rPr>
        <w:t>、</w:t>
      </w:r>
      <w:r>
        <w:rPr>
          <w:rFonts w:ascii="Times New Roman" w:hAnsi="Times New Roman" w:eastAsia="方正仿宋_GBK"/>
          <w:sz w:val="32"/>
          <w:szCs w:val="32"/>
        </w:rPr>
        <w:t>“</w:t>
      </w:r>
      <w:r>
        <w:rPr>
          <w:rFonts w:hint="eastAsia" w:ascii="Times New Roman" w:hAnsi="Times New Roman" w:eastAsia="方正仿宋_GBK"/>
          <w:sz w:val="32"/>
          <w:szCs w:val="32"/>
        </w:rPr>
        <w:t>事业收入</w:t>
      </w:r>
      <w:r>
        <w:rPr>
          <w:rFonts w:ascii="Times New Roman" w:hAnsi="Times New Roman" w:eastAsia="方正仿宋_GBK"/>
          <w:sz w:val="32"/>
          <w:szCs w:val="32"/>
        </w:rPr>
        <w:t>”</w:t>
      </w:r>
      <w:r>
        <w:rPr>
          <w:rFonts w:hint="eastAsia" w:ascii="Times New Roman" w:hAnsi="Times New Roman" w:eastAsia="方正仿宋_GBK"/>
          <w:sz w:val="32"/>
          <w:szCs w:val="32"/>
        </w:rPr>
        <w:t>等以外的收入。主要是按规定动用的租房收入、存款利息收入等。</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4</w:t>
      </w:r>
      <w:r>
        <w:rPr>
          <w:rFonts w:hint="eastAsia" w:ascii="Times New Roman" w:hAnsi="Times New Roman" w:eastAsia="方正仿宋_GBK"/>
          <w:b/>
          <w:sz w:val="32"/>
          <w:szCs w:val="32"/>
        </w:rPr>
        <w:t>、基本支出：</w:t>
      </w:r>
      <w:r>
        <w:rPr>
          <w:rFonts w:hint="eastAsia" w:ascii="Times New Roman" w:hAnsi="Times New Roman" w:eastAsia="方正仿宋_GBK"/>
          <w:sz w:val="32"/>
          <w:szCs w:val="32"/>
        </w:rPr>
        <w:t>指为保障机构正常运转、完成日常工作任务而发生的人员支出和公用支出。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5</w:t>
      </w:r>
      <w:r>
        <w:rPr>
          <w:rFonts w:hint="eastAsia" w:ascii="Times New Roman" w:hAnsi="Times New Roman" w:eastAsia="方正仿宋_GBK"/>
          <w:b/>
          <w:sz w:val="32"/>
          <w:szCs w:val="32"/>
        </w:rPr>
        <w:t>、项目支出：</w:t>
      </w:r>
      <w:r>
        <w:rPr>
          <w:rFonts w:hint="eastAsia" w:ascii="Times New Roman" w:hAnsi="Times New Roman" w:eastAsia="方正仿宋_GBK"/>
          <w:sz w:val="32"/>
          <w:szCs w:val="32"/>
        </w:rPr>
        <w:t>指在基本支出之外为完成特定行政任务和事业发展目标所发生的支出。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6</w:t>
      </w:r>
      <w:r>
        <w:rPr>
          <w:rFonts w:hint="eastAsia" w:ascii="Times New Roman" w:hAnsi="Times New Roman" w:eastAsia="方正仿宋_GBK"/>
          <w:b/>
          <w:sz w:val="32"/>
          <w:szCs w:val="32"/>
        </w:rPr>
        <w:t>、上缴上级支出：</w:t>
      </w:r>
      <w:r>
        <w:rPr>
          <w:rFonts w:hint="eastAsia" w:ascii="Times New Roman" w:hAnsi="Times New Roman" w:eastAsia="方正仿宋_GBK"/>
          <w:sz w:val="32"/>
          <w:szCs w:val="32"/>
        </w:rPr>
        <w:t>指下级单位上缴上级的支出。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7</w:t>
      </w:r>
      <w:r>
        <w:rPr>
          <w:rFonts w:hint="eastAsia" w:ascii="Times New Roman" w:hAnsi="Times New Roman" w:eastAsia="方正仿宋_GBK"/>
          <w:b/>
          <w:sz w:val="32"/>
          <w:szCs w:val="32"/>
        </w:rPr>
        <w:t>、</w:t>
      </w:r>
      <w:r>
        <w:rPr>
          <w:rFonts w:ascii="Times New Roman" w:hAnsi="Times New Roman" w:eastAsia="方正仿宋_GBK"/>
          <w:b/>
          <w:sz w:val="32"/>
          <w:szCs w:val="32"/>
        </w:rPr>
        <w:t>“</w:t>
      </w:r>
      <w:r>
        <w:rPr>
          <w:rFonts w:hint="eastAsia" w:ascii="Times New Roman" w:hAnsi="Times New Roman" w:eastAsia="方正仿宋_GBK"/>
          <w:b/>
          <w:sz w:val="32"/>
          <w:szCs w:val="32"/>
        </w:rPr>
        <w:t>三公</w:t>
      </w:r>
      <w:r>
        <w:rPr>
          <w:rFonts w:ascii="Times New Roman" w:hAnsi="Times New Roman" w:eastAsia="方正仿宋_GBK"/>
          <w:b/>
          <w:sz w:val="32"/>
          <w:szCs w:val="32"/>
        </w:rPr>
        <w:t>”</w:t>
      </w:r>
      <w:r>
        <w:rPr>
          <w:rFonts w:hint="eastAsia" w:ascii="Times New Roman" w:hAnsi="Times New Roman" w:eastAsia="方正仿宋_GBK"/>
          <w:b/>
          <w:sz w:val="32"/>
          <w:szCs w:val="32"/>
        </w:rPr>
        <w:t>经费：</w:t>
      </w:r>
      <w:r>
        <w:rPr>
          <w:rFonts w:hint="eastAsia" w:ascii="Times New Roman" w:hAnsi="Times New Roman" w:eastAsia="方正仿宋_GBK"/>
          <w:sz w:val="32"/>
          <w:szCs w:val="32"/>
        </w:rPr>
        <w:t>纳入县级财政预算管理的</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8</w:t>
      </w:r>
      <w:r>
        <w:rPr>
          <w:rFonts w:hint="eastAsia" w:ascii="Times New Roman" w:hAnsi="Times New Roman" w:eastAsia="方正仿宋_GBK"/>
          <w:b/>
          <w:sz w:val="32"/>
          <w:szCs w:val="32"/>
        </w:rPr>
        <w:t>、机关运行费：</w:t>
      </w:r>
      <w:r>
        <w:rPr>
          <w:rFonts w:hint="eastAsia" w:ascii="Times New Roman" w:hAnsi="Times New Roman" w:eastAsia="方正仿宋_GBK"/>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9</w:t>
      </w:r>
      <w:r>
        <w:rPr>
          <w:rFonts w:hint="eastAsia" w:ascii="Times New Roman" w:hAnsi="Times New Roman" w:eastAsia="方正仿宋_GBK"/>
          <w:b/>
          <w:sz w:val="32"/>
          <w:szCs w:val="32"/>
        </w:rPr>
        <w:t>、上年结转：</w:t>
      </w:r>
      <w:r>
        <w:rPr>
          <w:rFonts w:hint="eastAsia" w:ascii="Times New Roman" w:hAnsi="Times New Roman" w:eastAsia="方正仿宋_GBK"/>
          <w:sz w:val="32"/>
          <w:szCs w:val="32"/>
        </w:rPr>
        <w:t>指以前年度尚未完成、结转到本年仍按原规定用途继续使用的资金。</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pPr>
        <w:ind w:firstLine="640" w:firstLineChars="200"/>
        <w:rPr>
          <w:rFonts w:ascii="仿宋_GB2312" w:hAnsi="Times New Roman" w:eastAsia="仿宋_GB2312"/>
          <w:sz w:val="32"/>
          <w:szCs w:val="32"/>
        </w:rPr>
      </w:pPr>
      <w:r>
        <w:rPr>
          <w:rFonts w:hint="eastAsia" w:ascii="仿宋_GB2312" w:hAnsi="Times New Roman" w:eastAsia="仿宋_GB2312"/>
          <w:sz w:val="32"/>
          <w:szCs w:val="32"/>
        </w:rPr>
        <w:t>我部门无其他需要说明的事项。</w:t>
      </w:r>
      <w:bookmarkEnd w:id="0"/>
    </w:p>
    <w:sectPr>
      <w:headerReference r:id="rId11" w:type="first"/>
      <w:footerReference r:id="rId14" w:type="first"/>
      <w:headerReference r:id="rId9" w:type="default"/>
      <w:footerReference r:id="rId12" w:type="default"/>
      <w:headerReference r:id="rId10" w:type="even"/>
      <w:footerReference r:id="rId13"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_GBK">
    <w:altName w:val="宋体"/>
    <w:panose1 w:val="00000000000000000000"/>
    <w:charset w:val="86"/>
    <w:family w:val="script"/>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altName w:val="微软雅黑"/>
    <w:panose1 w:val="00000000000000000000"/>
    <w:charset w:val="86"/>
    <w:family w:val="script"/>
    <w:pitch w:val="default"/>
    <w:sig w:usb0="00000000" w:usb1="00000000" w:usb2="00000010" w:usb3="00000000" w:csb0="00040000" w:csb1="00000000"/>
  </w:font>
  <w:font w:name="方正楷体_GBK">
    <w:altName w:val="宋体"/>
    <w:panose1 w:val="00000000000000000000"/>
    <w:charset w:val="86"/>
    <w:family w:val="script"/>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w:pict>
        <v:shape id="文本框 7" o:spid="_x0000_s3073" o:spt="202" type="#_x0000_t202" style="position:absolute;left:0pt;margin-top:0pt;height:21.95pt;width:4.6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5"/>
                  <w:rPr>
                    <w:rStyle w:val="12"/>
                  </w:rPr>
                </w:pPr>
                <w:r>
                  <w:rPr>
                    <w:rStyle w:val="12"/>
                  </w:rPr>
                  <w:fldChar w:fldCharType="begin"/>
                </w:r>
                <w:r>
                  <w:rPr>
                    <w:rStyle w:val="12"/>
                  </w:rPr>
                  <w:instrText xml:space="preserve">PAGE  </w:instrText>
                </w:r>
                <w:r>
                  <w:rPr>
                    <w:rStyle w:val="12"/>
                  </w:rPr>
                  <w:fldChar w:fldCharType="separate"/>
                </w:r>
                <w:r>
                  <w:rPr>
                    <w:rStyle w:val="12"/>
                  </w:rPr>
                  <w:t>18</w:t>
                </w:r>
                <w:r>
                  <w:rPr>
                    <w:rStyle w:val="12"/>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5F0962"/>
    <w:multiLevelType w:val="singleLevel"/>
    <w:tmpl w:val="B75F0962"/>
    <w:lvl w:ilvl="0" w:tentative="0">
      <w:start w:val="3"/>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zVjZjRjNmMxMjE1MDg4OTJhZmE0OTM3NDdkNjVhODE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D52E9"/>
    <w:rsid w:val="000E1F02"/>
    <w:rsid w:val="000E617A"/>
    <w:rsid w:val="000E7D3F"/>
    <w:rsid w:val="00104D5C"/>
    <w:rsid w:val="001245BB"/>
    <w:rsid w:val="001251A3"/>
    <w:rsid w:val="00133E19"/>
    <w:rsid w:val="001364F4"/>
    <w:rsid w:val="00145C78"/>
    <w:rsid w:val="00146AA7"/>
    <w:rsid w:val="00160D6E"/>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6113"/>
    <w:rsid w:val="002A673A"/>
    <w:rsid w:val="002B4DAA"/>
    <w:rsid w:val="002C07BE"/>
    <w:rsid w:val="002C5E13"/>
    <w:rsid w:val="002C62BC"/>
    <w:rsid w:val="002C7DF9"/>
    <w:rsid w:val="002D3AEA"/>
    <w:rsid w:val="002D7683"/>
    <w:rsid w:val="002E0EB8"/>
    <w:rsid w:val="002E65C2"/>
    <w:rsid w:val="002F126F"/>
    <w:rsid w:val="002F1536"/>
    <w:rsid w:val="002F3E58"/>
    <w:rsid w:val="0030542C"/>
    <w:rsid w:val="00311B7A"/>
    <w:rsid w:val="00322EC1"/>
    <w:rsid w:val="00343CD7"/>
    <w:rsid w:val="0035104D"/>
    <w:rsid w:val="00372FA3"/>
    <w:rsid w:val="00394A20"/>
    <w:rsid w:val="003A6A7D"/>
    <w:rsid w:val="003B2422"/>
    <w:rsid w:val="003C0EE0"/>
    <w:rsid w:val="003D24CB"/>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3AC8"/>
    <w:rsid w:val="004D5788"/>
    <w:rsid w:val="004E1BD7"/>
    <w:rsid w:val="004E3066"/>
    <w:rsid w:val="004E74CD"/>
    <w:rsid w:val="005024BE"/>
    <w:rsid w:val="005069C1"/>
    <w:rsid w:val="00516094"/>
    <w:rsid w:val="00516E04"/>
    <w:rsid w:val="00545D0E"/>
    <w:rsid w:val="00565588"/>
    <w:rsid w:val="00572067"/>
    <w:rsid w:val="00573562"/>
    <w:rsid w:val="005737E8"/>
    <w:rsid w:val="00590ECE"/>
    <w:rsid w:val="00591078"/>
    <w:rsid w:val="005911E4"/>
    <w:rsid w:val="005915C2"/>
    <w:rsid w:val="00592ADD"/>
    <w:rsid w:val="00594F52"/>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624B"/>
    <w:rsid w:val="006A0542"/>
    <w:rsid w:val="006A1B2A"/>
    <w:rsid w:val="006B1C4A"/>
    <w:rsid w:val="006B610D"/>
    <w:rsid w:val="006D2233"/>
    <w:rsid w:val="006E49F5"/>
    <w:rsid w:val="006E7E97"/>
    <w:rsid w:val="006F2193"/>
    <w:rsid w:val="007013C8"/>
    <w:rsid w:val="00704330"/>
    <w:rsid w:val="00717B1E"/>
    <w:rsid w:val="00746441"/>
    <w:rsid w:val="00753836"/>
    <w:rsid w:val="0075393C"/>
    <w:rsid w:val="00754592"/>
    <w:rsid w:val="00757DCE"/>
    <w:rsid w:val="0076307E"/>
    <w:rsid w:val="007701B8"/>
    <w:rsid w:val="0077207E"/>
    <w:rsid w:val="00776C08"/>
    <w:rsid w:val="00786726"/>
    <w:rsid w:val="00792F3A"/>
    <w:rsid w:val="007C180B"/>
    <w:rsid w:val="007C219A"/>
    <w:rsid w:val="007C4F9B"/>
    <w:rsid w:val="007D50B5"/>
    <w:rsid w:val="007E1DA8"/>
    <w:rsid w:val="007E4BA0"/>
    <w:rsid w:val="007E4D52"/>
    <w:rsid w:val="007F6C26"/>
    <w:rsid w:val="00813208"/>
    <w:rsid w:val="00822135"/>
    <w:rsid w:val="0083214F"/>
    <w:rsid w:val="008334AE"/>
    <w:rsid w:val="00836FED"/>
    <w:rsid w:val="0083724E"/>
    <w:rsid w:val="00845CD2"/>
    <w:rsid w:val="00852B0D"/>
    <w:rsid w:val="00863385"/>
    <w:rsid w:val="00881692"/>
    <w:rsid w:val="00883D1A"/>
    <w:rsid w:val="008934A3"/>
    <w:rsid w:val="008A25C2"/>
    <w:rsid w:val="008A6576"/>
    <w:rsid w:val="008B3CC5"/>
    <w:rsid w:val="008B52CD"/>
    <w:rsid w:val="008D42CC"/>
    <w:rsid w:val="008E4261"/>
    <w:rsid w:val="008F4662"/>
    <w:rsid w:val="00900BF9"/>
    <w:rsid w:val="00904CDD"/>
    <w:rsid w:val="00905D08"/>
    <w:rsid w:val="00925753"/>
    <w:rsid w:val="00931831"/>
    <w:rsid w:val="009425F4"/>
    <w:rsid w:val="009537C8"/>
    <w:rsid w:val="00965683"/>
    <w:rsid w:val="00966C5C"/>
    <w:rsid w:val="0097130F"/>
    <w:rsid w:val="00972D31"/>
    <w:rsid w:val="00973104"/>
    <w:rsid w:val="00987029"/>
    <w:rsid w:val="00987706"/>
    <w:rsid w:val="00995BF0"/>
    <w:rsid w:val="009A16D5"/>
    <w:rsid w:val="009A353D"/>
    <w:rsid w:val="009B0B77"/>
    <w:rsid w:val="009B511E"/>
    <w:rsid w:val="009D3DF1"/>
    <w:rsid w:val="009E0BB0"/>
    <w:rsid w:val="00A02FED"/>
    <w:rsid w:val="00A0345F"/>
    <w:rsid w:val="00A42BFB"/>
    <w:rsid w:val="00A44E3D"/>
    <w:rsid w:val="00A62942"/>
    <w:rsid w:val="00A72D2E"/>
    <w:rsid w:val="00A7347D"/>
    <w:rsid w:val="00A74447"/>
    <w:rsid w:val="00A74CE5"/>
    <w:rsid w:val="00A75DBE"/>
    <w:rsid w:val="00A910D2"/>
    <w:rsid w:val="00A911E7"/>
    <w:rsid w:val="00A939D9"/>
    <w:rsid w:val="00AC6958"/>
    <w:rsid w:val="00AD08A2"/>
    <w:rsid w:val="00AD32B2"/>
    <w:rsid w:val="00AF1C21"/>
    <w:rsid w:val="00AF4530"/>
    <w:rsid w:val="00B03617"/>
    <w:rsid w:val="00B07D9E"/>
    <w:rsid w:val="00B12122"/>
    <w:rsid w:val="00B20712"/>
    <w:rsid w:val="00B33B75"/>
    <w:rsid w:val="00B43238"/>
    <w:rsid w:val="00B45DD3"/>
    <w:rsid w:val="00B52632"/>
    <w:rsid w:val="00B727A9"/>
    <w:rsid w:val="00B75216"/>
    <w:rsid w:val="00B84D97"/>
    <w:rsid w:val="00B91D52"/>
    <w:rsid w:val="00B92986"/>
    <w:rsid w:val="00B9490F"/>
    <w:rsid w:val="00B97034"/>
    <w:rsid w:val="00BA1ACD"/>
    <w:rsid w:val="00BA4785"/>
    <w:rsid w:val="00BA534E"/>
    <w:rsid w:val="00BB1A2F"/>
    <w:rsid w:val="00BD09F8"/>
    <w:rsid w:val="00BD4B2D"/>
    <w:rsid w:val="00BE0E8E"/>
    <w:rsid w:val="00C0360F"/>
    <w:rsid w:val="00C06277"/>
    <w:rsid w:val="00C16800"/>
    <w:rsid w:val="00C35176"/>
    <w:rsid w:val="00C36B44"/>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06281"/>
    <w:rsid w:val="00D17ABB"/>
    <w:rsid w:val="00D27003"/>
    <w:rsid w:val="00D4166E"/>
    <w:rsid w:val="00D440D6"/>
    <w:rsid w:val="00D97D00"/>
    <w:rsid w:val="00DA7FF9"/>
    <w:rsid w:val="00DB4A9B"/>
    <w:rsid w:val="00DC6F06"/>
    <w:rsid w:val="00DD38EC"/>
    <w:rsid w:val="00DE0873"/>
    <w:rsid w:val="00DE666F"/>
    <w:rsid w:val="00E167C7"/>
    <w:rsid w:val="00E2482E"/>
    <w:rsid w:val="00E273A5"/>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10008"/>
    <w:rsid w:val="00F149E2"/>
    <w:rsid w:val="00F159B6"/>
    <w:rsid w:val="00F40CD8"/>
    <w:rsid w:val="00F449F1"/>
    <w:rsid w:val="00F66032"/>
    <w:rsid w:val="00F728BF"/>
    <w:rsid w:val="00F72D63"/>
    <w:rsid w:val="00F87A16"/>
    <w:rsid w:val="00F87C1E"/>
    <w:rsid w:val="00F93AD4"/>
    <w:rsid w:val="00F958C2"/>
    <w:rsid w:val="00F97C0C"/>
    <w:rsid w:val="00FA3D33"/>
    <w:rsid w:val="00FA66A5"/>
    <w:rsid w:val="00FB5FCB"/>
    <w:rsid w:val="00FC6F96"/>
    <w:rsid w:val="00FD351A"/>
    <w:rsid w:val="00FE75D7"/>
    <w:rsid w:val="00FF6131"/>
    <w:rsid w:val="060C5C75"/>
    <w:rsid w:val="1F986864"/>
    <w:rsid w:val="6BC86BF1"/>
    <w:rsid w:val="74BD763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7"/>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8"/>
    <w:qFormat/>
    <w:locked/>
    <w:uiPriority w:val="99"/>
    <w:pPr>
      <w:keepNext/>
      <w:keepLines/>
      <w:spacing w:before="260" w:after="260" w:line="416" w:lineRule="auto"/>
      <w:outlineLvl w:val="1"/>
    </w:pPr>
    <w:rPr>
      <w:rFonts w:ascii="Cambria" w:hAnsi="Cambria"/>
      <w:b/>
      <w:sz w:val="32"/>
      <w:szCs w:val="20"/>
    </w:rPr>
  </w:style>
  <w:style w:type="character" w:default="1" w:styleId="11">
    <w:name w:val="Default Paragraph Font"/>
    <w:semiHidden/>
    <w:unhideWhenUsed/>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4">
    <w:name w:val="Balloon Text"/>
    <w:basedOn w:val="1"/>
    <w:link w:val="21"/>
    <w:semiHidden/>
    <w:qFormat/>
    <w:uiPriority w:val="99"/>
    <w:rPr>
      <w:kern w:val="0"/>
      <w:sz w:val="18"/>
      <w:szCs w:val="20"/>
    </w:rPr>
  </w:style>
  <w:style w:type="paragraph" w:styleId="5">
    <w:name w:val="footer"/>
    <w:basedOn w:val="1"/>
    <w:link w:val="20"/>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19"/>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23"/>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character" w:styleId="12">
    <w:name w:val="page number"/>
    <w:semiHidden/>
    <w:qFormat/>
    <w:uiPriority w:val="99"/>
    <w:rPr>
      <w:rFonts w:cs="Times New Roman"/>
    </w:rPr>
  </w:style>
  <w:style w:type="character" w:styleId="13">
    <w:name w:val="Hyperlink"/>
    <w:qFormat/>
    <w:uiPriority w:val="99"/>
    <w:rPr>
      <w:rFonts w:cs="Times New Roman"/>
      <w:color w:val="0000FF"/>
      <w:u w:val="single"/>
    </w:rPr>
  </w:style>
  <w:style w:type="character" w:styleId="14">
    <w:name w:val="footnote reference"/>
    <w:semiHidden/>
    <w:qFormat/>
    <w:uiPriority w:val="99"/>
    <w:rPr>
      <w:rFonts w:cs="Times New Roman"/>
      <w:vertAlign w:val="superscript"/>
    </w:rPr>
  </w:style>
  <w:style w:type="character" w:customStyle="1" w:styleId="15">
    <w:name w:val="Heading 1 Char"/>
    <w:qFormat/>
    <w:locked/>
    <w:uiPriority w:val="99"/>
    <w:rPr>
      <w:rFonts w:cs="Times New Roman"/>
      <w:b/>
      <w:kern w:val="44"/>
      <w:sz w:val="44"/>
    </w:rPr>
  </w:style>
  <w:style w:type="character" w:customStyle="1" w:styleId="16">
    <w:name w:val="Heading 2 Char"/>
    <w:semiHidden/>
    <w:qFormat/>
    <w:locked/>
    <w:uiPriority w:val="99"/>
    <w:rPr>
      <w:rFonts w:ascii="Cambria" w:hAnsi="Cambria" w:eastAsia="宋体" w:cs="Times New Roman"/>
      <w:b/>
      <w:sz w:val="32"/>
    </w:rPr>
  </w:style>
  <w:style w:type="character" w:customStyle="1" w:styleId="17">
    <w:name w:val="标题 1 字符"/>
    <w:link w:val="2"/>
    <w:qFormat/>
    <w:locked/>
    <w:uiPriority w:val="99"/>
    <w:rPr>
      <w:rFonts w:ascii="Calibri" w:hAnsi="Calibri" w:eastAsia="宋体"/>
      <w:b/>
      <w:kern w:val="44"/>
      <w:sz w:val="44"/>
      <w:lang w:val="en-US" w:eastAsia="zh-CN"/>
    </w:rPr>
  </w:style>
  <w:style w:type="character" w:customStyle="1" w:styleId="18">
    <w:name w:val="标题 2 字符"/>
    <w:link w:val="3"/>
    <w:qFormat/>
    <w:locked/>
    <w:uiPriority w:val="99"/>
    <w:rPr>
      <w:rFonts w:ascii="Cambria" w:hAnsi="Cambria" w:eastAsia="宋体"/>
      <w:b/>
      <w:kern w:val="2"/>
      <w:sz w:val="32"/>
      <w:lang w:val="en-US" w:eastAsia="zh-CN"/>
    </w:rPr>
  </w:style>
  <w:style w:type="character" w:customStyle="1" w:styleId="19">
    <w:name w:val="页眉 字符"/>
    <w:link w:val="6"/>
    <w:qFormat/>
    <w:locked/>
    <w:uiPriority w:val="99"/>
    <w:rPr>
      <w:rFonts w:ascii="Times New Roman" w:hAnsi="Times New Roman" w:eastAsia="宋体" w:cs="Times New Roman"/>
      <w:sz w:val="18"/>
    </w:rPr>
  </w:style>
  <w:style w:type="character" w:customStyle="1" w:styleId="20">
    <w:name w:val="页脚 字符"/>
    <w:link w:val="5"/>
    <w:qFormat/>
    <w:locked/>
    <w:uiPriority w:val="99"/>
    <w:rPr>
      <w:rFonts w:ascii="Times New Roman" w:hAnsi="Times New Roman" w:eastAsia="宋体" w:cs="Times New Roman"/>
      <w:sz w:val="18"/>
    </w:rPr>
  </w:style>
  <w:style w:type="character" w:customStyle="1" w:styleId="21">
    <w:name w:val="批注框文本 字符"/>
    <w:link w:val="4"/>
    <w:semiHidden/>
    <w:qFormat/>
    <w:locked/>
    <w:uiPriority w:val="99"/>
    <w:rPr>
      <w:rFonts w:cs="Times New Roman"/>
      <w:sz w:val="18"/>
    </w:rPr>
  </w:style>
  <w:style w:type="paragraph" w:customStyle="1" w:styleId="22">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3">
    <w:name w:val="脚注文本 字符"/>
    <w:link w:val="8"/>
    <w:semiHidden/>
    <w:qFormat/>
    <w:locked/>
    <w:uiPriority w:val="99"/>
    <w:rPr>
      <w:rFonts w:ascii="Calibri" w:hAnsi="Calibri" w:eastAsia="宋体" w:cs="Times New Roman"/>
      <w:sz w:val="18"/>
    </w:rPr>
  </w:style>
  <w:style w:type="character" w:customStyle="1" w:styleId="24">
    <w:name w:val="Char Char1"/>
    <w:qFormat/>
    <w:uiPriority w:val="99"/>
    <w:rPr>
      <w:kern w:val="2"/>
      <w:sz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header5.xml" Type="http://schemas.openxmlformats.org/officeDocument/2006/relationships/header"/><Relationship Id="rId11" Target="header6.xml" Type="http://schemas.openxmlformats.org/officeDocument/2006/relationships/header"/><Relationship Id="rId12" Target="footer4.xml" Type="http://schemas.openxmlformats.org/officeDocument/2006/relationships/footer"/><Relationship Id="rId13" Target="footer5.xml" Type="http://schemas.openxmlformats.org/officeDocument/2006/relationships/footer"/><Relationship Id="rId14" Target="footer6.xml" Type="http://schemas.openxmlformats.org/officeDocument/2006/relationships/footer"/><Relationship Id="rId15" Target="theme/theme1.xml" Type="http://schemas.openxmlformats.org/officeDocument/2006/relationships/theme"/><Relationship Id="rId16" Target="../customXml/item1.xml" Type="http://schemas.openxmlformats.org/officeDocument/2006/relationships/customXml"/><Relationship Id="rId17" Target="numbering.xml" Type="http://schemas.openxmlformats.org/officeDocument/2006/relationships/numbering"/><Relationship Id="rId18"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header2.xml" Type="http://schemas.openxmlformats.org/officeDocument/2006/relationships/header"/><Relationship Id="rId5" Target="header3.xml" Type="http://schemas.openxmlformats.org/officeDocument/2006/relationships/header"/><Relationship Id="rId6" Target="footer1.xml" Type="http://schemas.openxmlformats.org/officeDocument/2006/relationships/footer"/><Relationship Id="rId7" Target="footer2.xml" Type="http://schemas.openxmlformats.org/officeDocument/2006/relationships/footer"/><Relationship Id="rId8" Target="footer3.xml" Type="http://schemas.openxmlformats.org/officeDocument/2006/relationships/footer"/><Relationship Id="rId9" Target="header4.xml" Type="http://schemas.openxmlformats.org/officeDocument/2006/relationships/head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35</Pages>
  <Words>11210</Words>
  <Characters>12089</Characters>
  <Lines>100</Lines>
  <Paragraphs>28</Paragraphs>
  <TotalTime>44</TotalTime>
  <ScaleCrop>false</ScaleCrop>
  <LinksUpToDate>false</LinksUpToDate>
  <CharactersWithSpaces>12115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2021-02-19T03:58:00Z</dcterms:created>
  <dc:creator>guest</dc:creator>
  <cp:lastModifiedBy>童话故事书</cp:lastModifiedBy>
  <cp:lastPrinted>2021-02-23T10:01:00Z</cp:lastPrinted>
  <dcterms:modified xsi:type="dcterms:W3CDTF">2024-07-08T01:24:14Z</dcterms:modified>
  <cp:revision>47</cp:revision>
  <dc:title>河北省委办公厅2021年部门预算信息公开情况说明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F0ED40EC81B147B18A924EEA3B4168F4_12</vt:lpwstr>
  </property>
</Properties>
</file>