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jc w:val="center"/>
        <w:rPr>
          <w:rFonts w:hint="eastAsia" w:ascii="黑体" w:hAnsi="黑体" w:eastAsia="黑体"/>
          <w:sz w:val="44"/>
          <w:szCs w:val="44"/>
          <w:lang w:val="en-US" w:eastAsia="zh-CN"/>
        </w:rPr>
      </w:pPr>
      <w:r>
        <w:rPr>
          <w:rFonts w:hint="eastAsia" w:ascii="黑体" w:hAnsi="黑体" w:eastAsia="黑体"/>
          <w:sz w:val="44"/>
          <w:szCs w:val="44"/>
          <w:lang w:val="en-US" w:eastAsia="zh-CN"/>
        </w:rPr>
        <w:t>隆尧县发展和改革局</w:t>
      </w:r>
    </w:p>
    <w:p>
      <w:pPr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  <w:lang w:val="en-US" w:eastAsia="zh-CN"/>
        </w:rPr>
        <w:t>2021年</w:t>
      </w:r>
      <w:r>
        <w:rPr>
          <w:rFonts w:hint="eastAsia" w:ascii="黑体" w:hAnsi="黑体" w:eastAsia="黑体"/>
          <w:sz w:val="44"/>
          <w:szCs w:val="44"/>
        </w:rPr>
        <w:t>隆尧县粮油质检站项目绩效</w:t>
      </w:r>
    </w:p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自评报告</w:t>
      </w:r>
    </w:p>
    <w:p>
      <w:pPr>
        <w:pStyle w:val="8"/>
        <w:numPr>
          <w:ilvl w:val="0"/>
          <w:numId w:val="1"/>
        </w:numPr>
        <w:ind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项目情况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为加强我县粮食质量安全检验监测体系建设，着力解决粮食质量安全检验监测能力不足、基层粮食质检机构严重缺失问题，进一步提升全县粮食质量安全监管水平，保障粮食质量安全，根据《国家粮食局 财政部关于印发“优质粮食工程”实施方案的通知》（国粮财〔2017〕180号）和《财政部 粮食和物资储备局关于报送“优质粮食工程”三年实施方案的通知》（财建〔2018〕410号）要求，统筹考虑辖区内人口、粮食产量、机构布局、自筹资金能力等情况，结合我县粮食流通产业发展实际，县政府很是重视，召开专门会议研究部署此项工作，确定新建一家县级粮油质检站。</w:t>
      </w:r>
    </w:p>
    <w:p>
      <w:pPr>
        <w:pStyle w:val="8"/>
        <w:numPr>
          <w:ilvl w:val="0"/>
          <w:numId w:val="1"/>
        </w:numPr>
        <w:ind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项目的资金使用及管理情况</w:t>
      </w:r>
    </w:p>
    <w:p>
      <w:pPr>
        <w:pStyle w:val="8"/>
        <w:numPr>
          <w:ilvl w:val="0"/>
          <w:numId w:val="2"/>
        </w:numPr>
        <w:ind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项目资金到位情况</w:t>
      </w:r>
    </w:p>
    <w:p>
      <w:pPr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项目总投资：375万元，其中中央财政补贴100万元，省财政补贴100万元，县财政补贴175万元。2020年中央和财政200万资金已全部到位，县财政资金已到位100万元。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2021年到位资金75万元。</w:t>
      </w:r>
    </w:p>
    <w:p>
      <w:pPr>
        <w:pStyle w:val="8"/>
        <w:numPr>
          <w:ilvl w:val="0"/>
          <w:numId w:val="2"/>
        </w:numPr>
        <w:ind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项目资金管理及使用情况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县级粮油质检站，是依托国有企业建设的质检机构，省级以上补助标准200万元；其中中央财政补助资金100万元和省级财政补助资金100万元，主要用于配置检验仪器设备、实验室配套基础设施建设、移动检验扦样及样品传递工具等；地方财政补助175万元，主要用于配套基础设施及实验室建设。</w:t>
      </w:r>
    </w:p>
    <w:p>
      <w:pPr>
        <w:pStyle w:val="8"/>
        <w:numPr>
          <w:ilvl w:val="0"/>
          <w:numId w:val="1"/>
        </w:numPr>
        <w:ind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项目组织实施情况</w:t>
      </w:r>
    </w:p>
    <w:p>
      <w:pPr>
        <w:ind w:firstLine="600" w:firstLineChars="200"/>
        <w:rPr>
          <w:rFonts w:ascii="仿宋" w:hAnsi="仿宋" w:eastAsia="仿宋" w:cs="仿宋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中央和省级财政补助资金下达后，县粮食部门向财政部门提出资金拨付申请，同时须提供县审计部门出具的竣工审计报告、市级粮食部门出具的项目验收报告，县财政将资金拨付县粮食部门，再由县粮食部门将资金拨付项目单位。</w:t>
      </w:r>
    </w:p>
    <w:p>
      <w:pPr>
        <w:pStyle w:val="8"/>
        <w:numPr>
          <w:ilvl w:val="0"/>
          <w:numId w:val="1"/>
        </w:numPr>
        <w:ind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项目绩效目标完成情况</w:t>
      </w:r>
    </w:p>
    <w:p>
      <w:pPr>
        <w:adjustRightInd w:val="0"/>
        <w:snapToGrid w:val="0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项目实施过程中，按照财政部 国家粮食和物资储备局《关于开展“优质粮食工程”实施情况绩效评价的通知》（财建〔2018〕196号）及省、市相关文件精神，开展绩效评价，避免工作环节出现缺项漏项，以有效措施推进建设项目按进度如期完成。评价采用百分制，根据评价总分，分四个等级：优（90-100分）、良（80-89分）、中（60-79分）、差（0-59分）。项目建设绩效评价分值如下：</w:t>
      </w:r>
    </w:p>
    <w:p>
      <w:pPr>
        <w:adjustRightInd w:val="0"/>
        <w:snapToGrid w:val="0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华康简标题宋"/>
          <w:bCs/>
          <w:sz w:val="30"/>
          <w:szCs w:val="30"/>
        </w:rPr>
        <w:t>项目建设绩效评价分值表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6"/>
        <w:gridCol w:w="825"/>
        <w:gridCol w:w="2250"/>
        <w:gridCol w:w="750"/>
        <w:gridCol w:w="34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206" w:type="dxa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一级指标</w:t>
            </w:r>
          </w:p>
        </w:tc>
        <w:tc>
          <w:tcPr>
            <w:tcW w:w="825" w:type="dxa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分值</w:t>
            </w: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二级指标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分值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见证材料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restart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项目决策</w:t>
            </w:r>
          </w:p>
        </w:tc>
        <w:tc>
          <w:tcPr>
            <w:tcW w:w="825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16</w:t>
            </w: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实施方案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4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制定年度实施方案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国家备案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2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备案文号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资金分配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资金批复文件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绩效评价体系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制定绩效评价方案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restart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项目管理</w:t>
            </w:r>
          </w:p>
        </w:tc>
        <w:tc>
          <w:tcPr>
            <w:tcW w:w="825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20</w:t>
            </w: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成立领导小组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成立文件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制定资金管理办法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制定办法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落实地方资金配套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10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按到位比例计算得分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restart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体系建设</w:t>
            </w:r>
          </w:p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17</w:t>
            </w: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明确年度建设单位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3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省局批复文件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中央资金用途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4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明确购置仪器设备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建设单位技术方案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10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制定仪器设备清单和技术参数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restart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实施招标</w:t>
            </w:r>
          </w:p>
        </w:tc>
        <w:tc>
          <w:tcPr>
            <w:tcW w:w="825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20</w:t>
            </w: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招标代理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委托代理合同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方案论证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专家论证意见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实施招标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10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确定中标商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restart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供货安装</w:t>
            </w:r>
          </w:p>
        </w:tc>
        <w:tc>
          <w:tcPr>
            <w:tcW w:w="825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17</w:t>
            </w: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签订合同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8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采购合同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按期供货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9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按到期时限计分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206" w:type="dxa"/>
            <w:vMerge w:val="restart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竣工验收</w:t>
            </w:r>
          </w:p>
        </w:tc>
        <w:tc>
          <w:tcPr>
            <w:tcW w:w="825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10</w:t>
            </w: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预算执行进度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预算进度达到</w:t>
            </w:r>
            <w:r>
              <w:rPr>
                <w:rFonts w:ascii="仿宋" w:hAnsi="仿宋" w:eastAsia="仿宋" w:cs="宋体"/>
                <w:sz w:val="30"/>
                <w:szCs w:val="30"/>
              </w:rPr>
              <w:t>100%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（</w:t>
            </w: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分）；</w:t>
            </w:r>
          </w:p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预算进度达到</w:t>
            </w:r>
            <w:r>
              <w:rPr>
                <w:rFonts w:ascii="仿宋" w:hAnsi="仿宋" w:eastAsia="仿宋" w:cs="宋体"/>
                <w:sz w:val="30"/>
                <w:szCs w:val="30"/>
              </w:rPr>
              <w:t>80%-99%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（</w:t>
            </w:r>
            <w:r>
              <w:rPr>
                <w:rFonts w:ascii="仿宋" w:hAnsi="仿宋" w:eastAsia="仿宋" w:cs="宋体"/>
                <w:sz w:val="30"/>
                <w:szCs w:val="30"/>
              </w:rPr>
              <w:t>4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分）；</w:t>
            </w:r>
          </w:p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预算进度达到</w:t>
            </w:r>
            <w:r>
              <w:rPr>
                <w:rFonts w:ascii="仿宋" w:hAnsi="仿宋" w:eastAsia="仿宋" w:cs="宋体"/>
                <w:sz w:val="30"/>
                <w:szCs w:val="30"/>
              </w:rPr>
              <w:t>60%-80%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（</w:t>
            </w:r>
            <w:r>
              <w:rPr>
                <w:rFonts w:ascii="仿宋" w:hAnsi="仿宋" w:eastAsia="仿宋" w:cs="宋体"/>
                <w:sz w:val="30"/>
                <w:szCs w:val="30"/>
              </w:rPr>
              <w:t>3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分）；</w:t>
            </w:r>
          </w:p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预算进度达到</w:t>
            </w:r>
            <w:r>
              <w:rPr>
                <w:rFonts w:ascii="仿宋" w:hAnsi="仿宋" w:eastAsia="仿宋" w:cs="宋体"/>
                <w:sz w:val="30"/>
                <w:szCs w:val="30"/>
              </w:rPr>
              <w:t>30%-60%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（</w:t>
            </w:r>
            <w:r>
              <w:rPr>
                <w:rFonts w:ascii="仿宋" w:hAnsi="仿宋" w:eastAsia="仿宋" w:cs="宋体"/>
                <w:sz w:val="30"/>
                <w:szCs w:val="30"/>
              </w:rPr>
              <w:t>2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分）；</w:t>
            </w:r>
          </w:p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预算进度在</w:t>
            </w:r>
            <w:r>
              <w:rPr>
                <w:rFonts w:ascii="仿宋" w:hAnsi="仿宋" w:eastAsia="仿宋" w:cs="宋体"/>
                <w:sz w:val="30"/>
                <w:szCs w:val="30"/>
              </w:rPr>
              <w:t>30%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以下（</w:t>
            </w:r>
            <w:r>
              <w:rPr>
                <w:rFonts w:ascii="仿宋" w:hAnsi="仿宋" w:eastAsia="仿宋" w:cs="宋体"/>
                <w:sz w:val="30"/>
                <w:szCs w:val="30"/>
              </w:rPr>
              <w:t>1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分）；</w:t>
            </w:r>
          </w:p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未开始相关工作（</w:t>
            </w:r>
            <w:r>
              <w:rPr>
                <w:rFonts w:ascii="仿宋" w:hAnsi="仿宋" w:eastAsia="仿宋" w:cs="宋体"/>
                <w:sz w:val="30"/>
                <w:szCs w:val="30"/>
              </w:rPr>
              <w:t>0</w:t>
            </w:r>
            <w:r>
              <w:rPr>
                <w:rFonts w:hint="eastAsia" w:ascii="仿宋" w:hAnsi="仿宋" w:eastAsia="仿宋" w:cs="宋体"/>
                <w:sz w:val="30"/>
                <w:szCs w:val="30"/>
              </w:rPr>
              <w:t>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6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825" w:type="dxa"/>
            <w:vMerge w:val="continue"/>
          </w:tcPr>
          <w:p>
            <w:pPr>
              <w:adjustRightInd w:val="0"/>
              <w:snapToGrid w:val="0"/>
              <w:rPr>
                <w:rFonts w:ascii="仿宋" w:hAnsi="仿宋" w:eastAsia="仿宋" w:cs="宋体"/>
                <w:sz w:val="30"/>
                <w:szCs w:val="30"/>
              </w:rPr>
            </w:pPr>
          </w:p>
        </w:tc>
        <w:tc>
          <w:tcPr>
            <w:tcW w:w="22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验收</w:t>
            </w:r>
          </w:p>
        </w:tc>
        <w:tc>
          <w:tcPr>
            <w:tcW w:w="750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ascii="仿宋" w:hAnsi="仿宋" w:eastAsia="仿宋" w:cs="宋体"/>
                <w:sz w:val="30"/>
                <w:szCs w:val="30"/>
              </w:rPr>
              <w:t>5</w:t>
            </w:r>
          </w:p>
        </w:tc>
        <w:tc>
          <w:tcPr>
            <w:tcW w:w="3491" w:type="dxa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宋体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z w:val="30"/>
                <w:szCs w:val="30"/>
              </w:rPr>
              <w:t>验收报告</w:t>
            </w:r>
          </w:p>
        </w:tc>
      </w:tr>
    </w:tbl>
    <w:p>
      <w:pPr>
        <w:pStyle w:val="8"/>
        <w:numPr>
          <w:ilvl w:val="0"/>
          <w:numId w:val="1"/>
        </w:numPr>
        <w:ind w:firstLineChars="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存在的问题及建议</w:t>
      </w:r>
    </w:p>
    <w:p>
      <w:pPr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建成后结合我县粮食产量、流通量、储存量、消费量、检验监测业务量等实际情况，坚持需求导向，统筹确定检验监测机构数量、布局、总体和年度建设方案。以发挥作用效能为立足点，加大对检验监测机构薄弱环节的指导、协调和扶持力度，补齐短板。</w:t>
      </w:r>
    </w:p>
    <w:p>
      <w:pPr>
        <w:ind w:firstLine="600" w:firstLineChars="200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2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年3月16日</w:t>
      </w:r>
    </w:p>
    <w:p>
      <w:pPr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康简标题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710EF6"/>
    <w:multiLevelType w:val="multilevel"/>
    <w:tmpl w:val="30710EF6"/>
    <w:lvl w:ilvl="0" w:tentative="0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97F13DA"/>
    <w:multiLevelType w:val="multilevel"/>
    <w:tmpl w:val="597F13DA"/>
    <w:lvl w:ilvl="0" w:tentative="0">
      <w:start w:val="1"/>
      <w:numFmt w:val="japaneseCounting"/>
      <w:lvlText w:val="（%1）"/>
      <w:lvlJc w:val="left"/>
      <w:pPr>
        <w:ind w:left="1004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70A95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TotalTime>3</TotalTime>
  <ScaleCrop>false</ScaleCrop>
  <LinksUpToDate>false</LinksUpToDate>
  <CharactersWithSpaces>637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汪欢欢</cp:lastModifiedBy>
  <cp:lastPrinted>2022-03-03T03:27:00Z</cp:lastPrinted>
  <dcterms:modified xsi:type="dcterms:W3CDTF">2022-03-18T07:25:50Z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180A46F0C61545BA8D12BC32DB8D5BE4</vt:lpwstr>
  </property>
</Properties>
</file>