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隆尧县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年总预算公开三公经费事项说明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/>
        <w:jc w:val="left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/>
        <w:jc w:val="center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20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  <w:t>21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根据河北省预算公开操作规程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现对20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年总预算公开三公经费及培训会议费事项作补充说明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20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年按照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牢固树立过紧日子要求，坚决打赢新冠肺炎疫情攻坚战，采取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预算源头控制、完善支出制度、确保经费下降的保障措施，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三公经费预算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取得了明显成效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。20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年三公经费预算总额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566.8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算数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394.4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，增加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172.4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，增长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43.6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%。其中：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 w:firstLineChars="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1、因公出国（境）费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较上年减少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20万元。主要是受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新冠肺炎疫情影响，今年未安排县领导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招商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活动和考察事项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2、公务用车购置费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196.2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算数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增加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143.2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增幅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270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%。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主要原因是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2021年以来原有执法车辆破损到龄，维修成本太高，亟需更换。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年提出预算安排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196.2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万元，其中：机关事务管理局120万元，纪检委朗逸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辆22.68万元，司法局23.48万元，交通局1辆15万元，运管站1辆15万元。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需要说明的是：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其他交通购置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预算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1369.62万元，其中：高程消防车辆1辆500万元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殡仪馆42.52万元，核酸检测车负压车385万元，环保车辆100万元，消防车辆20万元，城管局环卫车辆322.1万元。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公务用车运行费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201.6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算数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184.7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增加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16.9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增幅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1.15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%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，主要原因是公车购置增加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、公务接待费数额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169.1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算数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136.7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增加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32.4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万元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增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幅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23.7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%。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主要原因是：新冠肺炎疫情期间接待上级领导、防疫专家等；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今年招商经费增加500万元，安排招商接待费40万元。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将“三公经费”预算管理纳入预算监督程序，实行刚性约束。一方面要严格按照国家要求，严控“三公经费”，实现只减不增目标；另一方面，要在实行总量控制的前提下，注意保证对外交往、招商引资的正常开展，可以通过调减公车运行费、公务招待费，相应增加出国经费，也可以通过部门内部、部门之间的预算调剂，保障部门必要的新增经费预算需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5、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年会议费预算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121.7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376.28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万元，减少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万元，降幅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67.7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%。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主要去年一次性河北省食品产业大会支出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180万元。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年培训费预算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325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.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万元，较上年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263.62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万元，增加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万元，增幅2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%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，主要原因是各种培训活动增加。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Lines="50" w:afterLines="50"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预算执行中，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经责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审计、巡视巡查、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巩固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精准扶贫、文明创城、大气环保、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县乡村换届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等会议、接待事项，也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影响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我县三公经费预算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支出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我们将从以下几个方面进行控制：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Lines="50" w:afterLines="50"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1、</w:t>
      </w:r>
      <w:r>
        <w:rPr>
          <w:rFonts w:hint="eastAsia" w:eastAsia="仿宋_GB2312" w:cs="Times New Roman"/>
          <w:b/>
          <w:kern w:val="0"/>
          <w:sz w:val="32"/>
          <w:szCs w:val="32"/>
          <w:lang w:eastAsia="zh-CN"/>
        </w:rPr>
        <w:t>健全制度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 xml:space="preserve">管理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Lines="50" w:afterLines="50"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重新梳理近年来，陆续出台的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《隆尧县厉行节约加强公用经费管理暂行规定》隆字〔2015〕9号、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《关于印发隆尧县“三公”经费管理办法（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试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行）的通知》隆政〔2014〕9号、《关于印发隆尧县行政事业单位财务管理办法的通知》隆政办字〔2017〕28号、2018年12月28日出台的《隆尧县进一步加强三公经费及培训费会议费管理的通知》等文件制度，从制度上形成控制三公经费、会议费、培训费等制度体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2、强化年度预算审核，严把三公经费支出预算关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加强三公经费预算清单制度，从年初预算编制上严格控制“三公”经费，做到只减不增，做到整治与权力运行监控机制相结合。坚持大力压减一般性支出预算，落实《做好压减一般性支出的通知》冀财预〔2017〕78号文件精神，集中财力保工资、保基本民生、保机关正常运转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3、严格预算执行，把好报账关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把好预算执行关，坚持做到无预算不开支，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严格落实厉行勤俭节约和《隆尧县县级机关会议费管理办法</w:t>
      </w:r>
      <w:r>
        <w:rPr>
          <w:rFonts w:hint="eastAsia" w:eastAsia="仿宋_GB2312" w:cs="Times New Roman"/>
          <w:sz w:val="32"/>
          <w:szCs w:val="32"/>
          <w:lang w:eastAsia="zh-CN"/>
        </w:rPr>
        <w:t>》《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隆尧县县级机关差旅费管理办法</w:t>
      </w:r>
      <w:r>
        <w:rPr>
          <w:rFonts w:hint="eastAsia" w:eastAsia="仿宋_GB2312" w:cs="Times New Roman"/>
          <w:sz w:val="32"/>
          <w:szCs w:val="32"/>
          <w:lang w:eastAsia="zh-CN"/>
        </w:rPr>
        <w:t>》《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隆尧县县级机关培训费管理办法》相关要求。无预算安排的三公经费项目支出不拨款，不符合制度要求的单据不予报销。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 xml:space="preserve">4、加强预算单位财务管理人员政策培训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配合审计、监察等部门组成联合组检查，对检查过程中存在问题较重的部门将依法依规处理。以巡视、审计问题为导向，有针对性</w:t>
      </w:r>
      <w:r>
        <w:rPr>
          <w:rFonts w:hint="eastAsia" w:eastAsia="仿宋_GB2312" w:cs="Times New Roman"/>
          <w:kern w:val="0"/>
          <w:sz w:val="32"/>
          <w:szCs w:val="32"/>
          <w:lang w:eastAsia="zh-CN"/>
        </w:rPr>
        <w:t>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全县行政事业单位财会人员培训班和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农村财会人员培训班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。重点在财务管理、“三公”经费、会计实务、廉政廉洁等方面进行培训，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全面提升县、乡财务管理的科学化、规范化水平，从源头上防范财务管理风险。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5"/>
        <w:textAlignment w:val="auto"/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 xml:space="preserve"> 5、严格公开，接受社会监督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严格落实“三公”经费预决算公开制度，形成“三公”经费预决算公开“新常态”，确保“三公”经费在阳光下运行。开通预算公开专栏，设立三公经费预算公开栏目，接受社会群众、媒体的监督。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kern w:val="0"/>
          <w:sz w:val="22"/>
          <w:szCs w:val="2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</w:rPr>
      </w:pPr>
    </w:p>
    <w:sectPr>
      <w:footerReference r:id="rId3" w:type="default"/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W w:w="8536" w:type="dxa"/>
      <w:tblInd w:w="0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single" w:color="4F81BD" w:themeColor="accent1" w:sz="18" w:space="0"/>
      </w:tblBorders>
      <w:tblLayout w:type="fixed"/>
      <w:tblCellMar>
        <w:top w:w="58" w:type="dxa"/>
        <w:left w:w="115" w:type="dxa"/>
        <w:bottom w:w="58" w:type="dxa"/>
        <w:right w:w="115" w:type="dxa"/>
      </w:tblCellMar>
    </w:tblPr>
    <w:tblGrid>
      <w:gridCol w:w="1280"/>
      <w:gridCol w:w="7256"/>
    </w:tblGrid>
    <w:tr>
      <w:tblPrEx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single" w:color="4F81BD" w:themeColor="accent1" w:sz="18" w:space="0"/>
        </w:tblBorders>
        <w:tblCellMar>
          <w:top w:w="58" w:type="dxa"/>
          <w:left w:w="115" w:type="dxa"/>
          <w:bottom w:w="58" w:type="dxa"/>
          <w:right w:w="115" w:type="dxa"/>
        </w:tblCellMar>
      </w:tblPrEx>
      <w:tc>
        <w:tcPr>
          <w:tcW w:w="1280" w:type="dxa"/>
        </w:tcPr>
        <w:p>
          <w:pPr>
            <w:pStyle w:val="2"/>
            <w:jc w:val="right"/>
            <w:rPr>
              <w:color w:val="4F81BD" w:themeColor="accent1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color w:val="4F81BD" w:themeColor="accent1"/>
              <w:lang w:val="zh-CN"/>
            </w:rPr>
            <w:t>2</w:t>
          </w:r>
          <w:r>
            <w:rPr>
              <w:color w:val="4F81BD" w:themeColor="accent1"/>
              <w:lang w:val="zh-CN"/>
            </w:rPr>
            <w:fldChar w:fldCharType="end"/>
          </w:r>
        </w:p>
      </w:tc>
      <w:tc>
        <w:tcPr>
          <w:tcW w:w="7256" w:type="dxa"/>
        </w:tcPr>
        <w:p>
          <w:pPr>
            <w:pStyle w:val="2"/>
            <w:rPr>
              <w:color w:val="4F81BD" w:themeColor="accent1"/>
            </w:rPr>
          </w:pPr>
        </w:p>
      </w:tc>
    </w:tr>
  </w:tbl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mExNzBmOTA5OTllOWE3MTQ4YTY0YTkxMmIzMDk4OWUifQ=="/>
  </w:docVars>
  <w:rsids>
    <w:rsidRoot w:val="00B107E0"/>
    <w:rsid w:val="0002173E"/>
    <w:rsid w:val="000444CD"/>
    <w:rsid w:val="0005424D"/>
    <w:rsid w:val="000637A0"/>
    <w:rsid w:val="000871E8"/>
    <w:rsid w:val="000A7D58"/>
    <w:rsid w:val="000B766B"/>
    <w:rsid w:val="000D00D8"/>
    <w:rsid w:val="000E60BB"/>
    <w:rsid w:val="00130455"/>
    <w:rsid w:val="001468AD"/>
    <w:rsid w:val="00152BF7"/>
    <w:rsid w:val="00154420"/>
    <w:rsid w:val="001847CE"/>
    <w:rsid w:val="00196D35"/>
    <w:rsid w:val="001D2FD1"/>
    <w:rsid w:val="001F4AB9"/>
    <w:rsid w:val="0020459B"/>
    <w:rsid w:val="002438D7"/>
    <w:rsid w:val="00295CFA"/>
    <w:rsid w:val="002C1023"/>
    <w:rsid w:val="002F20ED"/>
    <w:rsid w:val="00304E1C"/>
    <w:rsid w:val="00326759"/>
    <w:rsid w:val="00347054"/>
    <w:rsid w:val="003665F6"/>
    <w:rsid w:val="0036796C"/>
    <w:rsid w:val="00380E55"/>
    <w:rsid w:val="003E1F5D"/>
    <w:rsid w:val="00400E16"/>
    <w:rsid w:val="00406CF1"/>
    <w:rsid w:val="004A5D02"/>
    <w:rsid w:val="004B315A"/>
    <w:rsid w:val="004D1EB6"/>
    <w:rsid w:val="004D4FA7"/>
    <w:rsid w:val="004F5415"/>
    <w:rsid w:val="00575308"/>
    <w:rsid w:val="005872B7"/>
    <w:rsid w:val="005B428A"/>
    <w:rsid w:val="005C7E54"/>
    <w:rsid w:val="005D765A"/>
    <w:rsid w:val="005E3ED0"/>
    <w:rsid w:val="006677A3"/>
    <w:rsid w:val="006B0855"/>
    <w:rsid w:val="006B4CD6"/>
    <w:rsid w:val="006C368D"/>
    <w:rsid w:val="006E75AA"/>
    <w:rsid w:val="006F136D"/>
    <w:rsid w:val="006F5CDD"/>
    <w:rsid w:val="006F63DB"/>
    <w:rsid w:val="007120BF"/>
    <w:rsid w:val="00724A4E"/>
    <w:rsid w:val="00743ACA"/>
    <w:rsid w:val="00752A42"/>
    <w:rsid w:val="00775958"/>
    <w:rsid w:val="007814E7"/>
    <w:rsid w:val="0081181E"/>
    <w:rsid w:val="008158D3"/>
    <w:rsid w:val="00833B0F"/>
    <w:rsid w:val="00841A62"/>
    <w:rsid w:val="00862A25"/>
    <w:rsid w:val="00864F6D"/>
    <w:rsid w:val="00876B9E"/>
    <w:rsid w:val="008957EB"/>
    <w:rsid w:val="008A3065"/>
    <w:rsid w:val="008A5BC4"/>
    <w:rsid w:val="00932B2F"/>
    <w:rsid w:val="00942F9C"/>
    <w:rsid w:val="0095482D"/>
    <w:rsid w:val="00957768"/>
    <w:rsid w:val="00991D0A"/>
    <w:rsid w:val="009F5E09"/>
    <w:rsid w:val="00A537D5"/>
    <w:rsid w:val="00A5546F"/>
    <w:rsid w:val="00A92FB4"/>
    <w:rsid w:val="00A95143"/>
    <w:rsid w:val="00AA5900"/>
    <w:rsid w:val="00AE2545"/>
    <w:rsid w:val="00B107E0"/>
    <w:rsid w:val="00B23D63"/>
    <w:rsid w:val="00B450D5"/>
    <w:rsid w:val="00B83E43"/>
    <w:rsid w:val="00B852A1"/>
    <w:rsid w:val="00BB74E8"/>
    <w:rsid w:val="00BF4AA6"/>
    <w:rsid w:val="00C12E14"/>
    <w:rsid w:val="00C221A8"/>
    <w:rsid w:val="00C53D4A"/>
    <w:rsid w:val="00C616C0"/>
    <w:rsid w:val="00CC0185"/>
    <w:rsid w:val="00D115A1"/>
    <w:rsid w:val="00D33C87"/>
    <w:rsid w:val="00D77E5E"/>
    <w:rsid w:val="00D83E64"/>
    <w:rsid w:val="00D929C0"/>
    <w:rsid w:val="00DA3ADB"/>
    <w:rsid w:val="00DB26F9"/>
    <w:rsid w:val="00E0531E"/>
    <w:rsid w:val="00E06E15"/>
    <w:rsid w:val="00E14D7E"/>
    <w:rsid w:val="00E31C4F"/>
    <w:rsid w:val="00E53C5D"/>
    <w:rsid w:val="00E577B6"/>
    <w:rsid w:val="00E954AD"/>
    <w:rsid w:val="00E973E0"/>
    <w:rsid w:val="00EA5AA9"/>
    <w:rsid w:val="00EF6EBB"/>
    <w:rsid w:val="00F07274"/>
    <w:rsid w:val="00F20C1E"/>
    <w:rsid w:val="00F9441E"/>
    <w:rsid w:val="0573521D"/>
    <w:rsid w:val="13880294"/>
    <w:rsid w:val="188532BE"/>
    <w:rsid w:val="29A95EDC"/>
    <w:rsid w:val="43694E77"/>
    <w:rsid w:val="51727C8F"/>
    <w:rsid w:val="57B97EB4"/>
    <w:rsid w:val="633C5ADD"/>
    <w:rsid w:val="635C512F"/>
    <w:rsid w:val="6BFD06CB"/>
    <w:rsid w:val="7ED2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spacing w:line="360" w:lineRule="auto"/>
    </w:pPr>
    <w:rPr>
      <w:rFonts w:ascii="Tahoma" w:hAnsi="Tahoma"/>
      <w:sz w:val="24"/>
      <w:szCs w:val="20"/>
    </w:rPr>
  </w:style>
  <w:style w:type="paragraph" w:customStyle="1" w:styleId="9">
    <w:name w:val="Char1"/>
    <w:basedOn w:val="1"/>
    <w:qFormat/>
    <w:uiPriority w:val="0"/>
    <w:pPr>
      <w:spacing w:line="360" w:lineRule="auto"/>
    </w:pPr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1617</Words>
  <Characters>1798</Characters>
  <Lines>6</Lines>
  <Paragraphs>1</Paragraphs>
  <TotalTime>14</TotalTime>
  <ScaleCrop>false</ScaleCrop>
  <LinksUpToDate>false</LinksUpToDate>
  <CharactersWithSpaces>1837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2017-03-13T03:17:00Z</dcterms:created>
  <dc:creator>[预算股][吴立杰]</dc:creator>
  <cp:lastModifiedBy>童话故事书</cp:lastModifiedBy>
  <cp:lastPrinted>2019-02-25T05:54:00Z</cp:lastPrinted>
  <dcterms:modified xsi:type="dcterms:W3CDTF">2024-06-26T00:54:17Z</dcterms:modified>
  <cp:revision>65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110981905AA649F4AB066D9EAC6F76F2</vt:lpwstr>
  </property>
</Properties>
</file>