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黑体" w:hAnsi="黑体" w:eastAsia="黑体" w:cs="Times New Roman"/>
          <w:b/>
          <w:bCs/>
          <w:sz w:val="44"/>
          <w:szCs w:val="44"/>
        </w:rPr>
      </w:pPr>
      <w:r>
        <w:rPr>
          <w:rFonts w:hint="eastAsia" w:ascii="黑体" w:hAnsi="黑体" w:eastAsia="黑体" w:cs="Times New Roman"/>
          <w:b/>
          <w:bCs/>
          <w:sz w:val="44"/>
          <w:szCs w:val="44"/>
        </w:rPr>
        <w:t>隆尧县文化广电体育和旅游局</w:t>
      </w:r>
    </w:p>
    <w:p>
      <w:pPr>
        <w:adjustRightInd w:val="0"/>
        <w:snapToGrid w:val="0"/>
        <w:jc w:val="center"/>
        <w:rPr>
          <w:rFonts w:ascii="黑体" w:hAnsi="黑体" w:eastAsia="黑体" w:cs="Times New Roman"/>
          <w:b/>
          <w:bCs/>
          <w:sz w:val="44"/>
          <w:szCs w:val="44"/>
        </w:rPr>
      </w:pPr>
      <w:r>
        <w:rPr>
          <w:rFonts w:hint="eastAsia" w:ascii="黑体" w:hAnsi="黑体" w:eastAsia="黑体" w:cs="Times New Roman"/>
          <w:b/>
          <w:bCs/>
          <w:sz w:val="44"/>
          <w:szCs w:val="44"/>
        </w:rPr>
        <w:t>2020年部门预算信息公开情况说明</w:t>
      </w:r>
    </w:p>
    <w:p>
      <w:pPr>
        <w:ind w:firstLine="640"/>
        <w:rPr>
          <w:rFonts w:ascii="黑体" w:hAnsi="黑体" w:eastAsia="黑体" w:cs="Times New Roman"/>
          <w:b/>
          <w:sz w:val="44"/>
          <w:szCs w:val="44"/>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w:t>
      </w:r>
      <w:r>
        <w:rPr>
          <w:rFonts w:hint="eastAsia" w:ascii="Times New Roman" w:hAnsi="Times New Roman" w:eastAsia="仿宋" w:cs="Times New Roman"/>
          <w:sz w:val="32"/>
          <w:szCs w:val="32"/>
        </w:rPr>
        <w:t>预算法》、《地方预决算公开操作规程》规定，现将隆尧县文化广电体育和旅游局2020年部门预算公开如下：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主要</w:t>
      </w:r>
      <w:r>
        <w:rPr>
          <w:rFonts w:ascii="仿宋" w:hAnsi="仿宋" w:eastAsia="仿宋" w:cs="Times New Roman"/>
          <w:b/>
          <w:sz w:val="32"/>
          <w:szCs w:val="32"/>
        </w:rPr>
        <w:t>职责：</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一）贯彻执行党和国家关于文化、广播电视、体育和旅游工作方针政策和法律法规。研究拟订全县文化、广播电视、体育和旅游政策措施，起草全县文化、广播电视、网络视听节目、体育服务管理和旅游规范性文件，加强广播电视阵地管理，把握正确的舆论导向和创作导向。</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（二）拟订全县文化事业、文化产业、广播电视事业、体育事业、旅游业、文物事业发展规划并组织实施，拟订相关技术标准并组织实施和监督检查，推进文化、广电、体育和旅游融合发展及相关体制机制改革。</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（四）指导、管理全县文艺事业。指导艺术创作生产，扶持体现社会主义核心价值观、具有导向性、代表性、示范性的文艺作品，推动全县各门类艺术、各艺术品种发展。</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（六）按照管理权限负责体育彩票发行管理工作。指导全县性体育社团工作。</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（八）指导、推进全县文化、广电、体育、旅游和重大文物保护科技创新发展。推进文化、广播电视、体育、旅游、文物行业科技化、信息化、标准化建设。</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（九）负责全县非物质文化遗产保护，推动非物质文化遗产的保护、传承、普及、弘扬和振兴。</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（十）统筹规划全县文化、广电、体育和旅游产业。组织实施文化和旅游资源普查、挖掘、保护和利用工作，促进文化产业、体育产业和旅游产业发展。负责广播电视统计工作。</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（十二）负责全县文化市场综合执法。负责全县文化、广电、体育、旅游和文物等市场的违法行为查处工作，会同有关部门督查督办大案要案，维护市场秩序。</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（十五）指导、协调广播电视全县性重大宣传活动及广播电视创新创优工作。指导全县广播电视、网络视听行业人才队伍建设。</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（十六）负责世界文化遗产和文物保护及管理的相关工作。组织世界文化遗产申报，会同有关部门组织世界文化和自然双重遗产申报，做好博物馆的保护和监督管理工作。</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pPr>
        <w:adjustRightInd w:val="0"/>
        <w:spacing w:line="570" w:lineRule="exact"/>
        <w:ind w:firstLine="640"/>
        <w:rPr>
          <w:rFonts w:ascii="仿宋" w:hAnsi="仿宋" w:eastAsia="仿宋"/>
          <w:sz w:val="32"/>
          <w:szCs w:val="32"/>
        </w:rPr>
      </w:pPr>
      <w:r>
        <w:rPr>
          <w:rFonts w:hint="eastAsia" w:ascii="仿宋" w:hAnsi="仿宋" w:eastAsia="仿宋"/>
          <w:sz w:val="32"/>
          <w:szCs w:val="32"/>
        </w:rPr>
        <w:t>（十八）完成县委、县政府交办的其他任务。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县文化广电体育和旅游局设下列内设机构</w:t>
      </w:r>
    </w:p>
    <w:p>
      <w:pPr>
        <w:rPr>
          <w:rFonts w:ascii="仿宋" w:hAnsi="仿宋" w:eastAsia="仿宋"/>
          <w:sz w:val="32"/>
          <w:szCs w:val="32"/>
        </w:rPr>
      </w:pPr>
      <w:r>
        <w:rPr>
          <w:rFonts w:hint="eastAsia" w:ascii="仿宋" w:hAnsi="仿宋" w:eastAsia="仿宋"/>
          <w:sz w:val="32"/>
          <w:szCs w:val="32"/>
        </w:rPr>
        <w:t>（一）办公室。主要职责：负责机关日常运转，承担文秘、会务、安全、保密机要、信访、档案、宣传、信息等工作；负责机关财务和资产管理，指导所属单位财务工作；负责内部审计和各类专项资金监督管理；负责局机关和所属单位的干部人事、机构编制、劳动工资、社会保障等工作；负责局机关和所属单位离退休干部工作；负责局机关和所属单位党群工作；负责各类大型文化、体育活动的协调工作；指导全县文化、广播电视、体育和旅游设施建设；负责全县文化、广播电视、体育、旅游、文物统计工作。承担本系统专业技术职务任职资格评审工作，配合做好广播电视领域专业技术职务资格评审工作。承担全县文化、广播电视、网络视听、体育和旅游领域体制机制改革工作；开展法律法规宣传教育；依法承担机关法制建设工作，承担机关行政复议、行政应诉、行政处罚、听证、涉外法律事务等工作。承担规范性文件的合法性审核工作；推动整合组建全县文化综合执法队伍。</w:t>
      </w:r>
    </w:p>
    <w:p>
      <w:pPr>
        <w:rPr>
          <w:rFonts w:ascii="仿宋" w:hAnsi="仿宋" w:eastAsia="仿宋"/>
          <w:sz w:val="32"/>
          <w:szCs w:val="32"/>
        </w:rPr>
      </w:pPr>
      <w:r>
        <w:rPr>
          <w:rFonts w:hint="eastAsia" w:eastAsia="仿宋"/>
          <w:sz w:val="32"/>
          <w:szCs w:val="32"/>
        </w:rPr>
        <w:t> </w:t>
      </w:r>
      <w:r>
        <w:rPr>
          <w:rFonts w:hint="eastAsia" w:ascii="仿宋" w:hAnsi="仿宋" w:eastAsia="仿宋"/>
          <w:sz w:val="32"/>
          <w:szCs w:val="32"/>
        </w:rPr>
        <w:t>（二）文化广电股。主要职责：拟订全县文化、音乐、舞蹈、戏曲、戏剧、美术等公共文化文艺事业发展规划并组织实施；承担全县公共文化服务、文化市场服务的指导、协调和推动作用；拟订全县文化、文化市场公共服务标准并监督实施；指导全县群众文化、未成年人文化和老年文化工作；指导全县图书馆、文化馆事业和基层综合性文化服务中心建设；指导全县文化产业园区基地建设，指导县级文化公园建设；指导全县公共数字文化工作；承担对口支援、救灾及美丽乡村建设等方面公共服务工作；扶持体现社会主义核心价值观、具有导向性代表性示范性的文艺作品和代表县级水准及隆尧特色的文艺院团；推动全县各门类艺术、各艺术品种发展；指导协调全县性艺术展演、展览以及重大文艺活动。研究拟订并组织实施全县文化、文化市场政策措施及发展总体性规划；对全县文化、广播电视、和文化市场经营进行行业监管；承担全县文化、广播电视、网络视听、文化市场行业信用体系建设工作；组织拟订全县文化、广播电视、网络视听和文化市场经营场所、设施、服务、产品、综合执法工作等标准并监督实施；监管全县文化、广播电视、网络视听和文化市场服务质量，指导服务质量提升；起草文化、广播电视、网络视听、文化市场工作规范性文件；承担全县文化、广播电视、网络视听和文化市场方面规范性文件的合法性审核工作；拟订全县文化和旅游品牌推广规划，制定品牌战略并组织实施；按照管理权限指导并承办文化和旅游对外合作协定及其他合作文件的商签工作；承担政府、民间及国际组织在文化和旅游领域交流合作相关事务；组织大型文化和旅游对外交流推广活动。</w:t>
      </w:r>
    </w:p>
    <w:p>
      <w:pPr>
        <w:rPr>
          <w:rFonts w:ascii="仿宋" w:hAnsi="仿宋" w:eastAsia="仿宋"/>
          <w:sz w:val="32"/>
          <w:szCs w:val="32"/>
        </w:rPr>
      </w:pPr>
      <w:r>
        <w:rPr>
          <w:rFonts w:hint="eastAsia" w:ascii="仿宋" w:hAnsi="仿宋" w:eastAsia="仿宋"/>
          <w:sz w:val="32"/>
          <w:szCs w:val="32"/>
        </w:rPr>
        <w:t>（三）体育股。主要职责：拟订全县群众体育工作发展规划和政策；贯彻落实《全民健身计划》，积极推行《全民健身实施计划》；推动建立和完善全民健身公共服务体系；指导公共体育设施的建设，规范公共体育设施的管理和使用；指导群众体育组织建设，指导开展全县群众性体育活动；协调推动全民健身志愿者服务工作；负责推行社会体育指导员和国民体质监测制度，指导国家体育锻炼标准实施；指导全县性体育社团工作。拟订全县竞技体育发展规划；负责全县体育竞赛、竞技运动项目的设置和布局；参与指导优秀运动员队伍建设；组织开展全县体育领域科技研究、技术攻关和成果推广；组织开展反兴奋剂工作；组织参加市、省及全国青少年比赛；按照管理权限承担有关体育竞赛审批工作；负责制定全县体育竞赛制度；负责县运会和全县性体育比赛的组织工作；统筹协调由县承办的市、省及国内外重大体育比赛的组织工作；拟订全县青少年体育发展规划；指导青少年业余训练工作，拟订全县青少年业余训练管理制度，完善青少年业余训练体系；协调推进学校体育工作，指导全县各级各类体育运动学校、体育传统项目学校、青少年体育俱乐部、各运动项目后备人才基地建设和有关学生文化教育工作；推动青少年体育服务体系建设；开展青少年体育工作研究和相关培训。拟订全县体育行业人才队伍建设规划并组织实施；指导全县体育市场行业职业培训工作；起草体育工作规范性文件；承担全县体育市场综合执法工作，承办全县体育市场行政处罚和行政强制文书的审核工作；拟订全县体育产业发展规划草案；指导、协调全县体育产业发展；按照管理权限负责体育彩票的发行、销售及体育彩票公益金的分配使用监督管理工作；规范体育服务管理，推动体育标准化建设具体工作。拟订全县体育事业中长期发展规划；指导全县体育理论和体育发展战略研究；负责体育行业、系统安全生产监管，负责高危险性体育项目经营单位（场所）安全监督管理；指导督促相关生产经营单位安全生产风险辨识管控和隐患排查治理工作。</w:t>
      </w:r>
    </w:p>
    <w:p>
      <w:pPr>
        <w:rPr>
          <w:rFonts w:ascii="仿宋" w:hAnsi="仿宋" w:eastAsia="仿宋"/>
          <w:sz w:val="32"/>
          <w:szCs w:val="32"/>
        </w:rPr>
      </w:pPr>
      <w:r>
        <w:rPr>
          <w:rFonts w:hint="eastAsia" w:ascii="仿宋" w:hAnsi="仿宋" w:eastAsia="仿宋"/>
          <w:sz w:val="32"/>
          <w:szCs w:val="32"/>
        </w:rPr>
        <w:t>（四）旅游和文化遗产股。主要职责：拟订全县旅游、文物、非物质文化遗产方面产业政策和发展规划并组织实施；指导、促进文化产业相关门类和旅游产业及新型业态发展；推动全县文化产业、旅游产业投融资体系建设；促进文化、旅游与相关产业融合发展。承担全县文物、非物质文化遗产和旅游资源普查、规划、开发和保护。负责全县乡村旅游和旅游扶贫工作；指导、推进全县全域旅游示范区、旅游度假区创建工作；指导全县旅游区域、目的地、线路的规划工作；指导全县旅游产品创新及开发体系建设；指导全县旅游装备技术提升；承担红色旅游相关工作。拟订全县文物和博物馆公共资源共享规划并推动实施；拟订全县文物利用及相关产业规划；拟订全县非物质文化遗产保护政策和规划并组织实施；承担文物保护专项规划组织编制工作；负责管理和指导全县考古工作，组织、协调重大文物保护和考古项目的实施；负责全县世界文化遗产和文物保护的认定、保护和利用工作；负责全县文物安全管理工作；负责组织世界文化遗产申报，会同有关部门组织世界文化和自然双重遗产申报，协同住房和城乡建设等部门做好文物的保护和监督管理工作；负责组织全县文物普查、考古调查、勘探、发掘以及大遗址保护工作；负责推动完善文物和博物馆公共服务体系建设；负责监督文物商店的购销活动；组织开展非物质文化遗产保护工作；指导全县非物质文化遗产调查、记录、确认和建立名录；组织非物质文化遗产研究、宣传和传播工作。拟订旅游形象宣传计划；促进旅游投资和项目开发；指导开拓海内外旅游市场，开展区域旅游合作；组织协调重大旅游节庆盛事活动；组织开展游客咨询服务工作。拟订和组织实施旅游业服务规范与监管标准；监督管理旅游服务质量和旅游市场秩序；指导旅游业统计和信息化建设；指导、扶持旅游协会工作。拟订全县文化遗产和非物质文化遗产保护的规划并组织实施，起草相关管理办法草案。负责全县文物、历史文化资源、非物质文化遗产的开发、利用和古籍保护工作。负责、博物馆事业建设。起草文物、非物质文化遗产、旅游工作规范性文件；承担全县文物、非物质文化遗产、旅游市场综合执法工作，承办全县文物、非物质文化遗产、旅游市场行政处罚和行政强制文书的审核工作；承担县旅游工作领导小组办公室日常工作，督导落实县旅游工作领导小组部署的工作和议定的事项。</w:t>
      </w:r>
    </w:p>
    <w:p>
      <w:pPr>
        <w:ind w:firstLine="643" w:firstLineChars="200"/>
        <w:rPr>
          <w:rFonts w:ascii="仿宋" w:hAnsi="仿宋" w:eastAsia="仿宋" w:cs="Times New Roman"/>
          <w:b/>
          <w:sz w:val="32"/>
          <w:szCs w:val="32"/>
        </w:rPr>
      </w:pPr>
    </w:p>
    <w:p>
      <w:pPr>
        <w:ind w:firstLine="643" w:firstLineChars="200"/>
        <w:rPr>
          <w:rFonts w:ascii="仿宋" w:hAnsi="仿宋" w:eastAsia="仿宋" w:cs="Times New Roman"/>
          <w:b/>
          <w:sz w:val="32"/>
          <w:szCs w:val="32"/>
        </w:rPr>
      </w:pPr>
    </w:p>
    <w:p>
      <w:pPr>
        <w:ind w:firstLine="643" w:firstLineChars="200"/>
        <w:rPr>
          <w:rFonts w:hint="eastAsia" w:ascii="仿宋" w:hAnsi="仿宋" w:eastAsia="仿宋" w:cs="Times New Roman"/>
          <w:b/>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仿宋" w:hAnsi="仿宋" w:eastAsia="仿宋" w:cs="Times New Roman"/>
          <w:sz w:val="32"/>
          <w:szCs w:val="32"/>
        </w:rPr>
      </w:pPr>
      <w:r>
        <w:rPr>
          <w:rFonts w:ascii="仿宋" w:hAnsi="仿宋" w:eastAsia="仿宋" w:cs="Times New Roman"/>
          <w:sz w:val="32"/>
          <w:szCs w:val="32"/>
        </w:rPr>
        <w:t>部门</w:t>
      </w:r>
      <w:r>
        <w:rPr>
          <w:rFonts w:hint="eastAsia" w:ascii="仿宋" w:hAnsi="仿宋" w:eastAsia="仿宋" w:cs="Times New Roman"/>
          <w:sz w:val="32"/>
          <w:szCs w:val="32"/>
        </w:rPr>
        <w:t>机构设置情况</w:t>
      </w:r>
    </w:p>
    <w:p>
      <w:pPr>
        <w:jc w:val="center"/>
        <w:outlineLvl w:val="0"/>
        <w:rPr>
          <w:rFonts w:ascii="仿宋" w:hAnsi="仿宋" w:eastAsia="仿宋" w:cs="Times New Roman"/>
          <w:sz w:val="32"/>
          <w:szCs w:val="32"/>
        </w:rPr>
      </w:pPr>
    </w:p>
    <w:tbl>
      <w:tblPr>
        <w:tblStyle w:val="7"/>
        <w:tblW w:w="1439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588"/>
        <w:gridCol w:w="2685"/>
        <w:gridCol w:w="3058"/>
        <w:gridCol w:w="30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2" w:hRule="atLeast"/>
        </w:trPr>
        <w:tc>
          <w:tcPr>
            <w:tcW w:w="558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单位名称</w:t>
            </w:r>
          </w:p>
        </w:tc>
        <w:tc>
          <w:tcPr>
            <w:tcW w:w="2685"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单位性质</w:t>
            </w:r>
          </w:p>
        </w:tc>
        <w:tc>
          <w:tcPr>
            <w:tcW w:w="305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单位规格</w:t>
            </w:r>
          </w:p>
        </w:tc>
        <w:tc>
          <w:tcPr>
            <w:tcW w:w="3062"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6" w:hRule="atLeast"/>
        </w:trPr>
        <w:tc>
          <w:tcPr>
            <w:tcW w:w="558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kern w:val="0"/>
                <w:sz w:val="28"/>
                <w:szCs w:val="28"/>
              </w:rPr>
              <w:t>隆尧县文化广电体育和旅游局局</w:t>
            </w:r>
            <w:r>
              <w:rPr>
                <w:rFonts w:hint="eastAsia" w:ascii="仿宋" w:hAnsi="仿宋" w:eastAsia="仿宋"/>
                <w:bCs/>
                <w:kern w:val="0"/>
                <w:sz w:val="28"/>
                <w:szCs w:val="28"/>
              </w:rPr>
              <w:t>（机关）</w:t>
            </w:r>
          </w:p>
        </w:tc>
        <w:tc>
          <w:tcPr>
            <w:tcW w:w="2685"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行政</w:t>
            </w:r>
          </w:p>
        </w:tc>
        <w:tc>
          <w:tcPr>
            <w:tcW w:w="305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正科级</w:t>
            </w:r>
          </w:p>
        </w:tc>
        <w:tc>
          <w:tcPr>
            <w:tcW w:w="3062"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6" w:hRule="atLeast"/>
        </w:trPr>
        <w:tc>
          <w:tcPr>
            <w:tcW w:w="558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隆尧县图书馆</w:t>
            </w:r>
          </w:p>
        </w:tc>
        <w:tc>
          <w:tcPr>
            <w:tcW w:w="2685"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事业</w:t>
            </w:r>
          </w:p>
        </w:tc>
        <w:tc>
          <w:tcPr>
            <w:tcW w:w="305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股级</w:t>
            </w:r>
          </w:p>
        </w:tc>
        <w:tc>
          <w:tcPr>
            <w:tcW w:w="3062"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2" w:hRule="atLeast"/>
        </w:trPr>
        <w:tc>
          <w:tcPr>
            <w:tcW w:w="558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隆尧县文化馆</w:t>
            </w:r>
          </w:p>
        </w:tc>
        <w:tc>
          <w:tcPr>
            <w:tcW w:w="2685"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事业</w:t>
            </w:r>
          </w:p>
        </w:tc>
        <w:tc>
          <w:tcPr>
            <w:tcW w:w="305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股级</w:t>
            </w:r>
          </w:p>
        </w:tc>
        <w:tc>
          <w:tcPr>
            <w:tcW w:w="3062"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6" w:hRule="atLeast"/>
        </w:trPr>
        <w:tc>
          <w:tcPr>
            <w:tcW w:w="558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隆尧县文物保护管理所</w:t>
            </w:r>
          </w:p>
        </w:tc>
        <w:tc>
          <w:tcPr>
            <w:tcW w:w="2685"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事业</w:t>
            </w:r>
          </w:p>
        </w:tc>
        <w:tc>
          <w:tcPr>
            <w:tcW w:w="3058"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股级</w:t>
            </w:r>
          </w:p>
        </w:tc>
        <w:tc>
          <w:tcPr>
            <w:tcW w:w="3062"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bl>
    <w:p>
      <w:pPr>
        <w:jc w:val="center"/>
        <w:outlineLvl w:val="0"/>
        <w:rPr>
          <w:rFonts w:ascii="仿宋" w:hAnsi="仿宋" w:eastAsia="仿宋" w:cs="Times New Roman"/>
          <w:sz w:val="28"/>
          <w:szCs w:val="28"/>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按照预算管理有关规定，目前我省部门预算的编制实行综合预算管理，即全部收入和支出都反映的预算中。隆尧县文化广电体育和旅游局及所属事业单位的收支包含在部门预算中。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反映本部门当年全部收入。2020年预算收入1919.87万元，其中：一般公共预算收入1281.87万元，基金预算收入638万元，财政专户核拨收入0万元，其他来源收入0万元。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收支预算总表支出栏、基本支出表、项目支出表按经济分类和支出功能分类科目编制，反映隆尧县文化广电体育和旅游局年度部门预算中支出预算的总体情况。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20年部门支出预算为1919.87万元，其中基本支出373.54万元，包括人员经费358.93万元和日常公用经费14.61万元；项目支出1546.33万元，主要为文化旅游体育与传媒支出 904.42万元，社会保障和就业支出3.91万元，城乡社区支出 630万元，其他支出8万元。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1919.87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较2019年减少699.80万元，其中：基本支出减少17.78万元，主要是人员减少，相应减少人员经费和日常公用经费；项目支出减少640.01万元，主要是项目减少了；其他支出减少42万元。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20年，我部门机关运行经费共计安排14.61万元，主要用于保证机关正常运转的办公及印刷费、邮电费、差旅费、手续费、福利费、水电费、物业管理费、工会经费、其他交通费等支出。</w:t>
      </w: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2020年，我部门财政拨款“三公”经费预算安排0万元，其中：因公出国（境）费0万元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与上年持平，无增减变化；</w:t>
      </w:r>
      <w:r>
        <w:rPr>
          <w:rFonts w:hint="eastAsia" w:ascii="Times New Roman" w:hAnsi="Times New Roman" w:eastAsia="仿宋" w:cs="Times New Roman"/>
          <w:sz w:val="32"/>
          <w:szCs w:val="32"/>
        </w:rPr>
        <w:t>公务用车购置及运维费0万元（其中：公务用车购置费0万元，公务用车运行维护费0万元)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与上年持平、无增减变化</w:t>
      </w:r>
      <w:r>
        <w:rPr>
          <w:rFonts w:hint="eastAsia" w:ascii="Times New Roman" w:hAnsi="Times New Roman" w:eastAsia="仿宋" w:cs="Times New Roman"/>
          <w:sz w:val="32"/>
          <w:szCs w:val="32"/>
        </w:rPr>
        <w:t>；公务接待费0万元。</w:t>
      </w:r>
      <w:r>
        <w:rPr>
          <w:rFonts w:hint="eastAsia" w:ascii="Times New Roman" w:hAnsi="Times New Roman" w:eastAsia="仿宋" w:cs="Times New Roman"/>
          <w:sz w:val="32"/>
          <w:szCs w:val="32"/>
          <w:lang w:val="en-US" w:eastAsia="zh-CN"/>
        </w:rPr>
        <w:t>与上年</w:t>
      </w:r>
      <w:r>
        <w:rPr>
          <w:rFonts w:hint="eastAsia" w:ascii="Times New Roman" w:hAnsi="Times New Roman" w:eastAsia="仿宋" w:cs="Times New Roman"/>
          <w:sz w:val="32"/>
          <w:szCs w:val="32"/>
        </w:rPr>
        <w:t>减少23万元，原因主要是</w:t>
      </w:r>
      <w:r>
        <w:rPr>
          <w:rFonts w:ascii="Times New Roman" w:hAnsi="Times New Roman" w:eastAsia="仿宋" w:cs="Times New Roman"/>
          <w:sz w:val="32"/>
          <w:szCs w:val="32"/>
        </w:rPr>
        <w:t>2019</w:t>
      </w:r>
      <w:r>
        <w:rPr>
          <w:rFonts w:hint="eastAsia" w:ascii="Times New Roman" w:hAnsi="Times New Roman" w:eastAsia="仿宋" w:cs="Times New Roman"/>
          <w:sz w:val="32"/>
          <w:szCs w:val="32"/>
        </w:rPr>
        <w:t>年我单位承担举办大型李氏文化活动。</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第一部分 部门整体绩效目标</w:t>
      </w:r>
    </w:p>
    <w:p>
      <w:pPr>
        <w:autoSpaceDE w:val="0"/>
        <w:autoSpaceDN w:val="0"/>
        <w:adjustRightInd w:val="0"/>
        <w:ind w:left="198" w:firstLine="643" w:firstLineChars="200"/>
        <w:jc w:val="left"/>
        <w:rPr>
          <w:rFonts w:ascii="黑体" w:hAnsi="黑体" w:eastAsia="黑体" w:cs="Times New Roman"/>
          <w:b/>
          <w:sz w:val="32"/>
          <w:szCs w:val="32"/>
        </w:rPr>
      </w:pPr>
      <w:r>
        <w:rPr>
          <w:rFonts w:hint="eastAsia" w:ascii="黑体" w:hAnsi="黑体" w:eastAsia="黑体" w:cs="Times New Roman"/>
          <w:b/>
          <w:sz w:val="32"/>
          <w:szCs w:val="32"/>
        </w:rPr>
        <w:t>（一）总体绩效目标</w:t>
      </w:r>
    </w:p>
    <w:p>
      <w:pPr>
        <w:autoSpaceDE w:val="0"/>
        <w:autoSpaceDN w:val="0"/>
        <w:adjustRightInd w:val="0"/>
        <w:ind w:left="198" w:firstLine="643" w:firstLineChars="200"/>
        <w:jc w:val="left"/>
        <w:rPr>
          <w:rFonts w:ascii="黑体" w:hAnsi="黑体" w:eastAsia="黑体" w:cs="Times New Roman"/>
          <w:b/>
          <w:sz w:val="32"/>
          <w:szCs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1、</w:t>
      </w:r>
      <w:r>
        <w:rPr>
          <w:rFonts w:ascii="仿宋" w:hAnsi="仿宋" w:eastAsia="仿宋"/>
          <w:sz w:val="32"/>
        </w:rPr>
        <w:t>管理和指导全县文化建设，推进文化发展环境能力建设，提供公共文化服务、文化艺术资源建设和文化艺术生产。文化发展环境健康向上，文化发展能力不断增强，文化艺术资源丰富，公共文化服务和文化艺术生产水平不断提高，河北文化影响力日益扩大。完成国家下达的广播电视直播卫星户户通工程、农村电影工作、县城数字影院升级改造、农家书屋建设、全民阅读活动、老放映员生活补助以及应急广播体系建设等任务目标;收藏工作有序开展，文化艺术作品进一步丰富，专业艺术创作生产能力和地位不断提高。收藏设施设备和物品等国有资产安全完整、高效利用。公共文化设施达标，机构和队伍健全，实现公共文化资源共享，形成城乡一体公共文化服务网络；公共文化产品生产和服务能力提高，基本公共文化服务标准化、均等化水平不断提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 xml:space="preserve">   </w:t>
      </w:r>
      <w:r>
        <w:rPr>
          <w:rFonts w:hint="eastAsia" w:ascii="仿宋" w:hAnsi="仿宋" w:eastAsia="仿宋"/>
          <w:sz w:val="32"/>
        </w:rPr>
        <w:t>2、</w:t>
      </w:r>
      <w:r>
        <w:rPr>
          <w:rFonts w:ascii="仿宋" w:hAnsi="仿宋" w:eastAsia="仿宋"/>
          <w:sz w:val="32"/>
        </w:rPr>
        <w:t>指导、组织县优秀文化产品、服务和品牌活动宣传推介；组织全县对外文化交流活动。对外文化交流档次和水平提升，对外文化贸易不断发展，我省文化国内国际影响力扩大。全方位宣传推介县文化艺术资源，提升对外交流水平和档次。推动更多文化项目入选世界、国家名录和扶持项目；推动更多文化项目取得大赛名次和被认知；提高县文化的影响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 xml:space="preserve">  </w:t>
      </w:r>
      <w:r>
        <w:rPr>
          <w:rFonts w:hint="eastAsia" w:ascii="仿宋" w:hAnsi="仿宋" w:eastAsia="仿宋"/>
          <w:sz w:val="32"/>
        </w:rPr>
        <w:t>3、</w:t>
      </w:r>
      <w:r>
        <w:rPr>
          <w:rFonts w:ascii="仿宋" w:hAnsi="仿宋" w:eastAsia="仿宋"/>
          <w:sz w:val="32"/>
        </w:rPr>
        <w:t>指导、组织开展文化保护工作；组织实施优秀民族文化的传承普及工作；维护国家文化安全。 构建健全的文化保护体系，文化保护工作得到全面加强，优秀文化得到传承和发扬。珍贵、濒危的非物质文化遗产得到有效抢救和保护，优秀特色文化得到传承和发扬。</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 xml:space="preserve">    </w:t>
      </w:r>
      <w:r>
        <w:rPr>
          <w:rFonts w:hint="eastAsia" w:ascii="仿宋" w:hAnsi="仿宋" w:eastAsia="仿宋"/>
          <w:sz w:val="32"/>
        </w:rPr>
        <w:t>4、</w:t>
      </w:r>
      <w:r>
        <w:rPr>
          <w:rFonts w:ascii="仿宋" w:hAnsi="仿宋" w:eastAsia="仿宋"/>
          <w:sz w:val="32"/>
        </w:rPr>
        <w:t>负责系统综合业务管理和机关综合事务管理。确保各项业务工作谋划到位、顺利开展。保障机关工作正常高效运转。确保各项业务工作谋划到位、顺利开展。保障机关工作正常高效运转。</w:t>
      </w:r>
    </w:p>
    <w:p>
      <w:pPr>
        <w:autoSpaceDE w:val="0"/>
        <w:autoSpaceDN w:val="0"/>
        <w:adjustRightInd w:val="0"/>
        <w:ind w:left="198" w:firstLine="643" w:firstLineChars="200"/>
        <w:jc w:val="left"/>
        <w:rPr>
          <w:rFonts w:ascii="黑体" w:hAnsi="黑体" w:eastAsia="黑体" w:cs="Times New Roman"/>
          <w:b/>
          <w:sz w:val="32"/>
          <w:szCs w:val="32"/>
        </w:rPr>
      </w:pPr>
    </w:p>
    <w:p>
      <w:pPr>
        <w:autoSpaceDE w:val="0"/>
        <w:autoSpaceDN w:val="0"/>
        <w:adjustRightInd w:val="0"/>
        <w:ind w:left="198" w:firstLine="640" w:firstLineChars="200"/>
        <w:jc w:val="left"/>
        <w:rPr>
          <w:rFonts w:ascii="Times New Roman" w:hAnsi="Times New Roman" w:eastAsia="方正仿宋_GBK" w:cs="Times New Roman"/>
          <w:b/>
          <w:sz w:val="32"/>
          <w:szCs w:val="32"/>
        </w:rPr>
      </w:pPr>
      <w:bookmarkStart w:id="0" w:name="_Toc471398463"/>
      <w:r>
        <w:rPr>
          <w:rFonts w:hint="eastAsia" w:ascii="Times New Roman" w:hAnsi="Times New Roman" w:eastAsia="方正仿宋_GBK" w:cs="Times New Roman"/>
          <w:b/>
          <w:sz w:val="32"/>
          <w:szCs w:val="32"/>
        </w:rPr>
        <w:t>（二）分项绩效目标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1、</w:t>
      </w:r>
      <w:r>
        <w:rPr>
          <w:rFonts w:ascii="仿宋" w:hAnsi="仿宋" w:eastAsia="仿宋"/>
          <w:sz w:val="32"/>
        </w:rPr>
        <w:t>管理和指导全县文化建设，推进文化发展环境能力建设，提供公共文化服务、文化艺术资源建设和文化艺术生产。文化发展环境健康向上，文化发展能力不断增强，文化艺术资源丰富，公共文化服务和文化艺术生产水平不断提高，河北文化影响力日益扩大。完成国家下达的广播电视直播卫星户户通工程、农村电影工作、县城数字影院升级改造、农家书屋建设、全民阅读活动、老放映员生活补助以及应急广播体系建设等任务目标;收藏工作有序开展，文化艺术作品进一步丰富，专业艺术创作生产能力和地位不断提高。收藏设施设备和物品等国有资产安全完整、高效利用。公共文化设施达标，机构和队伍健全，实现公共文化资源共享，形成城乡一体公共文化服务网络；公共文化产品生产和服务能力提高，基本公共文化服务标准化、均等化水平不断提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 xml:space="preserve">   </w:t>
      </w:r>
      <w:r>
        <w:rPr>
          <w:rFonts w:hint="eastAsia" w:ascii="仿宋" w:hAnsi="仿宋" w:eastAsia="仿宋"/>
          <w:sz w:val="32"/>
        </w:rPr>
        <w:t>2、</w:t>
      </w:r>
      <w:r>
        <w:rPr>
          <w:rFonts w:ascii="仿宋" w:hAnsi="仿宋" w:eastAsia="仿宋"/>
          <w:sz w:val="32"/>
        </w:rPr>
        <w:t>指导、组织县优秀文化产品、服务和品牌活动宣传推介；组织全县对外文化交流活动。对外文化交流档次和水平提升，对外文化贸易不断发展，我省文化国内国际影响力扩大。全方位宣传推介县文化艺术资源，提升对外交流水平和档次。推动更多文化项目入选世界、国家名录和扶持项目；推动更多文化项目取得大赛名次和被认知；提高县文化的影响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 xml:space="preserve">   </w:t>
      </w:r>
      <w:r>
        <w:rPr>
          <w:rFonts w:hint="eastAsia" w:ascii="仿宋" w:hAnsi="仿宋" w:eastAsia="仿宋"/>
          <w:sz w:val="32"/>
        </w:rPr>
        <w:t>3、</w:t>
      </w:r>
      <w:r>
        <w:rPr>
          <w:rFonts w:ascii="仿宋" w:hAnsi="仿宋" w:eastAsia="仿宋"/>
          <w:sz w:val="32"/>
        </w:rPr>
        <w:t>指导、组织开展文化保护工作；组织实施优秀民族文化的传承普及工作；维护国家文化安全。 构建健全的文化保护体系，文化保护工作得到全面加强，优秀文化得到传承和发扬。珍贵、濒危的非物质文化遗产得到有效抢救和保护，优秀特色文化得到传承和发扬。</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 xml:space="preserve">    </w:t>
      </w:r>
      <w:r>
        <w:rPr>
          <w:rFonts w:hint="eastAsia" w:ascii="仿宋" w:hAnsi="仿宋" w:eastAsia="仿宋"/>
          <w:sz w:val="32"/>
        </w:rPr>
        <w:t>4、</w:t>
      </w:r>
      <w:r>
        <w:rPr>
          <w:rFonts w:ascii="仿宋" w:hAnsi="仿宋" w:eastAsia="仿宋"/>
          <w:sz w:val="32"/>
        </w:rPr>
        <w:t>负责系统综合业务管理和机关综合事务管理。确保各项业务工作谋划到位、顺利开展。保障机关工作正常高效运转。确保各项业务工作谋划到位、顺利开展。保障机关工作正常高效运转。</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9"/>
      <w:r>
        <w:rPr>
          <w:rFonts w:hint="eastAsia" w:ascii="Times New Roman" w:hAnsi="Times New Roman" w:eastAsia="方正仿宋_GBK" w:cs="Times New Roman"/>
          <w:b/>
          <w:sz w:val="32"/>
          <w:szCs w:val="32"/>
        </w:rPr>
        <w:instrText xml:space="preserve">分项绩效目标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仿宋" w:hAnsi="仿宋" w:eastAsia="仿宋" w:cs="仿宋"/>
          <w:kern w:val="0"/>
          <w:sz w:val="32"/>
          <w:szCs w:val="32"/>
        </w:rPr>
      </w:pPr>
      <w:r>
        <w:rPr>
          <w:rFonts w:ascii="仿宋" w:hAnsi="Times New Roman" w:eastAsia="仿宋" w:cs="仿宋"/>
          <w:kern w:val="0"/>
          <w:sz w:val="32"/>
          <w:szCs w:val="32"/>
        </w:rPr>
        <w:t>2020</w:t>
      </w:r>
      <w:r>
        <w:rPr>
          <w:rFonts w:hint="eastAsia" w:ascii="仿宋" w:hAnsi="仿宋" w:eastAsia="仿宋" w:cs="仿宋"/>
          <w:kern w:val="0"/>
          <w:sz w:val="32"/>
          <w:szCs w:val="32"/>
        </w:rPr>
        <w:t>年</w:t>
      </w:r>
      <w:r>
        <w:rPr>
          <w:rFonts w:ascii="仿宋" w:hAnsi="仿宋" w:eastAsia="仿宋" w:cs="仿宋"/>
          <w:kern w:val="0"/>
          <w:sz w:val="32"/>
          <w:szCs w:val="32"/>
        </w:rPr>
        <w:t xml:space="preserve">, </w:t>
      </w:r>
      <w:r>
        <w:rPr>
          <w:rFonts w:hint="eastAsia" w:ascii="仿宋" w:hAnsi="仿宋" w:eastAsia="仿宋" w:cs="仿宋"/>
          <w:kern w:val="0"/>
          <w:sz w:val="32"/>
          <w:szCs w:val="32"/>
        </w:rPr>
        <w:t>我局将继续按照县委、县政府和省市文化广电体育和旅游部门的安排部署，坚持以习近平新时代中国特色社会主义思想为指导，紧紧国绕县委、</w:t>
      </w:r>
      <w:r>
        <w:rPr>
          <w:rFonts w:hint="eastAsia" w:ascii="仿宋" w:hAnsi="仿宋" w:eastAsia="仿宋" w:cs="仿宋"/>
          <w:kern w:val="0"/>
          <w:sz w:val="32"/>
          <w:szCs w:val="32"/>
          <w:lang w:val="en-US" w:eastAsia="zh-CN"/>
        </w:rPr>
        <w:t>县</w:t>
      </w:r>
      <w:r>
        <w:rPr>
          <w:rFonts w:hint="eastAsia" w:ascii="仿宋" w:hAnsi="仿宋" w:eastAsia="仿宋" w:cs="仿宋"/>
          <w:kern w:val="0"/>
          <w:sz w:val="32"/>
          <w:szCs w:val="32"/>
        </w:rPr>
        <w:t>政府决策部署和全县中心工作，创新工作举措，细化工作责任</w:t>
      </w:r>
      <w:r>
        <w:rPr>
          <w:rFonts w:ascii="仿宋" w:hAnsi="仿宋" w:eastAsia="仿宋" w:cs="仿宋"/>
          <w:kern w:val="0"/>
          <w:sz w:val="32"/>
          <w:szCs w:val="32"/>
        </w:rPr>
        <w:t>,</w:t>
      </w:r>
      <w:r>
        <w:rPr>
          <w:rFonts w:hint="eastAsia" w:ascii="仿宋" w:hAnsi="仿宋" w:eastAsia="仿宋" w:cs="仿宋"/>
          <w:kern w:val="0"/>
          <w:sz w:val="32"/>
          <w:szCs w:val="32"/>
        </w:rPr>
        <w:t>狠抓项目建设</w:t>
      </w:r>
      <w:r>
        <w:rPr>
          <w:rFonts w:ascii="仿宋" w:hAnsi="仿宋" w:eastAsia="仿宋" w:cs="仿宋"/>
          <w:kern w:val="0"/>
          <w:sz w:val="32"/>
          <w:szCs w:val="32"/>
        </w:rPr>
        <w:t>,</w:t>
      </w:r>
      <w:r>
        <w:rPr>
          <w:rFonts w:hint="eastAsia" w:ascii="仿宋" w:hAnsi="仿宋" w:eastAsia="仿宋" w:cs="仿宋"/>
          <w:kern w:val="0"/>
          <w:sz w:val="32"/>
          <w:szCs w:val="32"/>
        </w:rPr>
        <w:t>不断加大“唐尧圣地</w:t>
      </w:r>
      <w:r>
        <w:rPr>
          <w:rFonts w:ascii="仿宋" w:hAnsi="仿宋" w:eastAsia="仿宋" w:cs="仿宋"/>
          <w:kern w:val="0"/>
          <w:sz w:val="32"/>
          <w:szCs w:val="32"/>
        </w:rPr>
        <w:t xml:space="preserve"> </w:t>
      </w:r>
      <w:r>
        <w:rPr>
          <w:rFonts w:hint="eastAsia" w:ascii="仿宋" w:hAnsi="仿宋" w:eastAsia="仿宋" w:cs="仿宋"/>
          <w:kern w:val="0"/>
          <w:sz w:val="32"/>
          <w:szCs w:val="32"/>
        </w:rPr>
        <w:t>李氏故里”文化品牌的打造力度，促进我县文化体育和旅游事业的发展。重点做好以下六方面工作：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黑体" w:hAnsi="黑体" w:eastAsia="黑体"/>
          <w:kern w:val="0"/>
          <w:sz w:val="32"/>
          <w:szCs w:val="32"/>
        </w:rPr>
      </w:pPr>
      <w:r>
        <w:rPr>
          <w:rFonts w:hint="eastAsia" w:ascii="黑体" w:hAnsi="黑体" w:eastAsia="黑体"/>
          <w:kern w:val="0"/>
          <w:sz w:val="32"/>
          <w:szCs w:val="32"/>
        </w:rPr>
        <w:t>1、群众文化工作</w:t>
      </w:r>
      <w:bookmarkStart w:id="36" w:name="_GoBack"/>
      <w:bookmarkEnd w:id="36"/>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482"/>
        <w:rPr>
          <w:rFonts w:ascii="仿宋" w:hAnsi="仿宋" w:eastAsia="仿宋" w:cs="仿宋"/>
          <w:kern w:val="0"/>
          <w:sz w:val="32"/>
          <w:szCs w:val="32"/>
        </w:rPr>
      </w:pPr>
      <w:r>
        <w:rPr>
          <w:rFonts w:hint="eastAsia" w:ascii="宋体" w:hAnsi="宋体" w:cs="宋体"/>
          <w:b/>
          <w:bCs/>
          <w:kern w:val="0"/>
          <w:sz w:val="32"/>
          <w:szCs w:val="32"/>
        </w:rPr>
        <w:t>①</w:t>
      </w:r>
      <w:r>
        <w:rPr>
          <w:rFonts w:hint="eastAsia" w:ascii="仿宋" w:hAnsi="仿宋" w:eastAsia="仿宋" w:cs="仿宋"/>
          <w:b/>
          <w:bCs/>
          <w:kern w:val="0"/>
          <w:sz w:val="32"/>
          <w:szCs w:val="32"/>
        </w:rPr>
        <w:t>规范乡镇综合文化站和农村图书室的工作。</w:t>
      </w:r>
      <w:r>
        <w:rPr>
          <w:rFonts w:hint="eastAsia" w:ascii="仿宋" w:hAnsi="仿宋" w:eastAsia="仿宋" w:cs="仿宋"/>
          <w:kern w:val="0"/>
          <w:sz w:val="32"/>
          <w:szCs w:val="32"/>
        </w:rPr>
        <w:t>省委第八巡视组对我县开展了常规巡视</w:t>
      </w:r>
      <w:r>
        <w:rPr>
          <w:rFonts w:ascii="仿宋" w:hAnsi="仿宋" w:eastAsia="仿宋" w:cs="仿宋"/>
          <w:kern w:val="0"/>
          <w:sz w:val="32"/>
          <w:szCs w:val="32"/>
        </w:rPr>
        <w:t>,</w:t>
      </w:r>
      <w:r>
        <w:rPr>
          <w:rFonts w:hint="eastAsia" w:ascii="仿宋" w:hAnsi="仿宋" w:eastAsia="仿宋" w:cs="仿宋"/>
          <w:kern w:val="0"/>
          <w:sz w:val="32"/>
          <w:szCs w:val="32"/>
        </w:rPr>
        <w:t>在省委巡视组《关于巡视检查隆尧县委落实意识形态工作责任制情况的报告》涉及到我局在意识形态工作中存在的问题，我局党组主动认领，认真进行了整改。</w:t>
      </w:r>
      <w:r>
        <w:rPr>
          <w:rFonts w:ascii="仿宋" w:hAnsi="仿宋" w:eastAsia="仿宋" w:cs="仿宋"/>
          <w:kern w:val="0"/>
          <w:sz w:val="32"/>
          <w:szCs w:val="32"/>
        </w:rPr>
        <w:t>2020</w:t>
      </w:r>
      <w:r>
        <w:rPr>
          <w:rFonts w:hint="eastAsia" w:ascii="仿宋" w:hAnsi="仿宋" w:eastAsia="仿宋" w:cs="仿宋"/>
          <w:kern w:val="0"/>
          <w:sz w:val="32"/>
          <w:szCs w:val="32"/>
        </w:rPr>
        <w:t>年我们要认真巩固整改成果，进一步加强乡镇综合文化站、农村图书室等基层文化阵地建设，规范其活动，组织引导其开展形式多样的文化宣传活动，满足广大基层群众对精神文化生活的需求。</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②</w:t>
      </w:r>
      <w:r>
        <w:rPr>
          <w:rFonts w:hint="eastAsia" w:ascii="仿宋" w:hAnsi="仿宋" w:eastAsia="仿宋" w:cs="仿宋"/>
          <w:b/>
          <w:bCs/>
          <w:kern w:val="0"/>
          <w:sz w:val="32"/>
          <w:szCs w:val="32"/>
        </w:rPr>
        <w:t>抓好重大节庆日文化活动。</w:t>
      </w:r>
      <w:r>
        <w:rPr>
          <w:rFonts w:hint="eastAsia" w:ascii="仿宋" w:hAnsi="仿宋" w:eastAsia="仿宋" w:cs="仿宋"/>
          <w:kern w:val="0"/>
          <w:sz w:val="32"/>
          <w:szCs w:val="32"/>
        </w:rPr>
        <w:t>组织开展“双节”、五一、七一、十一、中秋节、重阳节等重大节庆日和农闲时节的文化宣传活动。</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③</w:t>
      </w:r>
      <w:r>
        <w:rPr>
          <w:rFonts w:hint="eastAsia" w:ascii="仿宋" w:hAnsi="仿宋" w:eastAsia="仿宋" w:cs="仿宋"/>
          <w:b/>
          <w:bCs/>
          <w:kern w:val="0"/>
          <w:sz w:val="32"/>
          <w:szCs w:val="32"/>
        </w:rPr>
        <w:t>继续开展好文化下乡和文化惠民活动。</w:t>
      </w:r>
      <w:r>
        <w:rPr>
          <w:rFonts w:ascii="仿宋" w:hAnsi="Times New Roman" w:eastAsia="仿宋" w:cs="仿宋"/>
          <w:kern w:val="0"/>
          <w:sz w:val="32"/>
          <w:szCs w:val="32"/>
        </w:rPr>
        <w:t>2020</w:t>
      </w:r>
      <w:r>
        <w:rPr>
          <w:rFonts w:hint="eastAsia" w:ascii="仿宋" w:hAnsi="仿宋" w:eastAsia="仿宋" w:cs="仿宋"/>
          <w:kern w:val="0"/>
          <w:sz w:val="32"/>
          <w:szCs w:val="32"/>
        </w:rPr>
        <w:t>年全年文化下乡和文化惠民演出达到</w:t>
      </w:r>
      <w:r>
        <w:rPr>
          <w:rFonts w:ascii="仿宋" w:hAnsi="仿宋" w:eastAsia="仿宋" w:cs="仿宋"/>
          <w:kern w:val="0"/>
          <w:sz w:val="32"/>
          <w:szCs w:val="32"/>
        </w:rPr>
        <w:t>65</w:t>
      </w:r>
      <w:r>
        <w:rPr>
          <w:rFonts w:hint="eastAsia" w:ascii="仿宋" w:hAnsi="仿宋" w:eastAsia="仿宋" w:cs="仿宋"/>
          <w:kern w:val="0"/>
          <w:sz w:val="32"/>
          <w:szCs w:val="32"/>
        </w:rPr>
        <w:t>场以上。</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④</w:t>
      </w:r>
      <w:r>
        <w:rPr>
          <w:rFonts w:hint="eastAsia" w:ascii="仿宋" w:hAnsi="仿宋" w:eastAsia="仿宋" w:cs="仿宋"/>
          <w:b/>
          <w:bCs/>
          <w:kern w:val="0"/>
          <w:sz w:val="32"/>
          <w:szCs w:val="32"/>
        </w:rPr>
        <w:t>繁荣文化创作。</w:t>
      </w:r>
      <w:r>
        <w:rPr>
          <w:rFonts w:hint="eastAsia" w:ascii="仿宋" w:hAnsi="仿宋" w:eastAsia="仿宋" w:cs="仿宋"/>
          <w:kern w:val="0"/>
          <w:sz w:val="32"/>
          <w:szCs w:val="32"/>
        </w:rPr>
        <w:t>摸清全县业余演出团体、演出阵地、演出阵容、演出内容底数，进行规范管理。扶持建设优秀文艺基地和文化团队，充分利用社会力量开展公共文化服务活动。开展“群众点单”活动，将文化馆、图书馆、美术馆等可以提供的公共文化服务活动网上公开，由群众点单，文化馆根据群众点单量确定服务项目，真正做到按需服务。</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仿宋" w:hAnsi="仿宋" w:eastAsia="仿宋" w:cs="仿宋"/>
          <w:kern w:val="0"/>
          <w:sz w:val="32"/>
          <w:szCs w:val="32"/>
        </w:rPr>
      </w:pPr>
      <w:r>
        <w:rPr>
          <w:rFonts w:hint="eastAsia" w:ascii="仿宋" w:hAnsi="仿宋" w:eastAsia="仿宋" w:cs="仿宋"/>
          <w:kern w:val="0"/>
          <w:sz w:val="32"/>
          <w:szCs w:val="32"/>
        </w:rPr>
        <w:t>全年组织文化骨干和文艺爱好者开展外出采风</w:t>
      </w:r>
      <w:r>
        <w:rPr>
          <w:rFonts w:ascii="仿宋" w:hAnsi="仿宋" w:eastAsia="仿宋" w:cs="仿宋"/>
          <w:kern w:val="0"/>
          <w:sz w:val="32"/>
          <w:szCs w:val="32"/>
        </w:rPr>
        <w:t>2</w:t>
      </w:r>
      <w:r>
        <w:rPr>
          <w:rFonts w:hint="eastAsia" w:ascii="仿宋" w:hAnsi="仿宋" w:eastAsia="仿宋" w:cs="仿宋"/>
          <w:kern w:val="0"/>
          <w:sz w:val="32"/>
          <w:szCs w:val="32"/>
        </w:rPr>
        <w:t>次以上，创作书法绘画作品</w:t>
      </w:r>
      <w:r>
        <w:rPr>
          <w:rFonts w:ascii="仿宋" w:hAnsi="仿宋" w:eastAsia="仿宋" w:cs="仿宋"/>
          <w:kern w:val="0"/>
          <w:sz w:val="32"/>
          <w:szCs w:val="32"/>
        </w:rPr>
        <w:t>80</w:t>
      </w:r>
      <w:r>
        <w:rPr>
          <w:rFonts w:hint="eastAsia" w:ascii="仿宋" w:hAnsi="仿宋" w:eastAsia="仿宋" w:cs="仿宋"/>
          <w:kern w:val="0"/>
          <w:sz w:val="32"/>
          <w:szCs w:val="32"/>
        </w:rPr>
        <w:t>副，诗歌、散文、小说、戏曲、曲艺等作品</w:t>
      </w:r>
      <w:r>
        <w:rPr>
          <w:rFonts w:ascii="仿宋" w:hAnsi="仿宋" w:eastAsia="仿宋" w:cs="仿宋"/>
          <w:kern w:val="0"/>
          <w:sz w:val="32"/>
          <w:szCs w:val="32"/>
        </w:rPr>
        <w:t>100</w:t>
      </w:r>
      <w:r>
        <w:rPr>
          <w:rFonts w:hint="eastAsia" w:ascii="仿宋" w:hAnsi="仿宋" w:eastAsia="仿宋" w:cs="仿宋"/>
          <w:kern w:val="0"/>
          <w:sz w:val="32"/>
          <w:szCs w:val="32"/>
        </w:rPr>
        <w:t>件以上。宣传我县经济社会发展成果和党的十九届四中全会精神。</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b/>
          <w:bCs/>
          <w:kern w:val="0"/>
          <w:sz w:val="32"/>
          <w:szCs w:val="32"/>
        </w:rPr>
      </w:pPr>
      <w:r>
        <w:rPr>
          <w:rFonts w:hint="eastAsia" w:ascii="宋体" w:hAnsi="宋体" w:cs="宋体"/>
          <w:b/>
          <w:bCs/>
          <w:kern w:val="0"/>
          <w:sz w:val="32"/>
          <w:szCs w:val="32"/>
        </w:rPr>
        <w:t>⑤</w:t>
      </w:r>
      <w:r>
        <w:rPr>
          <w:rFonts w:hint="eastAsia" w:ascii="仿宋" w:hAnsi="仿宋" w:eastAsia="仿宋" w:cs="仿宋"/>
          <w:b/>
          <w:bCs/>
          <w:kern w:val="0"/>
          <w:sz w:val="32"/>
          <w:szCs w:val="32"/>
        </w:rPr>
        <w:t>进一步推进文化馆总分馆、图书馆总分馆建设，继续开展“全民阅读</w:t>
      </w:r>
      <w:r>
        <w:rPr>
          <w:rFonts w:ascii="仿宋" w:hAnsi="仿宋" w:eastAsia="仿宋" w:cs="仿宋"/>
          <w:b/>
          <w:bCs/>
          <w:kern w:val="0"/>
          <w:sz w:val="32"/>
          <w:szCs w:val="32"/>
        </w:rPr>
        <w:t xml:space="preserve"> </w:t>
      </w:r>
      <w:r>
        <w:rPr>
          <w:rFonts w:hint="eastAsia" w:ascii="仿宋" w:hAnsi="仿宋" w:eastAsia="仿宋" w:cs="仿宋"/>
          <w:b/>
          <w:bCs/>
          <w:kern w:val="0"/>
          <w:sz w:val="32"/>
          <w:szCs w:val="32"/>
        </w:rPr>
        <w:t>书香隆尧”活动。</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黑体" w:hAnsi="黑体" w:eastAsia="黑体"/>
          <w:kern w:val="0"/>
          <w:sz w:val="32"/>
          <w:szCs w:val="32"/>
        </w:rPr>
      </w:pPr>
      <w:r>
        <w:rPr>
          <w:rFonts w:hint="eastAsia" w:ascii="黑体" w:hAnsi="黑体" w:eastAsia="黑体"/>
          <w:kern w:val="0"/>
          <w:sz w:val="32"/>
          <w:szCs w:val="32"/>
        </w:rPr>
        <w:t>2、体育工作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rPr>
          <w:rFonts w:ascii="仿宋" w:hAnsi="仿宋" w:eastAsia="仿宋" w:cs="仿宋"/>
          <w:kern w:val="0"/>
          <w:sz w:val="32"/>
          <w:szCs w:val="32"/>
        </w:rPr>
      </w:pPr>
      <w:r>
        <w:rPr>
          <w:rFonts w:ascii="仿宋" w:hAnsi="Times New Roman" w:eastAsia="仿宋" w:cs="仿宋"/>
          <w:kern w:val="0"/>
          <w:sz w:val="32"/>
          <w:szCs w:val="32"/>
        </w:rPr>
        <w:tab/>
      </w:r>
      <w:r>
        <w:rPr>
          <w:rFonts w:hint="eastAsia" w:ascii="宋体" w:hAnsi="宋体" w:cs="宋体"/>
          <w:b/>
          <w:bCs/>
          <w:kern w:val="0"/>
          <w:sz w:val="32"/>
          <w:szCs w:val="32"/>
        </w:rPr>
        <w:t>①</w:t>
      </w:r>
      <w:r>
        <w:rPr>
          <w:rFonts w:hint="eastAsia" w:ascii="仿宋" w:hAnsi="仿宋" w:eastAsia="仿宋" w:cs="仿宋"/>
          <w:b/>
          <w:bCs/>
          <w:kern w:val="0"/>
          <w:sz w:val="32"/>
          <w:szCs w:val="32"/>
        </w:rPr>
        <w:t>全民健身中心投入使用。</w:t>
      </w:r>
      <w:r>
        <w:rPr>
          <w:rFonts w:hint="eastAsia" w:ascii="仿宋" w:hAnsi="仿宋" w:eastAsia="仿宋" w:cs="仿宋"/>
          <w:kern w:val="0"/>
          <w:sz w:val="32"/>
          <w:szCs w:val="32"/>
        </w:rPr>
        <w:t>完成县全民健身中心附属及配套工程建设，争取</w:t>
      </w:r>
      <w:r>
        <w:rPr>
          <w:rFonts w:ascii="仿宋" w:hAnsi="仿宋" w:eastAsia="仿宋" w:cs="仿宋"/>
          <w:kern w:val="0"/>
          <w:sz w:val="32"/>
          <w:szCs w:val="32"/>
        </w:rPr>
        <w:t>2020</w:t>
      </w:r>
      <w:r>
        <w:rPr>
          <w:rFonts w:hint="eastAsia" w:ascii="仿宋" w:hAnsi="仿宋" w:eastAsia="仿宋" w:cs="仿宋"/>
          <w:kern w:val="0"/>
          <w:sz w:val="32"/>
          <w:szCs w:val="32"/>
        </w:rPr>
        <w:t>年试运行，为全县人民群众提供正规、规范和舒适的健身场所。</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②</w:t>
      </w:r>
      <w:r>
        <w:rPr>
          <w:rFonts w:hint="eastAsia" w:ascii="仿宋" w:hAnsi="仿宋" w:eastAsia="仿宋" w:cs="仿宋"/>
          <w:b/>
          <w:bCs/>
          <w:kern w:val="0"/>
          <w:sz w:val="32"/>
          <w:szCs w:val="32"/>
        </w:rPr>
        <w:t>完成足球场建设。</w:t>
      </w:r>
      <w:r>
        <w:rPr>
          <w:rFonts w:hint="eastAsia" w:ascii="仿宋" w:hAnsi="仿宋" w:eastAsia="仿宋" w:cs="仿宋"/>
          <w:kern w:val="0"/>
          <w:sz w:val="32"/>
          <w:szCs w:val="32"/>
        </w:rPr>
        <w:t>完成投资</w:t>
      </w:r>
      <w:r>
        <w:rPr>
          <w:rFonts w:ascii="仿宋" w:hAnsi="仿宋" w:eastAsia="仿宋" w:cs="仿宋"/>
          <w:kern w:val="0"/>
          <w:sz w:val="32"/>
          <w:szCs w:val="32"/>
        </w:rPr>
        <w:t>480</w:t>
      </w:r>
      <w:r>
        <w:rPr>
          <w:rFonts w:hint="eastAsia" w:ascii="仿宋" w:hAnsi="仿宋" w:eastAsia="仿宋" w:cs="仿宋"/>
          <w:kern w:val="0"/>
          <w:sz w:val="32"/>
          <w:szCs w:val="32"/>
        </w:rPr>
        <w:t>万元的隆尧县足球场建设，增加我县人民锻炼、健身、比赛的种类和场地。</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③</w:t>
      </w:r>
      <w:r>
        <w:rPr>
          <w:rFonts w:hint="eastAsia" w:ascii="仿宋" w:hAnsi="仿宋" w:eastAsia="仿宋" w:cs="仿宋"/>
          <w:b/>
          <w:bCs/>
          <w:kern w:val="0"/>
          <w:sz w:val="32"/>
          <w:szCs w:val="32"/>
        </w:rPr>
        <w:t>争取启动滑冰馆和冰雪运动基础设施建设。</w:t>
      </w:r>
      <w:r>
        <w:rPr>
          <w:rFonts w:hint="eastAsia" w:ascii="仿宋" w:hAnsi="仿宋" w:eastAsia="仿宋" w:cs="仿宋"/>
          <w:kern w:val="0"/>
          <w:sz w:val="32"/>
          <w:szCs w:val="32"/>
        </w:rPr>
        <w:t>按照省市要求力争完成我县室内滑冰馆和冰雪运动基础设施建设，为实现我市</w:t>
      </w:r>
      <w:r>
        <w:rPr>
          <w:rFonts w:ascii="仿宋" w:hAnsi="仿宋" w:eastAsia="仿宋" w:cs="仿宋"/>
          <w:kern w:val="0"/>
          <w:sz w:val="32"/>
          <w:szCs w:val="32"/>
        </w:rPr>
        <w:t>300</w:t>
      </w:r>
      <w:r>
        <w:rPr>
          <w:rFonts w:hint="eastAsia" w:ascii="仿宋" w:hAnsi="仿宋" w:eastAsia="仿宋" w:cs="仿宋"/>
          <w:kern w:val="0"/>
          <w:sz w:val="32"/>
          <w:szCs w:val="32"/>
        </w:rPr>
        <w:t>万人参加冰雪活动奠定基础。</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④</w:t>
      </w:r>
      <w:r>
        <w:rPr>
          <w:rFonts w:hint="eastAsia" w:ascii="仿宋" w:hAnsi="仿宋" w:eastAsia="仿宋" w:cs="仿宋"/>
          <w:b/>
          <w:bCs/>
          <w:kern w:val="0"/>
          <w:sz w:val="32"/>
          <w:szCs w:val="32"/>
        </w:rPr>
        <w:t>实现全县全民健身路径全覆盖。</w:t>
      </w:r>
      <w:r>
        <w:rPr>
          <w:rFonts w:hint="eastAsia" w:ascii="仿宋" w:hAnsi="仿宋" w:eastAsia="仿宋" w:cs="仿宋"/>
          <w:kern w:val="0"/>
          <w:sz w:val="32"/>
          <w:szCs w:val="32"/>
        </w:rPr>
        <w:t>我县共有</w:t>
      </w:r>
      <w:r>
        <w:rPr>
          <w:rFonts w:ascii="仿宋" w:hAnsi="仿宋" w:eastAsia="仿宋" w:cs="仿宋"/>
          <w:kern w:val="0"/>
          <w:sz w:val="32"/>
          <w:szCs w:val="32"/>
        </w:rPr>
        <w:t>276</w:t>
      </w:r>
      <w:r>
        <w:rPr>
          <w:rFonts w:hint="eastAsia" w:ascii="仿宋" w:hAnsi="仿宋" w:eastAsia="仿宋" w:cs="仿宋"/>
          <w:kern w:val="0"/>
          <w:sz w:val="32"/>
          <w:szCs w:val="32"/>
        </w:rPr>
        <w:t>个村，自</w:t>
      </w:r>
      <w:r>
        <w:rPr>
          <w:rFonts w:ascii="仿宋" w:hAnsi="仿宋" w:eastAsia="仿宋" w:cs="仿宋"/>
          <w:kern w:val="0"/>
          <w:sz w:val="32"/>
          <w:szCs w:val="32"/>
        </w:rPr>
        <w:t>2012</w:t>
      </w:r>
      <w:r>
        <w:rPr>
          <w:rFonts w:hint="eastAsia" w:ascii="仿宋" w:hAnsi="仿宋" w:eastAsia="仿宋" w:cs="仿宋"/>
          <w:kern w:val="0"/>
          <w:sz w:val="32"/>
          <w:szCs w:val="32"/>
        </w:rPr>
        <w:t>年来，已在</w:t>
      </w:r>
      <w:r>
        <w:rPr>
          <w:rFonts w:ascii="仿宋" w:hAnsi="仿宋" w:eastAsia="仿宋" w:cs="仿宋"/>
          <w:kern w:val="0"/>
          <w:sz w:val="32"/>
          <w:szCs w:val="32"/>
        </w:rPr>
        <w:t>236</w:t>
      </w:r>
      <w:r>
        <w:rPr>
          <w:rFonts w:hint="eastAsia" w:ascii="仿宋" w:hAnsi="仿宋" w:eastAsia="仿宋" w:cs="仿宋"/>
          <w:kern w:val="0"/>
          <w:sz w:val="32"/>
          <w:szCs w:val="32"/>
        </w:rPr>
        <w:t>个以上村建设安装了全民健身路径，尚有</w:t>
      </w:r>
      <w:r>
        <w:rPr>
          <w:rFonts w:ascii="仿宋" w:hAnsi="仿宋" w:eastAsia="仿宋" w:cs="仿宋"/>
          <w:kern w:val="0"/>
          <w:sz w:val="32"/>
          <w:szCs w:val="32"/>
        </w:rPr>
        <w:t>30</w:t>
      </w:r>
      <w:r>
        <w:rPr>
          <w:rFonts w:hint="eastAsia" w:ascii="仿宋" w:hAnsi="仿宋" w:eastAsia="仿宋" w:cs="仿宋"/>
          <w:kern w:val="0"/>
          <w:sz w:val="32"/>
          <w:szCs w:val="32"/>
        </w:rPr>
        <w:t>余个村为全民健身路径空白点，有</w:t>
      </w:r>
      <w:r>
        <w:rPr>
          <w:rFonts w:ascii="仿宋" w:hAnsi="仿宋" w:eastAsia="仿宋" w:cs="仿宋"/>
          <w:kern w:val="0"/>
          <w:sz w:val="32"/>
          <w:szCs w:val="32"/>
        </w:rPr>
        <w:t>10</w:t>
      </w:r>
      <w:r>
        <w:rPr>
          <w:rFonts w:hint="eastAsia" w:ascii="仿宋" w:hAnsi="仿宋" w:eastAsia="仿宋" w:cs="仿宋"/>
          <w:kern w:val="0"/>
          <w:sz w:val="32"/>
          <w:szCs w:val="32"/>
        </w:rPr>
        <w:t>余个村全民健身路径损毁严重。</w:t>
      </w:r>
      <w:r>
        <w:rPr>
          <w:rFonts w:ascii="仿宋" w:hAnsi="仿宋" w:eastAsia="仿宋" w:cs="仿宋"/>
          <w:kern w:val="0"/>
          <w:sz w:val="32"/>
          <w:szCs w:val="32"/>
        </w:rPr>
        <w:t>2020</w:t>
      </w:r>
      <w:r>
        <w:rPr>
          <w:rFonts w:hint="eastAsia" w:ascii="仿宋" w:hAnsi="仿宋" w:eastAsia="仿宋" w:cs="仿宋"/>
          <w:kern w:val="0"/>
          <w:sz w:val="32"/>
          <w:szCs w:val="32"/>
        </w:rPr>
        <w:t>年为上述</w:t>
      </w:r>
      <w:r>
        <w:rPr>
          <w:rFonts w:ascii="仿宋" w:hAnsi="仿宋" w:eastAsia="仿宋" w:cs="仿宋"/>
          <w:kern w:val="0"/>
          <w:sz w:val="32"/>
          <w:szCs w:val="32"/>
        </w:rPr>
        <w:t>40</w:t>
      </w:r>
      <w:r>
        <w:rPr>
          <w:rFonts w:hint="eastAsia" w:ascii="仿宋" w:hAnsi="仿宋" w:eastAsia="仿宋" w:cs="仿宋"/>
          <w:kern w:val="0"/>
          <w:sz w:val="32"/>
          <w:szCs w:val="32"/>
        </w:rPr>
        <w:t>余个村安装全民健身路径，为全县农村群众提供就近方便的健身场所和设施。达到全县农村全民健身路径全覆盖。</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黑体" w:hAnsi="黑体" w:eastAsia="黑体"/>
          <w:kern w:val="0"/>
          <w:sz w:val="32"/>
          <w:szCs w:val="32"/>
        </w:rPr>
      </w:pPr>
      <w:r>
        <w:rPr>
          <w:rFonts w:hint="eastAsia" w:ascii="黑体" w:hAnsi="黑体" w:eastAsia="黑体"/>
          <w:kern w:val="0"/>
          <w:sz w:val="32"/>
          <w:szCs w:val="32"/>
        </w:rPr>
        <w:t>3、旅游工作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仿宋" w:hAnsi="仿宋" w:eastAsia="仿宋" w:cs="仿宋"/>
          <w:kern w:val="0"/>
          <w:sz w:val="32"/>
          <w:szCs w:val="32"/>
        </w:rPr>
      </w:pPr>
      <w:r>
        <w:rPr>
          <w:rFonts w:hint="eastAsia" w:ascii="宋体" w:hAnsi="宋体" w:cs="宋体"/>
          <w:kern w:val="0"/>
          <w:sz w:val="32"/>
          <w:szCs w:val="32"/>
        </w:rPr>
        <w:t>①</w:t>
      </w:r>
      <w:r>
        <w:rPr>
          <w:rFonts w:hint="eastAsia" w:ascii="仿宋" w:hAnsi="仿宋" w:eastAsia="仿宋" w:cs="仿宋"/>
          <w:kern w:val="0"/>
          <w:sz w:val="32"/>
          <w:szCs w:val="32"/>
        </w:rPr>
        <w:t>举办隆尧县第二届旅游发展大会，承办好</w:t>
      </w:r>
      <w:r>
        <w:rPr>
          <w:rFonts w:ascii="仿宋" w:hAnsi="仿宋" w:eastAsia="仿宋" w:cs="仿宋"/>
          <w:kern w:val="0"/>
          <w:sz w:val="32"/>
          <w:szCs w:val="32"/>
        </w:rPr>
        <w:t>2020</w:t>
      </w:r>
      <w:r>
        <w:rPr>
          <w:rFonts w:hint="eastAsia" w:ascii="仿宋" w:hAnsi="仿宋" w:eastAsia="仿宋" w:cs="仿宋"/>
          <w:kern w:val="0"/>
          <w:sz w:val="32"/>
          <w:szCs w:val="32"/>
        </w:rPr>
        <w:t>年世界李氏祭祖文化活动。</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仿宋" w:hAnsi="仿宋" w:eastAsia="仿宋" w:cs="仿宋"/>
          <w:kern w:val="0"/>
          <w:sz w:val="32"/>
          <w:szCs w:val="32"/>
        </w:rPr>
      </w:pPr>
      <w:r>
        <w:rPr>
          <w:rFonts w:hint="eastAsia" w:ascii="仿宋" w:hAnsi="仿宋" w:eastAsia="仿宋" w:cs="仿宋"/>
          <w:kern w:val="0"/>
          <w:sz w:val="32"/>
          <w:szCs w:val="32"/>
        </w:rPr>
        <w:t>②举办首届隆尧县旅游产品和手工艺产品博览会。</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仿宋" w:hAnsi="仿宋" w:eastAsia="仿宋" w:cs="仿宋"/>
          <w:kern w:val="0"/>
          <w:sz w:val="32"/>
          <w:szCs w:val="32"/>
        </w:rPr>
      </w:pPr>
      <w:r>
        <w:rPr>
          <w:rFonts w:hint="eastAsia" w:ascii="仿宋" w:hAnsi="仿宋" w:eastAsia="仿宋" w:cs="仿宋"/>
          <w:kern w:val="0"/>
          <w:sz w:val="32"/>
          <w:szCs w:val="32"/>
        </w:rPr>
        <w:t>③规范我县一日游、二日游线路。邀请有关专家到我县实地考察、授课，培训。规范我县一日游、二日游线路，提高知名度。</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黑体" w:hAnsi="黑体" w:eastAsia="黑体"/>
          <w:kern w:val="0"/>
          <w:sz w:val="32"/>
          <w:szCs w:val="32"/>
        </w:rPr>
      </w:pPr>
      <w:r>
        <w:rPr>
          <w:rFonts w:hint="eastAsia" w:ascii="黑体" w:hAnsi="黑体" w:eastAsia="黑体"/>
          <w:kern w:val="0"/>
          <w:sz w:val="32"/>
          <w:szCs w:val="32"/>
        </w:rPr>
        <w:t>4、文物和非遗保护利用工作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①</w:t>
      </w:r>
      <w:r>
        <w:rPr>
          <w:rFonts w:hint="eastAsia" w:ascii="仿宋" w:hAnsi="仿宋" w:eastAsia="仿宋" w:cs="仿宋"/>
          <w:b/>
          <w:bCs/>
          <w:kern w:val="0"/>
          <w:sz w:val="32"/>
          <w:szCs w:val="32"/>
        </w:rPr>
        <w:t>博物馆对外开放。</w:t>
      </w:r>
      <w:r>
        <w:rPr>
          <w:rFonts w:hint="eastAsia" w:ascii="仿宋" w:hAnsi="仿宋" w:eastAsia="仿宋" w:cs="仿宋"/>
          <w:kern w:val="0"/>
          <w:sz w:val="32"/>
          <w:szCs w:val="32"/>
        </w:rPr>
        <w:t>完成我县博物馆装饰装修和布展工作，实现对外开放，为外地游客提供展示隆尧、了解隆尧的窗口，为全县人民群众提供了解隆尧历史、了解隆尧发展、进行爱隆尧、爱家乡教育的平台。</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仿宋" w:hAnsi="Times New Roman" w:eastAsia="仿宋" w:cs="仿宋"/>
          <w:b/>
          <w:bCs/>
          <w:kern w:val="0"/>
          <w:sz w:val="32"/>
          <w:szCs w:val="32"/>
        </w:rPr>
        <w:t>②</w:t>
      </w:r>
      <w:r>
        <w:rPr>
          <w:rFonts w:hint="eastAsia" w:ascii="仿宋" w:hAnsi="仿宋" w:eastAsia="仿宋" w:cs="仿宋"/>
          <w:b/>
          <w:bCs/>
          <w:kern w:val="0"/>
          <w:sz w:val="32"/>
          <w:szCs w:val="32"/>
        </w:rPr>
        <w:t>完成唐祖陵保护展示工程建设和《隆尧唐祖陵保护利用规划》编制工作</w:t>
      </w:r>
      <w:r>
        <w:rPr>
          <w:rFonts w:hint="eastAsia" w:ascii="仿宋" w:hAnsi="仿宋" w:eastAsia="仿宋" w:cs="仿宋"/>
          <w:kern w:val="0"/>
          <w:sz w:val="32"/>
          <w:szCs w:val="32"/>
        </w:rPr>
        <w:t>。更好的服务我县旅游业的发展。</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③</w:t>
      </w:r>
      <w:r>
        <w:rPr>
          <w:rFonts w:hint="eastAsia" w:ascii="仿宋" w:hAnsi="仿宋" w:eastAsia="仿宋" w:cs="仿宋"/>
          <w:b/>
          <w:bCs/>
          <w:kern w:val="0"/>
          <w:sz w:val="32"/>
          <w:szCs w:val="32"/>
        </w:rPr>
        <w:t>染红塔保护工作</w:t>
      </w:r>
      <w:r>
        <w:rPr>
          <w:rFonts w:hint="eastAsia" w:ascii="仿宋" w:hAnsi="仿宋" w:eastAsia="仿宋" w:cs="仿宋"/>
          <w:kern w:val="0"/>
          <w:sz w:val="32"/>
          <w:szCs w:val="32"/>
        </w:rPr>
        <w:t>。完成染红塔保护规划的编制，争取将染红塔保护工作在省文物局立项。协调当地村镇政府对染红塔保护范围区域的硬化、绿化、美化、亮化工作。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④</w:t>
      </w:r>
      <w:r>
        <w:rPr>
          <w:rFonts w:hint="eastAsia" w:ascii="仿宋" w:hAnsi="仿宋" w:eastAsia="仿宋" w:cs="仿宋"/>
          <w:b/>
          <w:bCs/>
          <w:kern w:val="0"/>
          <w:sz w:val="32"/>
          <w:szCs w:val="32"/>
        </w:rPr>
        <w:t>继续进行柏人城址考古勘探工作</w:t>
      </w:r>
      <w:r>
        <w:rPr>
          <w:rFonts w:hint="eastAsia" w:ascii="仿宋" w:hAnsi="仿宋" w:eastAsia="仿宋" w:cs="仿宋"/>
          <w:kern w:val="0"/>
          <w:sz w:val="32"/>
          <w:szCs w:val="32"/>
        </w:rPr>
        <w:t>。按照隆尧柏人城址考古勘探规划，继续申请国家文物局、省文物局对柏人城址进行考古勘探，充分摸清底数，为申请编制《隆尧柏人城址总体保护规划》和柏人城址遗址公园滴定基础。</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⑤</w:t>
      </w:r>
      <w:r>
        <w:rPr>
          <w:rFonts w:hint="eastAsia" w:ascii="仿宋" w:hAnsi="仿宋" w:eastAsia="仿宋" w:cs="仿宋"/>
          <w:b/>
          <w:bCs/>
          <w:kern w:val="0"/>
          <w:sz w:val="32"/>
          <w:szCs w:val="32"/>
        </w:rPr>
        <w:t>图书编辑和出版工作。</w:t>
      </w:r>
      <w:r>
        <w:rPr>
          <w:rFonts w:hint="eastAsia" w:ascii="仿宋" w:hAnsi="仿宋" w:eastAsia="仿宋" w:cs="仿宋"/>
          <w:kern w:val="0"/>
          <w:sz w:val="32"/>
          <w:szCs w:val="32"/>
        </w:rPr>
        <w:t>完成《隆尧县武术志》印刷出版，按照省文化和旅游厅要求完成《隆尧秧歌戏》一书的编撰和出版工作。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kern w:val="0"/>
          <w:sz w:val="32"/>
          <w:szCs w:val="32"/>
        </w:rPr>
      </w:pPr>
      <w:r>
        <w:rPr>
          <w:rFonts w:hint="eastAsia" w:ascii="宋体" w:hAnsi="宋体" w:cs="宋体"/>
          <w:b/>
          <w:bCs/>
          <w:kern w:val="0"/>
          <w:sz w:val="32"/>
          <w:szCs w:val="32"/>
        </w:rPr>
        <w:t>⑥</w:t>
      </w:r>
      <w:r>
        <w:rPr>
          <w:rFonts w:hint="eastAsia" w:ascii="仿宋" w:hAnsi="仿宋" w:eastAsia="仿宋" w:cs="仿宋"/>
          <w:b/>
          <w:bCs/>
          <w:kern w:val="0"/>
          <w:sz w:val="32"/>
          <w:szCs w:val="32"/>
        </w:rPr>
        <w:t>建立非遗评审专家库</w:t>
      </w:r>
      <w:r>
        <w:rPr>
          <w:rFonts w:hint="eastAsia" w:ascii="仿宋" w:hAnsi="仿宋" w:eastAsia="仿宋" w:cs="仿宋"/>
          <w:kern w:val="0"/>
          <w:sz w:val="32"/>
          <w:szCs w:val="32"/>
        </w:rPr>
        <w:t>。建立非遗评审专家库，分阶段公布隆尧县级非物质文化遗产名录，积极开展国家级、省级、市级非遗申报工作。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3"/>
        <w:rPr>
          <w:rFonts w:ascii="仿宋" w:hAnsi="仿宋" w:eastAsia="仿宋" w:cs="仿宋"/>
          <w:b/>
          <w:bCs/>
          <w:kern w:val="0"/>
          <w:sz w:val="32"/>
          <w:szCs w:val="32"/>
        </w:rPr>
      </w:pPr>
      <w:r>
        <w:rPr>
          <w:rFonts w:hint="eastAsia" w:ascii="宋体" w:hAnsi="宋体" w:cs="宋体"/>
          <w:b/>
          <w:bCs/>
          <w:kern w:val="0"/>
          <w:sz w:val="32"/>
          <w:szCs w:val="32"/>
        </w:rPr>
        <w:t>⑦</w:t>
      </w:r>
      <w:r>
        <w:rPr>
          <w:rFonts w:hint="eastAsia" w:ascii="仿宋" w:hAnsi="仿宋" w:eastAsia="仿宋" w:cs="仿宋"/>
          <w:b/>
          <w:bCs/>
          <w:kern w:val="0"/>
          <w:sz w:val="32"/>
          <w:szCs w:val="32"/>
        </w:rPr>
        <w:t>继续开展好非遗进校园等活动的。</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黑体" w:hAnsi="黑体" w:eastAsia="黑体"/>
          <w:kern w:val="0"/>
          <w:sz w:val="32"/>
          <w:szCs w:val="32"/>
        </w:rPr>
      </w:pPr>
      <w:r>
        <w:rPr>
          <w:rFonts w:hint="eastAsia" w:ascii="黑体" w:hAnsi="黑体" w:eastAsia="黑体"/>
          <w:kern w:val="0"/>
          <w:sz w:val="32"/>
          <w:szCs w:val="32"/>
        </w:rPr>
        <w:t>5、健全执法队伍，完善执法机制</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仿宋" w:hAnsi="仿宋" w:eastAsia="仿宋" w:cs="仿宋"/>
          <w:kern w:val="0"/>
          <w:sz w:val="32"/>
          <w:szCs w:val="32"/>
        </w:rPr>
      </w:pPr>
      <w:r>
        <w:rPr>
          <w:rFonts w:hint="eastAsia" w:ascii="仿宋" w:hAnsi="仿宋" w:eastAsia="仿宋" w:cs="仿宋"/>
          <w:kern w:val="0"/>
          <w:sz w:val="32"/>
          <w:szCs w:val="32"/>
        </w:rPr>
        <w:t>深化文化市场综合行政执法改革，捋顺职能、职责关系，充实执法队伍，不断加大全县文化、广电、体育和旅游市场管理和执法力度，力争达到省、市、县、乡四级信息联动机制，做到省级执法监督出台的政策文件第一时间了解；市级执法局下达文件要第一时间落实；县级执法做到第一时间具体实施；执法工作延伸到乡村，乡级执法人员要第一时间提供信息。县乡同步，信息共享，联合执法。把文化市场行政执法检查做到最底层，做到村村有监督。为全县经济社会发展营造良好的文化氛围。</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黑体" w:hAnsi="黑体" w:eastAsia="黑体"/>
          <w:kern w:val="0"/>
          <w:sz w:val="32"/>
          <w:szCs w:val="32"/>
        </w:rPr>
      </w:pPr>
      <w:r>
        <w:rPr>
          <w:rFonts w:hint="eastAsia" w:ascii="黑体" w:hAnsi="黑体" w:eastAsia="黑体"/>
          <w:kern w:val="0"/>
          <w:sz w:val="32"/>
          <w:szCs w:val="32"/>
        </w:rPr>
        <w:t>6、进一步加大招商引资和项目资金正跑力度</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640"/>
        <w:rPr>
          <w:rFonts w:ascii="仿宋" w:hAnsi="仿宋" w:eastAsia="仿宋" w:cs="仿宋"/>
          <w:kern w:val="0"/>
          <w:sz w:val="32"/>
          <w:szCs w:val="32"/>
        </w:rPr>
      </w:pPr>
      <w:r>
        <w:rPr>
          <w:rFonts w:hint="eastAsia" w:ascii="仿宋" w:hAnsi="仿宋" w:eastAsia="仿宋" w:cs="仿宋"/>
          <w:kern w:val="0"/>
          <w:sz w:val="32"/>
          <w:szCs w:val="32"/>
        </w:rPr>
        <w:t>尽快启动尧山文化风景旅游区规划编制、修改完善和招商引资步伐。</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hint="eastAsia" w:ascii="方正仿宋_GBK" w:hAnsi="方正仿宋_GBK" w:eastAsia="方正仿宋_GBK" w:cs="方正仿宋_GBK"/>
          <w:b/>
          <w:sz w:val="28"/>
          <w:u w:val="none"/>
          <w:lang w:eastAsia="zh-CN"/>
        </w:rPr>
      </w:pPr>
    </w:p>
    <w:p>
      <w:pPr>
        <w:ind w:firstLine="560" w:firstLineChars="200"/>
        <w:jc w:val="left"/>
        <w:outlineLvl w:val="1"/>
        <w:rPr>
          <w:rFonts w:hint="eastAsia" w:ascii="Times New Roman" w:hAnsi="宋体" w:eastAsia="宋体" w:cs="宋体"/>
          <w:b/>
          <w:sz w:val="28"/>
          <w:highlight w:val="yellow"/>
          <w:u w:val="none"/>
          <w:lang w:eastAsia="zh-CN"/>
        </w:rPr>
      </w:pPr>
      <w:r>
        <w:rPr>
          <w:rFonts w:hint="eastAsia" w:ascii="方正仿宋_GBK" w:hAnsi="方正仿宋_GBK" w:eastAsia="方正仿宋_GBK" w:cs="方正仿宋_GBK"/>
          <w:b/>
          <w:sz w:val="28"/>
          <w:highlight w:val="none"/>
          <w:u w:val="none"/>
          <w:lang w:eastAsia="zh-CN"/>
        </w:rPr>
        <w:t>1、2020年旅发大会绩效目标表</w:t>
      </w:r>
      <w:bookmarkStart w:id="3" w:name="_Toc24375"/>
      <w:r>
        <w:rPr>
          <w:highlight w:val="yellow"/>
        </w:rPr>
        <w:fldChar w:fldCharType="begin"/>
      </w:r>
      <w:r>
        <w:rPr>
          <w:rFonts w:hint="eastAsia" w:ascii="方正仿宋_GBK" w:hAnsi="方正仿宋_GBK" w:eastAsia="方正仿宋_GBK" w:cs="方正仿宋_GBK"/>
          <w:b/>
          <w:sz w:val="28"/>
          <w:highlight w:val="yellow"/>
          <w:u w:val="none"/>
          <w:lang w:eastAsia="zh-CN"/>
        </w:rPr>
        <w:instrText xml:space="preserve"> TC 1、2020年旅发大会绩效目标表 \f C \l 1 </w:instrText>
      </w:r>
      <w:r>
        <w:rPr>
          <w:rFonts w:hint="eastAsia" w:ascii="方正仿宋_GBK" w:hAnsi="方正仿宋_GBK" w:eastAsia="方正仿宋_GBK" w:cs="方正仿宋_GBK"/>
          <w:b/>
          <w:sz w:val="28"/>
          <w:highlight w:val="yellow"/>
          <w:u w:val="none"/>
          <w:lang w:eastAsia="zh-CN"/>
        </w:rPr>
        <w:fldChar w:fldCharType="end"/>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4"/>
        <w:gridCol w:w="991"/>
        <w:gridCol w:w="1529"/>
        <w:gridCol w:w="1860"/>
        <w:gridCol w:w="1755"/>
        <w:gridCol w:w="1470"/>
        <w:gridCol w:w="37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149"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3753"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项目编码</w:t>
            </w:r>
          </w:p>
        </w:tc>
        <w:tc>
          <w:tcPr>
            <w:tcW w:w="2520" w:type="dxa"/>
            <w:gridSpan w:val="2"/>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357-1002-JXN-DMBS</w:t>
            </w:r>
          </w:p>
        </w:tc>
        <w:tc>
          <w:tcPr>
            <w:tcW w:w="1860"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项目名称</w:t>
            </w:r>
          </w:p>
        </w:tc>
        <w:tc>
          <w:tcPr>
            <w:tcW w:w="6978" w:type="dxa"/>
            <w:gridSpan w:val="3"/>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2020年旅发大会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restart"/>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预算规模及资金用途</w:t>
            </w:r>
          </w:p>
        </w:tc>
        <w:tc>
          <w:tcPr>
            <w:tcW w:w="991"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预算数</w:t>
            </w:r>
          </w:p>
        </w:tc>
        <w:tc>
          <w:tcPr>
            <w:tcW w:w="1529"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800000.00</w:t>
            </w:r>
          </w:p>
        </w:tc>
        <w:tc>
          <w:tcPr>
            <w:tcW w:w="1860"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其中：财政资金</w:t>
            </w:r>
          </w:p>
        </w:tc>
        <w:tc>
          <w:tcPr>
            <w:tcW w:w="1755"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800000.00</w:t>
            </w:r>
          </w:p>
        </w:tc>
        <w:tc>
          <w:tcPr>
            <w:tcW w:w="1470"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其他资金</w:t>
            </w:r>
          </w:p>
        </w:tc>
        <w:tc>
          <w:tcPr>
            <w:tcW w:w="3753"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continue"/>
            <w:noWrap w:val="0"/>
            <w:vAlign w:val="top"/>
          </w:tcPr>
          <w:p>
            <w:pPr>
              <w:spacing w:line="300" w:lineRule="exact"/>
              <w:jc w:val="left"/>
              <w:outlineLvl w:val="1"/>
              <w:rPr>
                <w:rFonts w:hint="eastAsia" w:ascii="仿宋" w:hAnsi="仿宋" w:eastAsia="仿宋" w:cs="仿宋"/>
                <w:b w:val="0"/>
                <w:bCs/>
                <w:sz w:val="24"/>
                <w:szCs w:val="24"/>
                <w:u w:val="none"/>
                <w:vertAlign w:val="baseline"/>
                <w:lang w:eastAsia="zh-CN"/>
              </w:rPr>
            </w:pPr>
          </w:p>
        </w:tc>
        <w:tc>
          <w:tcPr>
            <w:tcW w:w="11358" w:type="dxa"/>
            <w:gridSpan w:val="6"/>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为了全力做好旅发大会会场的筹备工作，扎实推进我县旅游产业的的发展，承办一届精品、特色、震撼的大会，进一步提升唐尧圣地、李氏故里、大美隆尧的知名度，着力改善生态环境、推动旅游产业升级，提高隆尧的影响力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restart"/>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资金支出计划（%）</w:t>
            </w:r>
          </w:p>
        </w:tc>
        <w:tc>
          <w:tcPr>
            <w:tcW w:w="2520" w:type="dxa"/>
            <w:gridSpan w:val="2"/>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3月底</w:t>
            </w:r>
          </w:p>
        </w:tc>
        <w:tc>
          <w:tcPr>
            <w:tcW w:w="1860"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6月底</w:t>
            </w:r>
          </w:p>
        </w:tc>
        <w:tc>
          <w:tcPr>
            <w:tcW w:w="1755"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10月底</w:t>
            </w:r>
          </w:p>
        </w:tc>
        <w:tc>
          <w:tcPr>
            <w:tcW w:w="5223" w:type="dxa"/>
            <w:gridSpan w:val="2"/>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continue"/>
            <w:noWrap w:val="0"/>
            <w:vAlign w:val="top"/>
          </w:tcPr>
          <w:p>
            <w:pPr>
              <w:spacing w:line="300" w:lineRule="exact"/>
              <w:jc w:val="left"/>
              <w:outlineLvl w:val="1"/>
              <w:rPr>
                <w:rFonts w:hint="eastAsia" w:ascii="仿宋" w:hAnsi="仿宋" w:eastAsia="仿宋" w:cs="仿宋"/>
                <w:b w:val="0"/>
                <w:bCs/>
                <w:sz w:val="24"/>
                <w:szCs w:val="24"/>
                <w:u w:val="none"/>
                <w:vertAlign w:val="baseline"/>
                <w:lang w:eastAsia="zh-CN"/>
              </w:rPr>
            </w:pPr>
          </w:p>
        </w:tc>
        <w:tc>
          <w:tcPr>
            <w:tcW w:w="2520" w:type="dxa"/>
            <w:gridSpan w:val="2"/>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p>
        </w:tc>
        <w:tc>
          <w:tcPr>
            <w:tcW w:w="1860"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p>
        </w:tc>
        <w:tc>
          <w:tcPr>
            <w:tcW w:w="1755"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p>
        </w:tc>
        <w:tc>
          <w:tcPr>
            <w:tcW w:w="5223" w:type="dxa"/>
            <w:gridSpan w:val="2"/>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tcBorders>
              <w:bottom w:val="nil"/>
            </w:tcBorders>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绩效目标</w:t>
            </w:r>
          </w:p>
        </w:tc>
        <w:tc>
          <w:tcPr>
            <w:tcW w:w="11358" w:type="dxa"/>
            <w:gridSpan w:val="6"/>
            <w:tcBorders>
              <w:bottom w:val="nil"/>
            </w:tcBorders>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1、项目实施有效提升旅游的知名度、吸引力，扩大旅游品牌形象的影响力，吸引更多游客来旅游观光。</w:t>
            </w:r>
          </w:p>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2、保障各项业务谋划到位，顺利进行。</w:t>
            </w:r>
          </w:p>
        </w:tc>
      </w:tr>
    </w:tbl>
    <w:p>
      <w:pPr>
        <w:spacing w:line="14" w:lineRule="exact"/>
        <w:ind w:firstLine="480" w:firstLineChars="200"/>
        <w:jc w:val="center"/>
        <w:outlineLvl w:val="9"/>
        <w:rPr>
          <w:rFonts w:hint="eastAsia" w:ascii="仿宋" w:hAnsi="仿宋" w:eastAsia="仿宋" w:cs="仿宋"/>
          <w:b w:val="0"/>
          <w:bCs/>
          <w:sz w:val="24"/>
          <w:szCs w:val="24"/>
          <w:u w:val="none"/>
          <w:lang w:eastAsia="zh-CN"/>
        </w:rPr>
      </w:pPr>
      <w:r>
        <w:rPr>
          <w:rFonts w:hint="eastAsia" w:ascii="仿宋" w:hAnsi="仿宋" w:eastAsia="仿宋" w:cs="仿宋"/>
          <w:b w:val="0"/>
          <w:bCs/>
          <w:sz w:val="24"/>
          <w:szCs w:val="24"/>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1"/>
        <w:gridCol w:w="2096"/>
        <w:gridCol w:w="1458"/>
        <w:gridCol w:w="3306"/>
        <w:gridCol w:w="1458"/>
        <w:gridCol w:w="30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53" w:hRule="atLeast"/>
          <w:tblHeader/>
          <w:jc w:val="center"/>
        </w:trPr>
        <w:tc>
          <w:tcPr>
            <w:tcW w:w="1541"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一级指标</w:t>
            </w:r>
          </w:p>
        </w:tc>
        <w:tc>
          <w:tcPr>
            <w:tcW w:w="2096"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二级指标</w:t>
            </w:r>
          </w:p>
        </w:tc>
        <w:tc>
          <w:tcPr>
            <w:tcW w:w="1458"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三级指标</w:t>
            </w:r>
          </w:p>
        </w:tc>
        <w:tc>
          <w:tcPr>
            <w:tcW w:w="3306"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绩效指标描述</w:t>
            </w:r>
          </w:p>
        </w:tc>
        <w:tc>
          <w:tcPr>
            <w:tcW w:w="1458"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指标值</w:t>
            </w:r>
          </w:p>
        </w:tc>
        <w:tc>
          <w:tcPr>
            <w:tcW w:w="3036"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69" w:hRule="atLeast"/>
          <w:jc w:val="center"/>
        </w:trPr>
        <w:tc>
          <w:tcPr>
            <w:tcW w:w="1541" w:type="dxa"/>
            <w:vMerge w:val="restart"/>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产出指标</w:t>
            </w:r>
          </w:p>
        </w:tc>
        <w:tc>
          <w:tcPr>
            <w:tcW w:w="209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数量指标</w:t>
            </w:r>
          </w:p>
        </w:tc>
        <w:tc>
          <w:tcPr>
            <w:tcW w:w="1458"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完成率</w:t>
            </w:r>
          </w:p>
        </w:tc>
        <w:tc>
          <w:tcPr>
            <w:tcW w:w="330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培训合格的导游学员数量占培训总学员数量的比率</w:t>
            </w:r>
          </w:p>
        </w:tc>
        <w:tc>
          <w:tcPr>
            <w:tcW w:w="1458"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≥100百分值</w:t>
            </w:r>
          </w:p>
        </w:tc>
        <w:tc>
          <w:tcPr>
            <w:tcW w:w="303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培训导游合格情况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69" w:hRule="atLeast"/>
          <w:jc w:val="center"/>
        </w:trPr>
        <w:tc>
          <w:tcPr>
            <w:tcW w:w="1541" w:type="dxa"/>
            <w:vMerge w:val="continue"/>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p>
        </w:tc>
        <w:tc>
          <w:tcPr>
            <w:tcW w:w="209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质量指标</w:t>
            </w:r>
          </w:p>
        </w:tc>
        <w:tc>
          <w:tcPr>
            <w:tcW w:w="1458"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增长率</w:t>
            </w:r>
          </w:p>
        </w:tc>
        <w:tc>
          <w:tcPr>
            <w:tcW w:w="330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乡村旅游游客数量增长率</w:t>
            </w:r>
          </w:p>
        </w:tc>
        <w:tc>
          <w:tcPr>
            <w:tcW w:w="1458"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≥8百分值</w:t>
            </w:r>
          </w:p>
        </w:tc>
        <w:tc>
          <w:tcPr>
            <w:tcW w:w="303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乡村旅游接待游客同比增长情况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69" w:hRule="atLeast"/>
          <w:jc w:val="center"/>
        </w:trPr>
        <w:tc>
          <w:tcPr>
            <w:tcW w:w="1541"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效果指标</w:t>
            </w:r>
          </w:p>
        </w:tc>
        <w:tc>
          <w:tcPr>
            <w:tcW w:w="209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社会效益指标</w:t>
            </w:r>
          </w:p>
        </w:tc>
        <w:tc>
          <w:tcPr>
            <w:tcW w:w="1458"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社会稳定水平</w:t>
            </w:r>
          </w:p>
        </w:tc>
        <w:tc>
          <w:tcPr>
            <w:tcW w:w="330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年度督导旅游投诉案件的游客满意度</w:t>
            </w:r>
          </w:p>
        </w:tc>
        <w:tc>
          <w:tcPr>
            <w:tcW w:w="1458"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≥100百分值</w:t>
            </w:r>
          </w:p>
        </w:tc>
        <w:tc>
          <w:tcPr>
            <w:tcW w:w="303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20" w:hRule="atLeast"/>
          <w:jc w:val="center"/>
        </w:trPr>
        <w:tc>
          <w:tcPr>
            <w:tcW w:w="1541" w:type="dxa"/>
            <w:noWrap w:val="0"/>
            <w:vAlign w:val="center"/>
          </w:tcPr>
          <w:p>
            <w:pPr>
              <w:spacing w:line="300" w:lineRule="exact"/>
              <w:jc w:val="center"/>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满意度指标</w:t>
            </w:r>
          </w:p>
        </w:tc>
        <w:tc>
          <w:tcPr>
            <w:tcW w:w="209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服务对象满意度指标</w:t>
            </w:r>
          </w:p>
        </w:tc>
        <w:tc>
          <w:tcPr>
            <w:tcW w:w="1458"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群众满意度</w:t>
            </w:r>
          </w:p>
        </w:tc>
        <w:tc>
          <w:tcPr>
            <w:tcW w:w="330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群众满意数量占总数的比例。</w:t>
            </w:r>
          </w:p>
        </w:tc>
        <w:tc>
          <w:tcPr>
            <w:tcW w:w="1458"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100百分值</w:t>
            </w:r>
          </w:p>
        </w:tc>
        <w:tc>
          <w:tcPr>
            <w:tcW w:w="3036" w:type="dxa"/>
            <w:noWrap w:val="0"/>
            <w:vAlign w:val="center"/>
          </w:tcPr>
          <w:p>
            <w:pPr>
              <w:spacing w:line="300" w:lineRule="exact"/>
              <w:jc w:val="left"/>
              <w:outlineLvl w:val="9"/>
              <w:rPr>
                <w:rFonts w:hint="eastAsia" w:ascii="仿宋" w:hAnsi="仿宋" w:eastAsia="仿宋" w:cs="仿宋"/>
                <w:b w:val="0"/>
                <w:bCs/>
                <w:sz w:val="24"/>
                <w:szCs w:val="24"/>
                <w:u w:val="none"/>
                <w:vertAlign w:val="baseline"/>
                <w:lang w:eastAsia="zh-CN"/>
              </w:rPr>
            </w:pPr>
            <w:r>
              <w:rPr>
                <w:rFonts w:hint="eastAsia" w:ascii="仿宋" w:hAnsi="仿宋" w:eastAsia="仿宋" w:cs="仿宋"/>
                <w:b w:val="0"/>
                <w:bCs/>
                <w:sz w:val="24"/>
                <w:szCs w:val="24"/>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2、2020年农村文化建设专项绩效目标表</w:t>
      </w:r>
      <w:bookmarkStart w:id="4" w:name="_Toc17510"/>
      <w:r>
        <w:fldChar w:fldCharType="begin"/>
      </w:r>
      <w:r>
        <w:rPr>
          <w:rFonts w:hint="eastAsia" w:ascii="方正仿宋_GBK" w:hAnsi="方正仿宋_GBK" w:eastAsia="方正仿宋_GBK" w:cs="方正仿宋_GBK"/>
          <w:b/>
          <w:sz w:val="28"/>
          <w:u w:val="none"/>
          <w:lang w:eastAsia="zh-CN"/>
        </w:rPr>
        <w:instrText xml:space="preserve"> TC 2、2020年农村文化建设专项绩效目标表 \f C \l 1 </w:instrText>
      </w:r>
      <w:r>
        <w:rPr>
          <w:rFonts w:hint="eastAsia" w:ascii="方正仿宋_GBK" w:hAnsi="方正仿宋_GBK" w:eastAsia="方正仿宋_GBK" w:cs="方正仿宋_GBK"/>
          <w:b/>
          <w:sz w:val="28"/>
          <w:u w:val="none"/>
          <w:lang w:eastAsia="zh-CN"/>
        </w:rPr>
        <w:fldChar w:fldCharType="end"/>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6"/>
        <w:gridCol w:w="1186"/>
        <w:gridCol w:w="1335"/>
        <w:gridCol w:w="1661"/>
        <w:gridCol w:w="1364"/>
        <w:gridCol w:w="1337"/>
        <w:gridCol w:w="4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jc w:val="center"/>
        </w:trPr>
        <w:tc>
          <w:tcPr>
            <w:tcW w:w="8069"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679"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1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521"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357-0401-JXN-8L4K</w:t>
            </w:r>
          </w:p>
        </w:tc>
        <w:tc>
          <w:tcPr>
            <w:tcW w:w="166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380"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2020年农村文化建设专项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186"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1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33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50000.00</w:t>
            </w:r>
          </w:p>
        </w:tc>
        <w:tc>
          <w:tcPr>
            <w:tcW w:w="166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6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50000.00</w:t>
            </w:r>
          </w:p>
        </w:tc>
        <w:tc>
          <w:tcPr>
            <w:tcW w:w="133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67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186"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562"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专用材料7套，资金50000元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186"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521"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6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6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016"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186"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521"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66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136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6016"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1186"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562"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1、确保各项业务工作谋划到位、顺利开展。</w:t>
            </w:r>
            <w:r>
              <w:rPr>
                <w:rFonts w:hint="eastAsia" w:ascii="仿宋" w:hAnsi="仿宋" w:eastAsia="仿宋" w:cs="仿宋"/>
                <w:b w:val="0"/>
                <w:bCs/>
                <w:sz w:val="21"/>
                <w:u w:val="none"/>
                <w:vertAlign w:val="baseline"/>
                <w:lang w:eastAsia="zh-CN"/>
              </w:rPr>
              <w:tab/>
            </w:r>
            <w:r>
              <w:rPr>
                <w:rFonts w:hint="eastAsia" w:ascii="仿宋" w:hAnsi="仿宋" w:eastAsia="仿宋" w:cs="仿宋"/>
                <w:b w:val="0"/>
                <w:bCs/>
                <w:sz w:val="21"/>
                <w:u w:val="none"/>
                <w:vertAlign w:val="baseline"/>
                <w:lang w:eastAsia="zh-CN"/>
              </w:rPr>
              <w:tab/>
            </w:r>
            <w:r>
              <w:rPr>
                <w:rFonts w:hint="eastAsia" w:ascii="仿宋" w:hAnsi="仿宋" w:eastAsia="仿宋" w:cs="仿宋"/>
                <w:b w:val="0"/>
                <w:bCs/>
                <w:sz w:val="21"/>
                <w:u w:val="none"/>
                <w:vertAlign w:val="baseline"/>
                <w:lang w:eastAsia="zh-CN"/>
              </w:rPr>
              <w:tab/>
            </w:r>
            <w:r>
              <w:rPr>
                <w:rFonts w:hint="eastAsia" w:ascii="仿宋" w:hAnsi="仿宋" w:eastAsia="仿宋" w:cs="仿宋"/>
                <w:b w:val="0"/>
                <w:bCs/>
                <w:sz w:val="21"/>
                <w:u w:val="none"/>
                <w:vertAlign w:val="baseline"/>
                <w:lang w:eastAsia="zh-CN"/>
              </w:rPr>
              <w:tab/>
            </w:r>
            <w:r>
              <w:rPr>
                <w:rFonts w:hint="eastAsia" w:ascii="仿宋" w:hAnsi="仿宋" w:eastAsia="仿宋" w:cs="仿宋"/>
                <w:b w:val="0"/>
                <w:bCs/>
                <w:sz w:val="21"/>
                <w:u w:val="none"/>
                <w:vertAlign w:val="baseline"/>
                <w:lang w:eastAsia="zh-CN"/>
              </w:rPr>
              <w:tab/>
            </w:r>
            <w:r>
              <w:rPr>
                <w:rFonts w:hint="eastAsia" w:ascii="仿宋" w:hAnsi="仿宋" w:eastAsia="仿宋" w:cs="仿宋"/>
                <w:b w:val="0"/>
                <w:bCs/>
                <w:sz w:val="21"/>
                <w:u w:val="none"/>
                <w:vertAlign w:val="baseline"/>
                <w:lang w:eastAsia="zh-CN"/>
              </w:rPr>
              <w:tab/>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确保各项业务工作谋划到位、顺利开展。</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2、保障专项业务顺利完成</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0"/>
        <w:gridCol w:w="1420"/>
        <w:gridCol w:w="1599"/>
        <w:gridCol w:w="3626"/>
        <w:gridCol w:w="1599"/>
        <w:gridCol w:w="31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03" w:hRule="atLeast"/>
          <w:tblHeader/>
          <w:jc w:val="center"/>
        </w:trPr>
        <w:tc>
          <w:tcPr>
            <w:tcW w:w="14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4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59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62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59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10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28" w:hRule="atLeast"/>
          <w:jc w:val="center"/>
        </w:trPr>
        <w:tc>
          <w:tcPr>
            <w:tcW w:w="1420"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4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质量指标</w:t>
            </w:r>
          </w:p>
        </w:tc>
        <w:tc>
          <w:tcPr>
            <w:tcW w:w="159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文化设施达标率（%）</w:t>
            </w:r>
          </w:p>
        </w:tc>
        <w:tc>
          <w:tcPr>
            <w:tcW w:w="36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省内实际文化设施达标数量占文化设施总数的比率</w:t>
            </w:r>
          </w:p>
        </w:tc>
        <w:tc>
          <w:tcPr>
            <w:tcW w:w="159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310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实际文化设施达标数量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63" w:hRule="atLeast"/>
          <w:jc w:val="center"/>
        </w:trPr>
        <w:tc>
          <w:tcPr>
            <w:tcW w:w="1420" w:type="dxa"/>
            <w:vMerge w:val="continue"/>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4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时效指标</w:t>
            </w:r>
          </w:p>
        </w:tc>
        <w:tc>
          <w:tcPr>
            <w:tcW w:w="159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综合业务管理工作完成率</w:t>
            </w:r>
          </w:p>
        </w:tc>
        <w:tc>
          <w:tcPr>
            <w:tcW w:w="36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综合业务管理工作完成情况</w:t>
            </w:r>
          </w:p>
        </w:tc>
        <w:tc>
          <w:tcPr>
            <w:tcW w:w="159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310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综合业务管理工作完成情况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63" w:hRule="atLeast"/>
          <w:jc w:val="center"/>
        </w:trPr>
        <w:tc>
          <w:tcPr>
            <w:tcW w:w="14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4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可持续影响指标</w:t>
            </w:r>
          </w:p>
        </w:tc>
        <w:tc>
          <w:tcPr>
            <w:tcW w:w="159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长期使用性</w:t>
            </w:r>
          </w:p>
        </w:tc>
        <w:tc>
          <w:tcPr>
            <w:tcW w:w="36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能够长期较好地开展展演、展映、展播、展示，长期满足人民群众对精神文化的需求。</w:t>
            </w:r>
          </w:p>
        </w:tc>
        <w:tc>
          <w:tcPr>
            <w:tcW w:w="159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10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25" w:hRule="atLeast"/>
          <w:jc w:val="center"/>
        </w:trPr>
        <w:tc>
          <w:tcPr>
            <w:tcW w:w="14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4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59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36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59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310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调查服务对象满意度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3、办案补助/文化市场管理绩效目标表</w:t>
      </w:r>
      <w:bookmarkStart w:id="5" w:name="_Toc32738"/>
      <w:r>
        <w:fldChar w:fldCharType="begin"/>
      </w:r>
      <w:r>
        <w:rPr>
          <w:rFonts w:hint="eastAsia" w:ascii="方正仿宋_GBK" w:hAnsi="方正仿宋_GBK" w:eastAsia="方正仿宋_GBK" w:cs="方正仿宋_GBK"/>
          <w:b/>
          <w:sz w:val="28"/>
          <w:u w:val="none"/>
          <w:lang w:eastAsia="zh-CN"/>
        </w:rPr>
        <w:instrText xml:space="preserve"> TC 3、办案补助/文化市场管理绩效目标表 \f C \l 1 </w:instrText>
      </w:r>
      <w:r>
        <w:rPr>
          <w:rFonts w:hint="eastAsia" w:ascii="方正仿宋_GBK" w:hAnsi="方正仿宋_GBK" w:eastAsia="方正仿宋_GBK" w:cs="方正仿宋_GBK"/>
          <w:b/>
          <w:sz w:val="28"/>
          <w:u w:val="none"/>
          <w:lang w:eastAsia="zh-CN"/>
        </w:rPr>
        <w:fldChar w:fldCharType="end"/>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1"/>
        <w:gridCol w:w="1411"/>
        <w:gridCol w:w="1589"/>
        <w:gridCol w:w="1976"/>
        <w:gridCol w:w="1623"/>
        <w:gridCol w:w="1592"/>
        <w:gridCol w:w="28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1" w:hRule="atLeast"/>
          <w:jc w:val="center"/>
        </w:trPr>
        <w:tc>
          <w:tcPr>
            <w:tcW w:w="960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2898"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1" w:hRule="atLeast"/>
          <w:jc w:val="center"/>
        </w:trPr>
        <w:tc>
          <w:tcPr>
            <w:tcW w:w="141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300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357-0601-JXN-7NA8</w:t>
            </w:r>
          </w:p>
        </w:tc>
        <w:tc>
          <w:tcPr>
            <w:tcW w:w="19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6113"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办案补助/文化市场管理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1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41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58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16000.00</w:t>
            </w:r>
          </w:p>
        </w:tc>
        <w:tc>
          <w:tcPr>
            <w:tcW w:w="19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62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16000.00</w:t>
            </w:r>
          </w:p>
        </w:tc>
        <w:tc>
          <w:tcPr>
            <w:tcW w:w="159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289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6" w:hRule="atLeast"/>
          <w:jc w:val="center"/>
        </w:trPr>
        <w:tc>
          <w:tcPr>
            <w:tcW w:w="141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089"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隆机编办[2019]16号），经研究并报县委编委批准，在县文化广电体育和旅游局加挂隆尧县文化市场综合行政执法局牌子，由县文化广电体育和旅游局统一行使法律法规，明确要求由县级承担的文化市场领域执法职责，需办案经费16000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1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30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9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62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449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1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30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9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40.00</w:t>
            </w:r>
          </w:p>
        </w:tc>
        <w:tc>
          <w:tcPr>
            <w:tcW w:w="162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40.00</w:t>
            </w:r>
          </w:p>
        </w:tc>
        <w:tc>
          <w:tcPr>
            <w:tcW w:w="449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1" w:hRule="atLeast"/>
          <w:jc w:val="center"/>
        </w:trPr>
        <w:tc>
          <w:tcPr>
            <w:tcW w:w="1411"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089"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1、保障文化市场健康。</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2、保障专项事务顺利进行。</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8"/>
        <w:gridCol w:w="1418"/>
        <w:gridCol w:w="1595"/>
        <w:gridCol w:w="3621"/>
        <w:gridCol w:w="1595"/>
        <w:gridCol w:w="28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tblHeader/>
          <w:jc w:val="center"/>
        </w:trPr>
        <w:tc>
          <w:tcPr>
            <w:tcW w:w="141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41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5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62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5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287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41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41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时效指标</w:t>
            </w:r>
          </w:p>
        </w:tc>
        <w:tc>
          <w:tcPr>
            <w:tcW w:w="15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完成率</w:t>
            </w:r>
          </w:p>
        </w:tc>
        <w:tc>
          <w:tcPr>
            <w:tcW w:w="362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按照要求和计划完成研究任务的项目在所有立项项目中的比例（百分比）</w:t>
            </w:r>
          </w:p>
        </w:tc>
        <w:tc>
          <w:tcPr>
            <w:tcW w:w="15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287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实际完成研究任务的项目在所有立项项目中的比例（百分比）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41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41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可持续影响指标</w:t>
            </w:r>
          </w:p>
        </w:tc>
        <w:tc>
          <w:tcPr>
            <w:tcW w:w="15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长期使用性</w:t>
            </w:r>
          </w:p>
        </w:tc>
        <w:tc>
          <w:tcPr>
            <w:tcW w:w="362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能够长期较好地开展展演、展映、展播、展示，长期满足人民群众对精神文化的需求。</w:t>
            </w:r>
          </w:p>
        </w:tc>
        <w:tc>
          <w:tcPr>
            <w:tcW w:w="15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287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长期满足人民群众对精神文化的需求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41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41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5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362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5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287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4、冰雪场馆仿真冰面建设及设备购置绩效目标表</w:t>
      </w:r>
      <w:bookmarkStart w:id="6" w:name="_Toc26055"/>
      <w:r>
        <w:fldChar w:fldCharType="begin"/>
      </w:r>
      <w:r>
        <w:rPr>
          <w:rFonts w:hint="eastAsia" w:ascii="方正仿宋_GBK" w:hAnsi="方正仿宋_GBK" w:eastAsia="方正仿宋_GBK" w:cs="方正仿宋_GBK"/>
          <w:b/>
          <w:sz w:val="28"/>
          <w:u w:val="none"/>
          <w:lang w:eastAsia="zh-CN"/>
        </w:rPr>
        <w:instrText xml:space="preserve"> TC 4、冰雪场馆仿真冰面建设及设备购置绩效目标表 \f C \l 1 </w:instrText>
      </w:r>
      <w:r>
        <w:rPr>
          <w:rFonts w:hint="eastAsia" w:ascii="方正仿宋_GBK" w:hAnsi="方正仿宋_GBK" w:eastAsia="方正仿宋_GBK" w:cs="方正仿宋_GBK"/>
          <w:b/>
          <w:sz w:val="28"/>
          <w:u w:val="none"/>
          <w:lang w:eastAsia="zh-CN"/>
        </w:rPr>
        <w:fldChar w:fldCharType="end"/>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9"/>
        <w:gridCol w:w="1509"/>
        <w:gridCol w:w="1701"/>
        <w:gridCol w:w="2115"/>
        <w:gridCol w:w="1736"/>
        <w:gridCol w:w="1704"/>
        <w:gridCol w:w="22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8" w:hRule="atLeast"/>
          <w:jc w:val="center"/>
        </w:trPr>
        <w:tc>
          <w:tcPr>
            <w:tcW w:w="10274"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2265"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7" w:hRule="atLeast"/>
          <w:jc w:val="center"/>
        </w:trPr>
        <w:tc>
          <w:tcPr>
            <w:tcW w:w="150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321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357-0801-YXN-8EGY</w:t>
            </w:r>
          </w:p>
        </w:tc>
        <w:tc>
          <w:tcPr>
            <w:tcW w:w="21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5705"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冰雪场馆仿真冰面建设及设备购置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0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50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70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300000.00</w:t>
            </w:r>
          </w:p>
        </w:tc>
        <w:tc>
          <w:tcPr>
            <w:tcW w:w="21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73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300000.00</w:t>
            </w:r>
          </w:p>
        </w:tc>
        <w:tc>
          <w:tcPr>
            <w:tcW w:w="17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22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50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030"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建设功能明确、特色鲜明、设备先进、管理科学的体育训练场地、场馆和设施，使之成为群众健身、体育专业教学、训练和服务的基础保障。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7" w:hRule="atLeast"/>
          <w:jc w:val="center"/>
        </w:trPr>
        <w:tc>
          <w:tcPr>
            <w:tcW w:w="150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321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21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73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3969"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7" w:hRule="atLeast"/>
          <w:jc w:val="center"/>
        </w:trPr>
        <w:tc>
          <w:tcPr>
            <w:tcW w:w="150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321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21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w:t>
            </w:r>
          </w:p>
        </w:tc>
        <w:tc>
          <w:tcPr>
            <w:tcW w:w="173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3969"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2" w:hRule="atLeast"/>
          <w:jc w:val="center"/>
        </w:trPr>
        <w:tc>
          <w:tcPr>
            <w:tcW w:w="1509"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030"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1、建设功能明确、特色鲜明、设备先进、管理科学的体育训练场地、场馆和设施，使之成为群众健身、体育专业教学、训练和服务的基础保障。</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2、保障各项事务谋划达标，顺利完成。</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6"/>
        <w:gridCol w:w="1356"/>
        <w:gridCol w:w="1526"/>
        <w:gridCol w:w="3461"/>
        <w:gridCol w:w="1526"/>
        <w:gridCol w:w="33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tblHeader/>
          <w:jc w:val="center"/>
        </w:trPr>
        <w:tc>
          <w:tcPr>
            <w:tcW w:w="13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3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52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46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52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32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3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35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5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完成率</w:t>
            </w:r>
          </w:p>
        </w:tc>
        <w:tc>
          <w:tcPr>
            <w:tcW w:w="346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年度内体育场馆新建及维修改造实际工作量占计划工作量的百分比</w:t>
            </w:r>
          </w:p>
        </w:tc>
        <w:tc>
          <w:tcPr>
            <w:tcW w:w="15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≥80百分值</w:t>
            </w:r>
          </w:p>
        </w:tc>
        <w:tc>
          <w:tcPr>
            <w:tcW w:w="332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年度内体育场馆新建及维修改造实际工作量占计划工作量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6" w:hRule="atLeast"/>
          <w:jc w:val="center"/>
        </w:trPr>
        <w:tc>
          <w:tcPr>
            <w:tcW w:w="13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35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5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已支持的新建或改扩建公共文化设施的改善成效</w:t>
            </w:r>
          </w:p>
        </w:tc>
        <w:tc>
          <w:tcPr>
            <w:tcW w:w="346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反映参观使用各类公共文化设施的受众数量增长情况</w:t>
            </w:r>
          </w:p>
        </w:tc>
        <w:tc>
          <w:tcPr>
            <w:tcW w:w="15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≥10百分值</w:t>
            </w:r>
          </w:p>
        </w:tc>
        <w:tc>
          <w:tcPr>
            <w:tcW w:w="332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参观使用各类公共文化设施的受众数量增长情况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3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35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5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346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5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332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仿宋" w:hAnsi="仿宋" w:eastAsia="仿宋" w:cs="仿宋"/>
          <w:b w:val="0"/>
          <w:bCs/>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5、公园游园灯光设施绩效目标表</w:t>
      </w:r>
      <w:bookmarkStart w:id="7" w:name="_Toc7868"/>
      <w:r>
        <w:fldChar w:fldCharType="begin"/>
      </w:r>
      <w:r>
        <w:rPr>
          <w:rFonts w:hint="eastAsia" w:ascii="方正仿宋_GBK" w:hAnsi="方正仿宋_GBK" w:eastAsia="方正仿宋_GBK" w:cs="方正仿宋_GBK"/>
          <w:b/>
          <w:sz w:val="28"/>
          <w:u w:val="none"/>
          <w:lang w:eastAsia="zh-CN"/>
        </w:rPr>
        <w:instrText xml:space="preserve"> TC 5、公园游园灯光设施绩效目标表 \f C \l 1 </w:instrText>
      </w:r>
      <w:r>
        <w:rPr>
          <w:rFonts w:hint="eastAsia" w:ascii="方正仿宋_GBK" w:hAnsi="方正仿宋_GBK" w:eastAsia="方正仿宋_GBK" w:cs="方正仿宋_GBK"/>
          <w:b/>
          <w:sz w:val="28"/>
          <w:u w:val="none"/>
          <w:lang w:eastAsia="zh-CN"/>
        </w:rPr>
        <w:fldChar w:fldCharType="end"/>
      </w:r>
      <w:bookmarkEnd w:id="7"/>
    </w:p>
    <w:tbl>
      <w:tblPr>
        <w:tblStyle w:val="8"/>
        <w:tblW w:w="140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851"/>
        <w:gridCol w:w="1305"/>
        <w:gridCol w:w="1620"/>
        <w:gridCol w:w="57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320"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5744"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357-0401-YXN-E7IM</w:t>
            </w:r>
          </w:p>
        </w:tc>
        <w:tc>
          <w:tcPr>
            <w:tcW w:w="185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项目名称</w:t>
            </w:r>
          </w:p>
        </w:tc>
        <w:tc>
          <w:tcPr>
            <w:tcW w:w="8669" w:type="dxa"/>
            <w:gridSpan w:val="3"/>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公园游园灯光设施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预算数</w:t>
            </w:r>
          </w:p>
        </w:tc>
        <w:tc>
          <w:tcPr>
            <w:tcW w:w="1276"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80000.00</w:t>
            </w:r>
          </w:p>
        </w:tc>
        <w:tc>
          <w:tcPr>
            <w:tcW w:w="185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其中：财政资金</w:t>
            </w:r>
          </w:p>
        </w:tc>
        <w:tc>
          <w:tcPr>
            <w:tcW w:w="1305"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80000.00</w:t>
            </w:r>
          </w:p>
        </w:tc>
        <w:tc>
          <w:tcPr>
            <w:tcW w:w="1620"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其他资金</w:t>
            </w:r>
          </w:p>
        </w:tc>
        <w:tc>
          <w:tcPr>
            <w:tcW w:w="5744"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仿宋" w:hAnsi="仿宋" w:eastAsia="仿宋" w:cs="仿宋"/>
                <w:b w:val="0"/>
                <w:bCs/>
                <w:sz w:val="22"/>
                <w:szCs w:val="22"/>
                <w:u w:val="none"/>
                <w:vertAlign w:val="baseline"/>
                <w:lang w:eastAsia="zh-CN"/>
              </w:rPr>
            </w:pPr>
          </w:p>
        </w:tc>
        <w:tc>
          <w:tcPr>
            <w:tcW w:w="12930" w:type="dxa"/>
            <w:gridSpan w:val="6"/>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隆尧县大型李氏文化活动基础设施建设项目于2019年9月23日开工建设，于2019年10月13日已按合同清单已完成隆尧县大型李氏文化活动基础设施建设项目工程量清单中所有项目，其中隆尧县李氏文化园建筑物亮化项目中LED轮廓灯单路亮化效果不是很突出，局部地方有裸露，李氏大殿汉白玉周围与整体亮化不协调，需要增加LED洗墙灯打亮汉白玉。为使园区景观效果提高一个层次，达到更好效果，特申请增加以下工程量，总计：8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3月底</w:t>
            </w:r>
          </w:p>
        </w:tc>
        <w:tc>
          <w:tcPr>
            <w:tcW w:w="185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6月底</w:t>
            </w:r>
          </w:p>
        </w:tc>
        <w:tc>
          <w:tcPr>
            <w:tcW w:w="1305"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10月底</w:t>
            </w:r>
          </w:p>
        </w:tc>
        <w:tc>
          <w:tcPr>
            <w:tcW w:w="7364" w:type="dxa"/>
            <w:gridSpan w:val="2"/>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1134" w:type="dxa"/>
            <w:vMerge w:val="continue"/>
            <w:noWrap w:val="0"/>
            <w:vAlign w:val="top"/>
          </w:tcPr>
          <w:p>
            <w:pPr>
              <w:spacing w:line="300" w:lineRule="exact"/>
              <w:jc w:val="left"/>
              <w:outlineLvl w:val="1"/>
              <w:rPr>
                <w:rFonts w:hint="eastAsia" w:ascii="仿宋" w:hAnsi="仿宋" w:eastAsia="仿宋" w:cs="仿宋"/>
                <w:b w:val="0"/>
                <w:bCs/>
                <w:sz w:val="22"/>
                <w:szCs w:val="22"/>
                <w:u w:val="none"/>
                <w:vertAlign w:val="baseline"/>
                <w:lang w:eastAsia="zh-CN"/>
              </w:rPr>
            </w:pPr>
          </w:p>
        </w:tc>
        <w:tc>
          <w:tcPr>
            <w:tcW w:w="2410" w:type="dxa"/>
            <w:gridSpan w:val="2"/>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p>
        </w:tc>
        <w:tc>
          <w:tcPr>
            <w:tcW w:w="185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100.00</w:t>
            </w:r>
          </w:p>
        </w:tc>
        <w:tc>
          <w:tcPr>
            <w:tcW w:w="1305"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p>
        </w:tc>
        <w:tc>
          <w:tcPr>
            <w:tcW w:w="7364" w:type="dxa"/>
            <w:gridSpan w:val="2"/>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绩效目标</w:t>
            </w:r>
          </w:p>
        </w:tc>
        <w:tc>
          <w:tcPr>
            <w:tcW w:w="12930" w:type="dxa"/>
            <w:gridSpan w:val="6"/>
            <w:tcBorders>
              <w:bottom w:val="nil"/>
            </w:tcBorders>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1、项目实施有效提升旅游的知名度、吸引力，扩大旅游品牌形象的影响力，吸引更多游客来旅游观光。</w:t>
            </w:r>
          </w:p>
        </w:tc>
      </w:tr>
    </w:tbl>
    <w:p>
      <w:pPr>
        <w:spacing w:line="14" w:lineRule="exact"/>
        <w:ind w:firstLine="440" w:firstLineChars="200"/>
        <w:jc w:val="center"/>
        <w:outlineLvl w:val="9"/>
        <w:rPr>
          <w:rFonts w:hint="eastAsia" w:ascii="仿宋" w:hAnsi="仿宋" w:eastAsia="仿宋" w:cs="仿宋"/>
          <w:b w:val="0"/>
          <w:bCs/>
          <w:sz w:val="22"/>
          <w:szCs w:val="22"/>
          <w:u w:val="none"/>
          <w:lang w:eastAsia="zh-CN"/>
        </w:rPr>
      </w:pPr>
      <w:r>
        <w:rPr>
          <w:rFonts w:hint="eastAsia" w:ascii="仿宋" w:hAnsi="仿宋" w:eastAsia="仿宋" w:cs="仿宋"/>
          <w:b w:val="0"/>
          <w:bCs/>
          <w:sz w:val="22"/>
          <w:szCs w:val="22"/>
          <w:u w:val="none"/>
          <w:lang w:eastAsia="zh-CN"/>
        </w:rPr>
        <w:t xml:space="preserve"> </w:t>
      </w:r>
    </w:p>
    <w:tbl>
      <w:tblPr>
        <w:tblStyle w:val="8"/>
        <w:tblW w:w="140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3"/>
        <w:gridCol w:w="1629"/>
        <w:gridCol w:w="3292"/>
        <w:gridCol w:w="4184"/>
        <w:gridCol w:w="1785"/>
        <w:gridCol w:w="18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42" w:hRule="atLeast"/>
          <w:tblHeader/>
          <w:jc w:val="center"/>
        </w:trPr>
        <w:tc>
          <w:tcPr>
            <w:tcW w:w="1403"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一级指标</w:t>
            </w:r>
          </w:p>
        </w:tc>
        <w:tc>
          <w:tcPr>
            <w:tcW w:w="1629"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二级指标</w:t>
            </w:r>
          </w:p>
        </w:tc>
        <w:tc>
          <w:tcPr>
            <w:tcW w:w="3292"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三级指标</w:t>
            </w:r>
          </w:p>
        </w:tc>
        <w:tc>
          <w:tcPr>
            <w:tcW w:w="4184"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绩效指标描述</w:t>
            </w:r>
          </w:p>
        </w:tc>
        <w:tc>
          <w:tcPr>
            <w:tcW w:w="1785"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指标值</w:t>
            </w:r>
          </w:p>
        </w:tc>
        <w:tc>
          <w:tcPr>
            <w:tcW w:w="1800"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78" w:hRule="atLeast"/>
          <w:jc w:val="center"/>
        </w:trPr>
        <w:tc>
          <w:tcPr>
            <w:tcW w:w="1403"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产出指标</w:t>
            </w:r>
          </w:p>
        </w:tc>
        <w:tc>
          <w:tcPr>
            <w:tcW w:w="1629"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数量指标</w:t>
            </w:r>
          </w:p>
        </w:tc>
        <w:tc>
          <w:tcPr>
            <w:tcW w:w="3292"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指标4组织系列文化活动数量</w:t>
            </w:r>
          </w:p>
        </w:tc>
        <w:tc>
          <w:tcPr>
            <w:tcW w:w="4184"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组织开展系列文化活动次数（个）</w:t>
            </w:r>
          </w:p>
        </w:tc>
        <w:tc>
          <w:tcPr>
            <w:tcW w:w="1785"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≥6次</w:t>
            </w:r>
          </w:p>
        </w:tc>
        <w:tc>
          <w:tcPr>
            <w:tcW w:w="1800"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05" w:hRule="atLeast"/>
          <w:jc w:val="center"/>
        </w:trPr>
        <w:tc>
          <w:tcPr>
            <w:tcW w:w="1403" w:type="dxa"/>
            <w:vMerge w:val="restart"/>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效果指标</w:t>
            </w:r>
          </w:p>
        </w:tc>
        <w:tc>
          <w:tcPr>
            <w:tcW w:w="1629"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社会效益指标</w:t>
            </w:r>
          </w:p>
        </w:tc>
        <w:tc>
          <w:tcPr>
            <w:tcW w:w="3292"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重大文艺精品产生的社会影响和实现的社会效益</w:t>
            </w:r>
          </w:p>
        </w:tc>
        <w:tc>
          <w:tcPr>
            <w:tcW w:w="4184"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反映文艺精品创作生产情况</w:t>
            </w:r>
          </w:p>
        </w:tc>
        <w:tc>
          <w:tcPr>
            <w:tcW w:w="1785"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≥20000人次</w:t>
            </w:r>
          </w:p>
        </w:tc>
        <w:tc>
          <w:tcPr>
            <w:tcW w:w="1800"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495" w:hRule="atLeast"/>
          <w:jc w:val="center"/>
        </w:trPr>
        <w:tc>
          <w:tcPr>
            <w:tcW w:w="1403" w:type="dxa"/>
            <w:vMerge w:val="continue"/>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p>
        </w:tc>
        <w:tc>
          <w:tcPr>
            <w:tcW w:w="1629"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社会效益指标</w:t>
            </w:r>
          </w:p>
        </w:tc>
        <w:tc>
          <w:tcPr>
            <w:tcW w:w="3292"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文化产业对坚定河北文化自信、推动社会主义核心价值观建设、满足人民群众过上美好生活的新期待、提供丰富的精神文化食粮等方面产生的效果</w:t>
            </w:r>
          </w:p>
        </w:tc>
        <w:tc>
          <w:tcPr>
            <w:tcW w:w="4184"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反映文化产业在增强文化软实力，推动经济社会发展中的积极作用</w:t>
            </w:r>
          </w:p>
        </w:tc>
        <w:tc>
          <w:tcPr>
            <w:tcW w:w="1785"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≥20000人</w:t>
            </w:r>
          </w:p>
        </w:tc>
        <w:tc>
          <w:tcPr>
            <w:tcW w:w="1800"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4" w:hRule="atLeast"/>
          <w:jc w:val="center"/>
        </w:trPr>
        <w:tc>
          <w:tcPr>
            <w:tcW w:w="1403"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满意度指标</w:t>
            </w:r>
          </w:p>
        </w:tc>
        <w:tc>
          <w:tcPr>
            <w:tcW w:w="1629"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服务对象满意度指标</w:t>
            </w:r>
          </w:p>
        </w:tc>
        <w:tc>
          <w:tcPr>
            <w:tcW w:w="3292"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群众满意度</w:t>
            </w:r>
          </w:p>
        </w:tc>
        <w:tc>
          <w:tcPr>
            <w:tcW w:w="4184"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群众满意数量占总数的比例。</w:t>
            </w:r>
          </w:p>
        </w:tc>
        <w:tc>
          <w:tcPr>
            <w:tcW w:w="1785"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≥100百分值</w:t>
            </w:r>
          </w:p>
        </w:tc>
        <w:tc>
          <w:tcPr>
            <w:tcW w:w="1800"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6、冀财教[2019]103号/提前下达2020年省级体育彩票公益金专项资金绩效目标表</w:t>
      </w:r>
      <w:bookmarkStart w:id="8" w:name="_Toc22751"/>
      <w:r>
        <w:fldChar w:fldCharType="begin"/>
      </w:r>
      <w:r>
        <w:rPr>
          <w:rFonts w:hint="eastAsia" w:ascii="方正仿宋_GBK" w:hAnsi="方正仿宋_GBK" w:eastAsia="方正仿宋_GBK" w:cs="方正仿宋_GBK"/>
          <w:b/>
          <w:sz w:val="28"/>
          <w:u w:val="none"/>
          <w:lang w:eastAsia="zh-CN"/>
        </w:rPr>
        <w:instrText xml:space="preserve"> TC 6、冀财教[2019]103号/提前下达2020年省级体育彩票公益金专项资金绩效目标表 \f C \l 1 </w:instrText>
      </w:r>
      <w:r>
        <w:rPr>
          <w:rFonts w:hint="eastAsia" w:ascii="方正仿宋_GBK" w:hAnsi="方正仿宋_GBK" w:eastAsia="方正仿宋_GBK" w:cs="方正仿宋_GBK"/>
          <w:b/>
          <w:sz w:val="28"/>
          <w:u w:val="none"/>
          <w:lang w:eastAsia="zh-CN"/>
        </w:rPr>
        <w:fldChar w:fldCharType="end"/>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8"/>
        <w:gridCol w:w="1245"/>
        <w:gridCol w:w="1245"/>
        <w:gridCol w:w="1650"/>
        <w:gridCol w:w="1425"/>
        <w:gridCol w:w="1215"/>
        <w:gridCol w:w="49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218"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952"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49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357-0801-JXN-8VDI</w:t>
            </w:r>
          </w:p>
        </w:tc>
        <w:tc>
          <w:tcPr>
            <w:tcW w:w="165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592"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冀财教[2019]103号/提前下达2020年省级体育彩票公益金专项资金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8"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24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2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80000.00</w:t>
            </w:r>
          </w:p>
        </w:tc>
        <w:tc>
          <w:tcPr>
            <w:tcW w:w="165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4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80000.00</w:t>
            </w:r>
          </w:p>
        </w:tc>
        <w:tc>
          <w:tcPr>
            <w:tcW w:w="12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95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8"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732"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拟定体育事业和产业发展规划、政策制度和行业标准，加强督导落实，管理审批体育经营活动，开展体育赛事管理、体育交流合作宣传以及教练员运动员伙食补助等。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8"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49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5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42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167"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8"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49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165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42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6167"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8"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732"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1、拟定体育事业和产业发展规划、政策制度和行业标准，加强督导落实，管理审批体育经营活动，开展体育赛事管理、体育交流合作宣传以及教练员运动员伙食补助等。</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2、确保各项业务工作谋划到位、顺利开展。</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1"/>
        <w:gridCol w:w="1245"/>
        <w:gridCol w:w="1365"/>
        <w:gridCol w:w="3000"/>
        <w:gridCol w:w="1185"/>
        <w:gridCol w:w="49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2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24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3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00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1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91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2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2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3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指标5培养人才数量</w:t>
            </w:r>
          </w:p>
        </w:tc>
        <w:tc>
          <w:tcPr>
            <w:tcW w:w="30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通过加强对四个一批和燕赵文化之星人才培养，加大资金投入规模。</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≥36人</w:t>
            </w:r>
          </w:p>
        </w:tc>
        <w:tc>
          <w:tcPr>
            <w:tcW w:w="491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培养人才情况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2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2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3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确保资助项目政治导向正确</w:t>
            </w:r>
          </w:p>
        </w:tc>
        <w:tc>
          <w:tcPr>
            <w:tcW w:w="30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资助项目不出现上级通报的意识形态重大问题（个）</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≥8个</w:t>
            </w:r>
          </w:p>
        </w:tc>
        <w:tc>
          <w:tcPr>
            <w:tcW w:w="491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资助项目不出现上级通报的意识形态重大问题（个）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2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2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3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30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≥85百分值</w:t>
            </w:r>
          </w:p>
        </w:tc>
        <w:tc>
          <w:tcPr>
            <w:tcW w:w="491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群众满意情况</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7、冀财教[2019]114号/提前下达2020年非物质文化遗产保护资金绩效目标表</w:t>
      </w:r>
      <w:bookmarkStart w:id="9" w:name="_Toc19616"/>
      <w:r>
        <w:fldChar w:fldCharType="begin"/>
      </w:r>
      <w:r>
        <w:rPr>
          <w:rFonts w:hint="eastAsia" w:ascii="方正仿宋_GBK" w:hAnsi="方正仿宋_GBK" w:eastAsia="方正仿宋_GBK" w:cs="方正仿宋_GBK"/>
          <w:b/>
          <w:sz w:val="28"/>
          <w:u w:val="none"/>
          <w:lang w:eastAsia="zh-CN"/>
        </w:rPr>
        <w:instrText xml:space="preserve"> TC 7、冀财教[2019]114号/提前下达2020年非物质文化遗产保护资金绩效目标表 \f C \l 1 </w:instrText>
      </w:r>
      <w:r>
        <w:rPr>
          <w:rFonts w:hint="eastAsia" w:ascii="方正仿宋_GBK" w:hAnsi="方正仿宋_GBK" w:eastAsia="方正仿宋_GBK" w:cs="方正仿宋_GBK"/>
          <w:b/>
          <w:sz w:val="28"/>
          <w:u w:val="none"/>
          <w:lang w:eastAsia="zh-CN"/>
        </w:rPr>
        <w:fldChar w:fldCharType="end"/>
      </w:r>
      <w:bookmarkEnd w:id="9"/>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4"/>
        <w:gridCol w:w="1050"/>
        <w:gridCol w:w="1275"/>
        <w:gridCol w:w="1695"/>
        <w:gridCol w:w="1455"/>
        <w:gridCol w:w="1275"/>
        <w:gridCol w:w="4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284"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327"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325"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357-0301-JXN-WWKR</w:t>
            </w:r>
          </w:p>
        </w:tc>
        <w:tc>
          <w:tcPr>
            <w:tcW w:w="16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057"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冀财教[2019]114号/提前下达2020年非物质文化遗产保护资金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05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60000.00</w:t>
            </w:r>
          </w:p>
        </w:tc>
        <w:tc>
          <w:tcPr>
            <w:tcW w:w="16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45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60000.00</w:t>
            </w:r>
          </w:p>
        </w:tc>
        <w:tc>
          <w:tcPr>
            <w:tcW w:w="127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32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077"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组织开展非物质文化保护工作；组织实施优秀民族文化的传承普及工作。 对城乡特色鲜明的艺术形式和文化活动进行扶持和保护，推动特色文化传承发扬。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32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4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60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32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16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4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560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4"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077"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对国家级非遗代表性项目年度重点项目、国家级代表性传承人传承活动进行补助，主要补助国家级非物质文化遗产代表性项目相关的调查研究、抢救性记录和保存、传承活动、理论及技艺研究、出版、展示推广、民俗活动支出以</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2、组织开展非物质文化保护工作；组织实施优秀民族文化的传承普及工作。 对城乡特色鲜明的艺术形式和文化活动进行扶持和保护，推动特色文化传承发扬。</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5"/>
        <w:gridCol w:w="1710"/>
        <w:gridCol w:w="1590"/>
        <w:gridCol w:w="2715"/>
        <w:gridCol w:w="1230"/>
        <w:gridCol w:w="37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5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7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59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7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23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79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5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7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590"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补助国家级代表传承人传习活动人数</w:t>
            </w:r>
          </w:p>
        </w:tc>
        <w:tc>
          <w:tcPr>
            <w:tcW w:w="27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国家级代表传承人传习活动人数</w:t>
            </w:r>
          </w:p>
        </w:tc>
        <w:tc>
          <w:tcPr>
            <w:tcW w:w="123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3个</w:t>
            </w:r>
          </w:p>
        </w:tc>
        <w:tc>
          <w:tcPr>
            <w:tcW w:w="379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国家级代表传承人传习活动人数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5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7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可持续影响指标</w:t>
            </w:r>
          </w:p>
        </w:tc>
        <w:tc>
          <w:tcPr>
            <w:tcW w:w="15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长期使用性</w:t>
            </w:r>
          </w:p>
        </w:tc>
        <w:tc>
          <w:tcPr>
            <w:tcW w:w="27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对中华优秀传统文化传承影响</w:t>
            </w:r>
          </w:p>
        </w:tc>
        <w:tc>
          <w:tcPr>
            <w:tcW w:w="123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显著</w:t>
            </w:r>
          </w:p>
        </w:tc>
        <w:tc>
          <w:tcPr>
            <w:tcW w:w="379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5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7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5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7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23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79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群众满意情况</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8、冀财教[2019]118号/提前下达2020年中央补助地方免费开放补助资金/12个文化站绩效目标表</w:t>
      </w:r>
      <w:bookmarkStart w:id="10" w:name="_Toc22355"/>
      <w:r>
        <w:fldChar w:fldCharType="begin"/>
      </w:r>
      <w:r>
        <w:rPr>
          <w:rFonts w:hint="eastAsia" w:ascii="方正仿宋_GBK" w:hAnsi="方正仿宋_GBK" w:eastAsia="方正仿宋_GBK" w:cs="方正仿宋_GBK"/>
          <w:b/>
          <w:sz w:val="28"/>
          <w:u w:val="none"/>
          <w:lang w:eastAsia="zh-CN"/>
        </w:rPr>
        <w:instrText xml:space="preserve"> TC 8、冀财教[2019]118号/提前下达2020年中央补助地方免费开放补助资金/12个文化站绩效目标表 \f C \l 1 </w:instrText>
      </w:r>
      <w:r>
        <w:rPr>
          <w:rFonts w:hint="eastAsia" w:ascii="方正仿宋_GBK" w:hAnsi="方正仿宋_GBK" w:eastAsia="方正仿宋_GBK" w:cs="方正仿宋_GBK"/>
          <w:b/>
          <w:sz w:val="28"/>
          <w:u w:val="none"/>
          <w:lang w:eastAsia="zh-CN"/>
        </w:rPr>
        <w:fldChar w:fldCharType="end"/>
      </w:r>
      <w:bookmarkEnd w:id="1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9"/>
        <w:gridCol w:w="1080"/>
        <w:gridCol w:w="1395"/>
        <w:gridCol w:w="1635"/>
        <w:gridCol w:w="1410"/>
        <w:gridCol w:w="1740"/>
        <w:gridCol w:w="41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749"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192"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475"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357-0101-JXN-GA0Q</w:t>
            </w:r>
          </w:p>
        </w:tc>
        <w:tc>
          <w:tcPr>
            <w:tcW w:w="163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342"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冀财教[2019]118号/提前下达2020年中央补助地方免费开放补助资金/12个文化站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0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3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300000.00</w:t>
            </w:r>
          </w:p>
        </w:tc>
        <w:tc>
          <w:tcPr>
            <w:tcW w:w="163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4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300000.00</w:t>
            </w:r>
          </w:p>
        </w:tc>
        <w:tc>
          <w:tcPr>
            <w:tcW w:w="17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1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452"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1、印刷费   84000元   2、劳务费  216000元。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47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3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4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93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47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63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20.00</w:t>
            </w:r>
          </w:p>
        </w:tc>
        <w:tc>
          <w:tcPr>
            <w:tcW w:w="14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40.00</w:t>
            </w:r>
          </w:p>
        </w:tc>
        <w:tc>
          <w:tcPr>
            <w:tcW w:w="593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452"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1、公共文化设施达标，机构和队伍健全，实现公共文化资源共享，形成城乡一体公共文化服务网络；公共文化产品生产和服务能力提高，基本公共文化服务标准化、均等化水平不断提高。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2、文化产业在增强文化软实力，推动经济社会发展中的积极作用</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5"/>
        <w:gridCol w:w="1470"/>
        <w:gridCol w:w="1530"/>
        <w:gridCol w:w="2640"/>
        <w:gridCol w:w="1440"/>
        <w:gridCol w:w="4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47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53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6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4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3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20" w:hRule="atLeast"/>
          <w:jc w:val="center"/>
        </w:trPr>
        <w:tc>
          <w:tcPr>
            <w:tcW w:w="14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4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530"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补助资金到位率</w:t>
            </w:r>
          </w:p>
        </w:tc>
        <w:tc>
          <w:tcPr>
            <w:tcW w:w="2640"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eastAsia="zh-CN"/>
              </w:rPr>
              <w:t>公共图书馆、美术馆、文化馆、乡镇综合文化站免费开放</w:t>
            </w:r>
            <w:r>
              <w:rPr>
                <w:rFonts w:hint="eastAsia" w:ascii="仿宋" w:hAnsi="仿宋" w:eastAsia="仿宋" w:cs="仿宋"/>
                <w:b w:val="0"/>
                <w:bCs/>
                <w:sz w:val="21"/>
                <w:u w:val="none"/>
                <w:vertAlign w:val="baseline"/>
                <w:lang w:val="en-US" w:eastAsia="zh-CN"/>
              </w:rPr>
              <w:t>资金拨付率</w:t>
            </w:r>
          </w:p>
        </w:tc>
        <w:tc>
          <w:tcPr>
            <w:tcW w:w="144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w:t>
            </w:r>
            <w:r>
              <w:rPr>
                <w:rFonts w:hint="eastAsia" w:ascii="仿宋" w:hAnsi="仿宋" w:eastAsia="仿宋" w:cs="仿宋"/>
                <w:b w:val="0"/>
                <w:bCs/>
                <w:sz w:val="21"/>
                <w:u w:val="none"/>
                <w:vertAlign w:val="baseline"/>
                <w:lang w:val="en-US" w:eastAsia="zh-CN"/>
              </w:rPr>
              <w:t>100</w:t>
            </w:r>
            <w:r>
              <w:rPr>
                <w:rFonts w:hint="eastAsia" w:ascii="仿宋" w:hAnsi="仿宋" w:eastAsia="仿宋" w:cs="仿宋"/>
                <w:b w:val="0"/>
                <w:bCs/>
                <w:sz w:val="21"/>
                <w:u w:val="none"/>
                <w:vertAlign w:val="baseline"/>
                <w:lang w:eastAsia="zh-CN"/>
              </w:rPr>
              <w:t>百分值</w:t>
            </w:r>
          </w:p>
        </w:tc>
        <w:tc>
          <w:tcPr>
            <w:tcW w:w="4395"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实际拨付资金占预算资金比例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14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4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530"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免费开放服务水平稳步提升</w:t>
            </w:r>
          </w:p>
        </w:tc>
        <w:tc>
          <w:tcPr>
            <w:tcW w:w="2640"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eastAsia="zh-CN"/>
              </w:rPr>
              <w:t>公共图书馆、美术馆、文化馆、乡镇综合文化站免费开放</w:t>
            </w:r>
            <w:r>
              <w:rPr>
                <w:rFonts w:hint="eastAsia" w:ascii="仿宋" w:hAnsi="仿宋" w:eastAsia="仿宋" w:cs="仿宋"/>
                <w:b w:val="0"/>
                <w:bCs/>
                <w:sz w:val="21"/>
                <w:u w:val="none"/>
                <w:vertAlign w:val="baseline"/>
                <w:lang w:val="en-US" w:eastAsia="zh-CN"/>
              </w:rPr>
              <w:t>服务水平提升</w:t>
            </w:r>
          </w:p>
        </w:tc>
        <w:tc>
          <w:tcPr>
            <w:tcW w:w="144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长期</w:t>
            </w:r>
          </w:p>
        </w:tc>
        <w:tc>
          <w:tcPr>
            <w:tcW w:w="4395"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90" w:hRule="atLeast"/>
          <w:jc w:val="center"/>
        </w:trPr>
        <w:tc>
          <w:tcPr>
            <w:tcW w:w="14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4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53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64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44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43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9、冀财教[2019]118号/提前下达2020年中央补助地方免费开放补助资金/图书馆绩效目标表</w:t>
      </w:r>
      <w:bookmarkStart w:id="11" w:name="_Toc24582"/>
      <w:r>
        <w:fldChar w:fldCharType="begin"/>
      </w:r>
      <w:r>
        <w:rPr>
          <w:rFonts w:hint="eastAsia" w:ascii="方正仿宋_GBK" w:hAnsi="方正仿宋_GBK" w:eastAsia="方正仿宋_GBK" w:cs="方正仿宋_GBK"/>
          <w:b/>
          <w:sz w:val="28"/>
          <w:u w:val="none"/>
          <w:lang w:eastAsia="zh-CN"/>
        </w:rPr>
        <w:instrText xml:space="preserve"> TC 9、冀财教[2019]118号/提前下达2020年中央补助地方免费开放补助资金/图书馆绩效目标表 \f C \l 1 </w:instrText>
      </w:r>
      <w:r>
        <w:rPr>
          <w:rFonts w:hint="eastAsia" w:ascii="方正仿宋_GBK" w:hAnsi="方正仿宋_GBK" w:eastAsia="方正仿宋_GBK" w:cs="方正仿宋_GBK"/>
          <w:b/>
          <w:sz w:val="28"/>
          <w:u w:val="none"/>
          <w:lang w:eastAsia="zh-CN"/>
        </w:rPr>
        <w:fldChar w:fldCharType="end"/>
      </w:r>
      <w:bookmarkEnd w:id="1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9"/>
        <w:gridCol w:w="1080"/>
        <w:gridCol w:w="1320"/>
        <w:gridCol w:w="1860"/>
        <w:gridCol w:w="1260"/>
        <w:gridCol w:w="1185"/>
        <w:gridCol w:w="4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224"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267"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40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357-0401-JXN-DVSZ</w:t>
            </w:r>
          </w:p>
        </w:tc>
        <w:tc>
          <w:tcPr>
            <w:tcW w:w="18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6712"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冀财教[2019]118号/提前下达2020年中央补助地方免费开放补助资金/图书馆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0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3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100000.00</w:t>
            </w:r>
          </w:p>
        </w:tc>
        <w:tc>
          <w:tcPr>
            <w:tcW w:w="18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2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100000.00</w:t>
            </w:r>
          </w:p>
        </w:tc>
        <w:tc>
          <w:tcPr>
            <w:tcW w:w="11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26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0972"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1、邮电费  12000元 ，2、维修（护）费 4000元；3、培训费  29000元； 4、办公费11000元</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5、办公设备购置 22000元；6、专用材料费  10000元；7、劳务费12000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4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8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2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45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4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8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12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w:t>
            </w:r>
          </w:p>
        </w:tc>
        <w:tc>
          <w:tcPr>
            <w:tcW w:w="545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0972"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1、公共文化设施达标，机构和队伍健全，实现公共文化资源共享，形成城乡一体公共文化服务网络；公共文化产品生产和服务能力提高，基本公共文化服务标准化、均等化水平不断提高。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2、长期满足人民群众对精神食粮的需求。</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2"/>
        <w:gridCol w:w="1890"/>
        <w:gridCol w:w="1275"/>
        <w:gridCol w:w="2325"/>
        <w:gridCol w:w="1635"/>
        <w:gridCol w:w="38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5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89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27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32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63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8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5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8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文化设施达标率</w:t>
            </w:r>
          </w:p>
        </w:tc>
        <w:tc>
          <w:tcPr>
            <w:tcW w:w="23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公共图书馆、美术馆、文化馆、乡镇综合文化站免费开放个数占全部公共文化场馆的比例</w:t>
            </w:r>
          </w:p>
        </w:tc>
        <w:tc>
          <w:tcPr>
            <w:tcW w:w="163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384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公共图书馆、美术馆、文化馆、乡镇综合文化站免费开放个数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30" w:hRule="atLeast"/>
          <w:jc w:val="center"/>
        </w:trPr>
        <w:tc>
          <w:tcPr>
            <w:tcW w:w="15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8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可持续影响指标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长期使用性</w:t>
            </w:r>
          </w:p>
        </w:tc>
        <w:tc>
          <w:tcPr>
            <w:tcW w:w="23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能够长期满足人民群众对精神文化的需求。</w:t>
            </w:r>
          </w:p>
        </w:tc>
        <w:tc>
          <w:tcPr>
            <w:tcW w:w="163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84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长期满足人民群众对精神文化的需求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50" w:hRule="atLeast"/>
          <w:jc w:val="center"/>
        </w:trPr>
        <w:tc>
          <w:tcPr>
            <w:tcW w:w="15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8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3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63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384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10、冀财教[2019]118号/提前下达2020年中央补助地方免费开放补助资金/文化馆绩效目标表</w:t>
      </w:r>
      <w:bookmarkStart w:id="12" w:name="_Toc31612"/>
      <w:r>
        <w:fldChar w:fldCharType="begin"/>
      </w:r>
      <w:r>
        <w:rPr>
          <w:rFonts w:hint="eastAsia" w:ascii="方正仿宋_GBK" w:hAnsi="方正仿宋_GBK" w:eastAsia="方正仿宋_GBK" w:cs="方正仿宋_GBK"/>
          <w:b/>
          <w:sz w:val="28"/>
          <w:u w:val="none"/>
          <w:lang w:eastAsia="zh-CN"/>
        </w:rPr>
        <w:instrText xml:space="preserve"> TC 10、冀财教[2019]118号/提前下达2020年中央补助地方免费开放补助资金/文化馆绩效目标表 \f C \l 1 </w:instrText>
      </w:r>
      <w:r>
        <w:rPr>
          <w:rFonts w:hint="eastAsia" w:ascii="方正仿宋_GBK" w:hAnsi="方正仿宋_GBK" w:eastAsia="方正仿宋_GBK" w:cs="方正仿宋_GBK"/>
          <w:b/>
          <w:sz w:val="28"/>
          <w:u w:val="none"/>
          <w:lang w:eastAsia="zh-CN"/>
        </w:rPr>
        <w:fldChar w:fldCharType="end"/>
      </w:r>
      <w:bookmarkEnd w:id="1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907"/>
        <w:gridCol w:w="1493"/>
        <w:gridCol w:w="1620"/>
        <w:gridCol w:w="1395"/>
        <w:gridCol w:w="1425"/>
        <w:gridCol w:w="4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201"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395"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40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357-0101-JXN-US7Y</w:t>
            </w:r>
          </w:p>
        </w:tc>
        <w:tc>
          <w:tcPr>
            <w:tcW w:w="16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215"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冀财教[2019]118号/提前下达2020年中央补助地方免费开放补助资金/文化馆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0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49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100000.00</w:t>
            </w:r>
          </w:p>
        </w:tc>
        <w:tc>
          <w:tcPr>
            <w:tcW w:w="16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100000.00</w:t>
            </w:r>
          </w:p>
        </w:tc>
        <w:tc>
          <w:tcPr>
            <w:tcW w:w="142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3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235"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根据冀财教[2019]118号文件精神。文化馆免费开放资金10万元。</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其中：邮电费6000、维修（护）费5000，培训费40000，专用材料费9000，办公设备购置40000元。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4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82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4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20.00</w:t>
            </w:r>
          </w:p>
        </w:tc>
        <w:tc>
          <w:tcPr>
            <w:tcW w:w="16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13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582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235"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1、公共文化设施达标，机构和队伍健全，实现公共文化资源共享，形成城乡一体公共文化服务网络；公共文化产品生产和服务能力提高，基本公共文化服务标准化、均等化水平不断提高。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2、推动全县文化艺术领域的公共文化服务，规划引导公共文化产品生产，指导县重点文化设施建设和基层文化设施建设</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6"/>
        <w:gridCol w:w="1320"/>
        <w:gridCol w:w="1545"/>
        <w:gridCol w:w="3000"/>
        <w:gridCol w:w="1725"/>
        <w:gridCol w:w="36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6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3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54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00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72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6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3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质量指标</w:t>
            </w:r>
          </w:p>
        </w:tc>
        <w:tc>
          <w:tcPr>
            <w:tcW w:w="15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公共文化场馆免费率</w:t>
            </w:r>
          </w:p>
        </w:tc>
        <w:tc>
          <w:tcPr>
            <w:tcW w:w="30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按规定实行免费开放公共文化场馆</w:t>
            </w:r>
          </w:p>
        </w:tc>
        <w:tc>
          <w:tcPr>
            <w:tcW w:w="17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6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公共文化场馆免费情况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320"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可持续影响指标</w:t>
            </w:r>
          </w:p>
        </w:tc>
        <w:tc>
          <w:tcPr>
            <w:tcW w:w="1545"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免费开放文化场馆（站）正常运转</w:t>
            </w:r>
          </w:p>
        </w:tc>
        <w:tc>
          <w:tcPr>
            <w:tcW w:w="3000"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免费开放文化场馆（站）正常开放</w:t>
            </w:r>
          </w:p>
        </w:tc>
        <w:tc>
          <w:tcPr>
            <w:tcW w:w="17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w:t>
            </w:r>
            <w:r>
              <w:rPr>
                <w:rFonts w:hint="eastAsia" w:ascii="仿宋" w:hAnsi="仿宋" w:eastAsia="仿宋" w:cs="仿宋"/>
                <w:b w:val="0"/>
                <w:bCs/>
                <w:sz w:val="21"/>
                <w:u w:val="none"/>
                <w:vertAlign w:val="baseline"/>
                <w:lang w:val="en-US" w:eastAsia="zh-CN"/>
              </w:rPr>
              <w:t>5</w:t>
            </w:r>
            <w:r>
              <w:rPr>
                <w:rFonts w:hint="eastAsia" w:ascii="仿宋" w:hAnsi="仿宋" w:eastAsia="仿宋" w:cs="仿宋"/>
                <w:b w:val="0"/>
                <w:bCs/>
                <w:sz w:val="21"/>
                <w:u w:val="none"/>
                <w:vertAlign w:val="baseline"/>
                <w:lang w:eastAsia="zh-CN"/>
              </w:rPr>
              <w:t>百分值</w:t>
            </w:r>
          </w:p>
        </w:tc>
        <w:tc>
          <w:tcPr>
            <w:tcW w:w="36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免费开放文化场馆（站）正常开放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3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5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系列文化活动参与者满意度情况</w:t>
            </w:r>
          </w:p>
        </w:tc>
        <w:tc>
          <w:tcPr>
            <w:tcW w:w="30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系列文化活动参与者满意人数占参与人数的比例</w:t>
            </w:r>
          </w:p>
        </w:tc>
        <w:tc>
          <w:tcPr>
            <w:tcW w:w="17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6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系列文化活动参与者满意人数占参与人数的比例</w:t>
            </w:r>
          </w:p>
        </w:tc>
      </w:tr>
    </w:tbl>
    <w:p>
      <w:pPr>
        <w:spacing w:line="300" w:lineRule="exact"/>
        <w:ind w:firstLine="420" w:firstLineChars="200"/>
        <w:jc w:val="left"/>
        <w:outlineLvl w:val="9"/>
        <w:rPr>
          <w:rFonts w:hint="eastAsia" w:ascii="仿宋" w:hAnsi="仿宋" w:eastAsia="仿宋" w:cs="仿宋"/>
          <w:b w:val="0"/>
          <w:bCs/>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11、冀财教[2019]134号/提前下达2020年中央补助地方公共文化服务体系建设专项资金/绩效绩效目标表</w:t>
      </w:r>
      <w:bookmarkStart w:id="13" w:name="_Toc14494"/>
      <w:r>
        <w:fldChar w:fldCharType="begin"/>
      </w:r>
      <w:r>
        <w:rPr>
          <w:rFonts w:hint="eastAsia" w:ascii="方正仿宋_GBK" w:hAnsi="方正仿宋_GBK" w:eastAsia="方正仿宋_GBK" w:cs="方正仿宋_GBK"/>
          <w:b/>
          <w:sz w:val="28"/>
          <w:u w:val="none"/>
          <w:lang w:eastAsia="zh-CN"/>
        </w:rPr>
        <w:instrText xml:space="preserve"> TC 11、冀财教[2019]134号/提前下达2020年中央补助地方公共文化服务体系建设专项资金/绩效绩效目标表 \f C \l 1 </w:instrText>
      </w:r>
      <w:r>
        <w:rPr>
          <w:rFonts w:hint="eastAsia" w:ascii="方正仿宋_GBK" w:hAnsi="方正仿宋_GBK" w:eastAsia="方正仿宋_GBK" w:cs="方正仿宋_GBK"/>
          <w:b/>
          <w:sz w:val="28"/>
          <w:u w:val="none"/>
          <w:lang w:eastAsia="zh-CN"/>
        </w:rPr>
        <w:fldChar w:fldCharType="end"/>
      </w:r>
      <w:bookmarkEnd w:id="1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4"/>
        <w:gridCol w:w="854"/>
        <w:gridCol w:w="1546"/>
        <w:gridCol w:w="1665"/>
        <w:gridCol w:w="1395"/>
        <w:gridCol w:w="1440"/>
        <w:gridCol w:w="44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314"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417"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40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357-0101-JXN-7I73</w:t>
            </w:r>
          </w:p>
        </w:tc>
        <w:tc>
          <w:tcPr>
            <w:tcW w:w="16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252"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冀财教[2019]134号/提前下达2020年中央补助地方公共文化服务体系建设专项资金/绩效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85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54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510000.00</w:t>
            </w:r>
          </w:p>
        </w:tc>
        <w:tc>
          <w:tcPr>
            <w:tcW w:w="16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510000.00</w:t>
            </w:r>
          </w:p>
        </w:tc>
        <w:tc>
          <w:tcPr>
            <w:tcW w:w="14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41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317"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1、购买图书9200册，25元/册 合计 23万元</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2、文艺演出30场，4000元/场  合计 12万元。</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3、戏曲演出40场，4000元/场  合计 16万元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4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857"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4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20.00</w:t>
            </w:r>
          </w:p>
        </w:tc>
        <w:tc>
          <w:tcPr>
            <w:tcW w:w="16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13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5857"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317"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1、全方位宣传推介我县文化艺术资源，提升交流水平和档次。</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2、长期满足人民群众对精神文化的需求。</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0"/>
        <w:gridCol w:w="1260"/>
        <w:gridCol w:w="1650"/>
        <w:gridCol w:w="2116"/>
        <w:gridCol w:w="1889"/>
        <w:gridCol w:w="44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2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65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11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88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42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10"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2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6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支持优秀文化资源开发项目数量</w:t>
            </w:r>
          </w:p>
        </w:tc>
        <w:tc>
          <w:tcPr>
            <w:tcW w:w="211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反映支持各类民间特色手工艺及生产性非物质文化遗产保护项目情况</w:t>
            </w:r>
          </w:p>
        </w:tc>
        <w:tc>
          <w:tcPr>
            <w:tcW w:w="188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442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支持各类民间特色手工艺及生产性非物质文化遗产保护项目情况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10" w:type="dxa"/>
            <w:vMerge w:val="continue"/>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2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6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组织系列文化活动数量</w:t>
            </w:r>
          </w:p>
        </w:tc>
        <w:tc>
          <w:tcPr>
            <w:tcW w:w="211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组织开展系列文化活动次数（个）</w:t>
            </w:r>
          </w:p>
        </w:tc>
        <w:tc>
          <w:tcPr>
            <w:tcW w:w="188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≥70场</w:t>
            </w:r>
          </w:p>
        </w:tc>
        <w:tc>
          <w:tcPr>
            <w:tcW w:w="442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组织开展系列文化活动次数（个）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2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6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社会稳定水平</w:t>
            </w:r>
          </w:p>
        </w:tc>
        <w:tc>
          <w:tcPr>
            <w:tcW w:w="211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基本公共文化服务水平</w:t>
            </w:r>
          </w:p>
        </w:tc>
        <w:tc>
          <w:tcPr>
            <w:tcW w:w="188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稳步提升</w:t>
            </w:r>
          </w:p>
        </w:tc>
        <w:tc>
          <w:tcPr>
            <w:tcW w:w="442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长期满足人民群众对精神文化的需求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2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6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11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88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42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12、冀财教[2019]134号/提前下达2020年中央补助地方公共文化服务体系建设专项资金/数字平台绩效目标表</w:t>
      </w:r>
      <w:bookmarkStart w:id="14" w:name="_Toc538"/>
      <w:r>
        <w:fldChar w:fldCharType="begin"/>
      </w:r>
      <w:r>
        <w:rPr>
          <w:rFonts w:hint="eastAsia" w:ascii="方正仿宋_GBK" w:hAnsi="方正仿宋_GBK" w:eastAsia="方正仿宋_GBK" w:cs="方正仿宋_GBK"/>
          <w:b/>
          <w:sz w:val="28"/>
          <w:u w:val="none"/>
          <w:lang w:eastAsia="zh-CN"/>
        </w:rPr>
        <w:instrText xml:space="preserve"> TC 12、冀财教[2019]134号/提前下达2020年中央补助地方公共文化服务体系建设专项资金/数字平台绩效目标表 \f C \l 1 </w:instrText>
      </w:r>
      <w:r>
        <w:rPr>
          <w:rFonts w:hint="eastAsia" w:ascii="方正仿宋_GBK" w:hAnsi="方正仿宋_GBK" w:eastAsia="方正仿宋_GBK" w:cs="方正仿宋_GBK"/>
          <w:b/>
          <w:sz w:val="28"/>
          <w:u w:val="none"/>
          <w:lang w:eastAsia="zh-CN"/>
        </w:rPr>
        <w:fldChar w:fldCharType="end"/>
      </w:r>
      <w:bookmarkEnd w:id="1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1"/>
        <w:gridCol w:w="1035"/>
        <w:gridCol w:w="1185"/>
        <w:gridCol w:w="1830"/>
        <w:gridCol w:w="1335"/>
        <w:gridCol w:w="1290"/>
        <w:gridCol w:w="4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106"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629"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22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357-0501-JXN-UURT</w:t>
            </w:r>
          </w:p>
        </w:tc>
        <w:tc>
          <w:tcPr>
            <w:tcW w:w="183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254"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冀财教[2019]134号/提前下达2020年中央补助地方公共文化服务体系建设专项资金/数字平台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03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100000.00</w:t>
            </w:r>
          </w:p>
        </w:tc>
        <w:tc>
          <w:tcPr>
            <w:tcW w:w="183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3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100000.00</w:t>
            </w:r>
          </w:p>
        </w:tc>
        <w:tc>
          <w:tcPr>
            <w:tcW w:w="129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62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304"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千户营乡、牛家桥乡公共数字化平台各50000元。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22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83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3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919"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22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83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33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5919"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1"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304"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1、公共文化设施达标，机构和队伍健全，实现公共文化资源共享，形成城乡一体公共文化服务网络；公共文化产品生产和服务能力提高，基本公共文化服务标准化、均等化水平不断提高。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2、增强文化软实力，推动经济社会发展。</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0"/>
        <w:gridCol w:w="1275"/>
        <w:gridCol w:w="2115"/>
        <w:gridCol w:w="3105"/>
        <w:gridCol w:w="1380"/>
        <w:gridCol w:w="34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27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21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10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3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42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60"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21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开展宣传方式的品种或数量（次或种）</w:t>
            </w:r>
          </w:p>
        </w:tc>
        <w:tc>
          <w:tcPr>
            <w:tcW w:w="31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反映开展对外宣传形式的多样性</w:t>
            </w:r>
          </w:p>
        </w:tc>
        <w:tc>
          <w:tcPr>
            <w:tcW w:w="13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≥10次</w:t>
            </w:r>
          </w:p>
        </w:tc>
        <w:tc>
          <w:tcPr>
            <w:tcW w:w="342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开展对外宣传形式的多样性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60" w:type="dxa"/>
            <w:vMerge w:val="continue"/>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质量指标</w:t>
            </w:r>
          </w:p>
        </w:tc>
        <w:tc>
          <w:tcPr>
            <w:tcW w:w="21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公共数字文化资源建设完成率</w:t>
            </w:r>
          </w:p>
        </w:tc>
        <w:tc>
          <w:tcPr>
            <w:tcW w:w="31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公共数字文化资源建设完成情况</w:t>
            </w:r>
          </w:p>
        </w:tc>
        <w:tc>
          <w:tcPr>
            <w:tcW w:w="13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42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公共数字文化资源建设完成情况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21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社会稳定水平</w:t>
            </w:r>
          </w:p>
        </w:tc>
        <w:tc>
          <w:tcPr>
            <w:tcW w:w="31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基本公共文化服务水平</w:t>
            </w:r>
          </w:p>
        </w:tc>
        <w:tc>
          <w:tcPr>
            <w:tcW w:w="13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稳步提升</w:t>
            </w:r>
          </w:p>
        </w:tc>
        <w:tc>
          <w:tcPr>
            <w:tcW w:w="342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基本公共文化服务水平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21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31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3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42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13、冀财教[2019]134号/提前下达2020年中央补助地方公共文化服务体系建设专项资金/一般项目绩效目标表</w:t>
      </w:r>
      <w:bookmarkStart w:id="15" w:name="_Toc21683"/>
      <w:r>
        <w:fldChar w:fldCharType="begin"/>
      </w:r>
      <w:r>
        <w:rPr>
          <w:rFonts w:hint="eastAsia" w:ascii="方正仿宋_GBK" w:hAnsi="方正仿宋_GBK" w:eastAsia="方正仿宋_GBK" w:cs="方正仿宋_GBK"/>
          <w:b/>
          <w:sz w:val="28"/>
          <w:u w:val="none"/>
          <w:lang w:eastAsia="zh-CN"/>
        </w:rPr>
        <w:instrText xml:space="preserve"> TC 13、冀财教[2019]134号/提前下达2020年中央补助地方公共文化服务体系建设专项资金/一般项目绩效目标表 \f C \l 1 </w:instrText>
      </w:r>
      <w:r>
        <w:rPr>
          <w:rFonts w:hint="eastAsia" w:ascii="方正仿宋_GBK" w:hAnsi="方正仿宋_GBK" w:eastAsia="方正仿宋_GBK" w:cs="方正仿宋_GBK"/>
          <w:b/>
          <w:sz w:val="28"/>
          <w:u w:val="none"/>
          <w:lang w:eastAsia="zh-CN"/>
        </w:rPr>
        <w:fldChar w:fldCharType="end"/>
      </w:r>
      <w:bookmarkEnd w:id="1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367"/>
        <w:gridCol w:w="1765"/>
        <w:gridCol w:w="1980"/>
        <w:gridCol w:w="1185"/>
        <w:gridCol w:w="47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565"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789"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501"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357-0501-JXN-V0KG</w:t>
            </w:r>
          </w:p>
        </w:tc>
        <w:tc>
          <w:tcPr>
            <w:tcW w:w="17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954"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冀财教[2019]134号/提前下达2020年中央补助地方公共文化服务体系建设专项资金/一般项目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36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932800.00</w:t>
            </w:r>
          </w:p>
        </w:tc>
        <w:tc>
          <w:tcPr>
            <w:tcW w:w="17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9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932800.00</w:t>
            </w:r>
          </w:p>
        </w:tc>
        <w:tc>
          <w:tcPr>
            <w:tcW w:w="11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78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2220"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1、隆尧秧歌戏发展史编印出版800册，10万元；</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2、支持12个乡镇农村综合文化广场建设，每个乡镇支持2个村宣传特色文化墙（氛围营造）1.5万元/个，共计36万元；</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3、24个农村综合文化广场体育器材配备1.5万元/套。合计36万元；</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4、隆尧县首届文创及手工艺产品博览会大赛，8月、10月2次在李氏文化园举办500人参赛5.28万元；</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5、新建乡镇文化站宣传栏12个，5000元/个，合计6万元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501"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7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9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97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501"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7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40.00</w:t>
            </w:r>
          </w:p>
        </w:tc>
        <w:tc>
          <w:tcPr>
            <w:tcW w:w="19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40.00</w:t>
            </w:r>
          </w:p>
        </w:tc>
        <w:tc>
          <w:tcPr>
            <w:tcW w:w="597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2220"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1、公共文化设施达标，机构和队伍健全，实现公共文化资源共享，形成城乡一体公共文化服务网络；公共文化产品生产和服务能力提高，基本公共文化服务标准化、均等化水平不断提高。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2、长期满足人民群众对精神文化的需求</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0"/>
        <w:gridCol w:w="1410"/>
        <w:gridCol w:w="1455"/>
        <w:gridCol w:w="3360"/>
        <w:gridCol w:w="1515"/>
        <w:gridCol w:w="4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7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4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4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3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5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47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7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4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质量指标</w:t>
            </w:r>
          </w:p>
        </w:tc>
        <w:tc>
          <w:tcPr>
            <w:tcW w:w="145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文化设施达标率</w:t>
            </w:r>
          </w:p>
        </w:tc>
        <w:tc>
          <w:tcPr>
            <w:tcW w:w="33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省内实际文化设施达标数量占文化设施的比率</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447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省内实际文化设施达标数量占文化设施的比率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7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4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45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社会稳定水平</w:t>
            </w:r>
          </w:p>
        </w:tc>
        <w:tc>
          <w:tcPr>
            <w:tcW w:w="33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基本公共文化服务水平</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稳步提升</w:t>
            </w:r>
          </w:p>
        </w:tc>
        <w:tc>
          <w:tcPr>
            <w:tcW w:w="447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基本公共文化服务水平提升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7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4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45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33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47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14、冀财教[2019]141号/提前下达2020年省级“三馆一站”免费开放补助资金/图书馆绩效目标表</w:t>
      </w:r>
      <w:bookmarkStart w:id="16" w:name="_Toc31404"/>
      <w:r>
        <w:fldChar w:fldCharType="begin"/>
      </w:r>
      <w:r>
        <w:rPr>
          <w:rFonts w:hint="eastAsia" w:ascii="方正仿宋_GBK" w:hAnsi="方正仿宋_GBK" w:eastAsia="方正仿宋_GBK" w:cs="方正仿宋_GBK"/>
          <w:b/>
          <w:sz w:val="28"/>
          <w:u w:val="none"/>
          <w:lang w:eastAsia="zh-CN"/>
        </w:rPr>
        <w:instrText xml:space="preserve"> TC 14、冀财教[2019]141号/提前下达2020年省级\“三馆一站\”免费开放补助资金/图书馆绩效目标表 \f C \l 1 </w:instrText>
      </w:r>
      <w:r>
        <w:rPr>
          <w:rFonts w:hint="eastAsia" w:ascii="方正仿宋_GBK" w:hAnsi="方正仿宋_GBK" w:eastAsia="方正仿宋_GBK" w:cs="方正仿宋_GBK"/>
          <w:b/>
          <w:sz w:val="28"/>
          <w:u w:val="none"/>
          <w:lang w:eastAsia="zh-CN"/>
        </w:rPr>
        <w:fldChar w:fldCharType="end"/>
      </w:r>
      <w:bookmarkEnd w:id="16"/>
    </w:p>
    <w:tbl>
      <w:tblPr>
        <w:tblStyle w:val="8"/>
        <w:tblW w:w="145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0"/>
        <w:gridCol w:w="888"/>
        <w:gridCol w:w="1276"/>
        <w:gridCol w:w="1751"/>
        <w:gridCol w:w="1141"/>
        <w:gridCol w:w="1276"/>
        <w:gridCol w:w="68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6872"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项目编码</w:t>
            </w:r>
          </w:p>
        </w:tc>
        <w:tc>
          <w:tcPr>
            <w:tcW w:w="2164" w:type="dxa"/>
            <w:gridSpan w:val="2"/>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357-0101-JXN-2EYP</w:t>
            </w:r>
          </w:p>
        </w:tc>
        <w:tc>
          <w:tcPr>
            <w:tcW w:w="175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项目名称</w:t>
            </w:r>
          </w:p>
        </w:tc>
        <w:tc>
          <w:tcPr>
            <w:tcW w:w="9289" w:type="dxa"/>
            <w:gridSpan w:val="3"/>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冀财教[2019]141号/提前下达2020年省级“三馆一站”免费开放补助资金/图书馆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Merge w:val="restart"/>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预算规模及资金用途</w:t>
            </w:r>
          </w:p>
        </w:tc>
        <w:tc>
          <w:tcPr>
            <w:tcW w:w="888"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预算数</w:t>
            </w:r>
          </w:p>
        </w:tc>
        <w:tc>
          <w:tcPr>
            <w:tcW w:w="1276"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60000.00</w:t>
            </w:r>
          </w:p>
        </w:tc>
        <w:tc>
          <w:tcPr>
            <w:tcW w:w="175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其中：财政资金</w:t>
            </w:r>
          </w:p>
        </w:tc>
        <w:tc>
          <w:tcPr>
            <w:tcW w:w="1141"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60000.00</w:t>
            </w:r>
          </w:p>
        </w:tc>
        <w:tc>
          <w:tcPr>
            <w:tcW w:w="1276"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其他资金</w:t>
            </w:r>
          </w:p>
        </w:tc>
        <w:tc>
          <w:tcPr>
            <w:tcW w:w="6872"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Merge w:val="continue"/>
            <w:noWrap w:val="0"/>
            <w:vAlign w:val="top"/>
          </w:tcPr>
          <w:p>
            <w:pPr>
              <w:spacing w:line="300" w:lineRule="exact"/>
              <w:jc w:val="left"/>
              <w:outlineLvl w:val="1"/>
              <w:rPr>
                <w:rFonts w:hint="eastAsia" w:ascii="仿宋" w:hAnsi="仿宋" w:eastAsia="仿宋" w:cs="仿宋"/>
                <w:b w:val="0"/>
                <w:bCs/>
                <w:sz w:val="22"/>
                <w:szCs w:val="22"/>
                <w:u w:val="none"/>
                <w:vertAlign w:val="baseline"/>
                <w:lang w:eastAsia="zh-CN"/>
              </w:rPr>
            </w:pPr>
          </w:p>
        </w:tc>
        <w:tc>
          <w:tcPr>
            <w:tcW w:w="13204" w:type="dxa"/>
            <w:gridSpan w:val="6"/>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用于① 馆员工作站系统设备1台  15000元，② 存包柜1组  12000元，③ 美的空调2台  15000元。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Merge w:val="restart"/>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资金支出计划（%）</w:t>
            </w:r>
          </w:p>
        </w:tc>
        <w:tc>
          <w:tcPr>
            <w:tcW w:w="2164" w:type="dxa"/>
            <w:gridSpan w:val="2"/>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3月底</w:t>
            </w:r>
          </w:p>
        </w:tc>
        <w:tc>
          <w:tcPr>
            <w:tcW w:w="175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6月底</w:t>
            </w:r>
          </w:p>
        </w:tc>
        <w:tc>
          <w:tcPr>
            <w:tcW w:w="114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10月底</w:t>
            </w:r>
          </w:p>
        </w:tc>
        <w:tc>
          <w:tcPr>
            <w:tcW w:w="8148" w:type="dxa"/>
            <w:gridSpan w:val="2"/>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Merge w:val="continue"/>
            <w:noWrap w:val="0"/>
            <w:vAlign w:val="top"/>
          </w:tcPr>
          <w:p>
            <w:pPr>
              <w:spacing w:line="300" w:lineRule="exact"/>
              <w:jc w:val="left"/>
              <w:outlineLvl w:val="1"/>
              <w:rPr>
                <w:rFonts w:hint="eastAsia" w:ascii="仿宋" w:hAnsi="仿宋" w:eastAsia="仿宋" w:cs="仿宋"/>
                <w:b w:val="0"/>
                <w:bCs/>
                <w:sz w:val="22"/>
                <w:szCs w:val="22"/>
                <w:u w:val="none"/>
                <w:vertAlign w:val="baseline"/>
                <w:lang w:eastAsia="zh-CN"/>
              </w:rPr>
            </w:pPr>
          </w:p>
        </w:tc>
        <w:tc>
          <w:tcPr>
            <w:tcW w:w="2164" w:type="dxa"/>
            <w:gridSpan w:val="2"/>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p>
        </w:tc>
        <w:tc>
          <w:tcPr>
            <w:tcW w:w="175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30.00</w:t>
            </w:r>
          </w:p>
        </w:tc>
        <w:tc>
          <w:tcPr>
            <w:tcW w:w="1141"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40.00</w:t>
            </w:r>
          </w:p>
        </w:tc>
        <w:tc>
          <w:tcPr>
            <w:tcW w:w="8148" w:type="dxa"/>
            <w:gridSpan w:val="2"/>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1380" w:type="dxa"/>
            <w:tcBorders>
              <w:bottom w:val="nil"/>
            </w:tcBorders>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绩效目标</w:t>
            </w:r>
          </w:p>
        </w:tc>
        <w:tc>
          <w:tcPr>
            <w:tcW w:w="13204" w:type="dxa"/>
            <w:gridSpan w:val="6"/>
            <w:tcBorders>
              <w:bottom w:val="nil"/>
            </w:tcBorders>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1、公共文化设施达标，机构和队伍健全，实现公共文化资源共享，形成城乡一体公共文化服务网络；公共文化产品生产和服务能力提高，基本公共文化服务标准化、均等化水平不断提高。</w:t>
            </w:r>
          </w:p>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2、增强文化软实力，推动经济社会发展。</w:t>
            </w:r>
          </w:p>
        </w:tc>
      </w:tr>
    </w:tbl>
    <w:p>
      <w:pPr>
        <w:spacing w:line="14" w:lineRule="exact"/>
        <w:ind w:firstLine="440" w:firstLineChars="200"/>
        <w:jc w:val="center"/>
        <w:outlineLvl w:val="9"/>
        <w:rPr>
          <w:rFonts w:hint="eastAsia" w:ascii="仿宋" w:hAnsi="仿宋" w:eastAsia="仿宋" w:cs="仿宋"/>
          <w:b w:val="0"/>
          <w:bCs/>
          <w:sz w:val="22"/>
          <w:szCs w:val="22"/>
          <w:u w:val="none"/>
          <w:lang w:eastAsia="zh-CN"/>
        </w:rPr>
      </w:pPr>
      <w:r>
        <w:rPr>
          <w:rFonts w:hint="eastAsia" w:ascii="仿宋" w:hAnsi="仿宋" w:eastAsia="仿宋" w:cs="仿宋"/>
          <w:b w:val="0"/>
          <w:bCs/>
          <w:sz w:val="22"/>
          <w:szCs w:val="22"/>
          <w:u w:val="none"/>
          <w:lang w:eastAsia="zh-CN"/>
        </w:rPr>
        <w:t xml:space="preserve"> </w:t>
      </w:r>
    </w:p>
    <w:tbl>
      <w:tblPr>
        <w:tblStyle w:val="8"/>
        <w:tblW w:w="145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7"/>
        <w:gridCol w:w="907"/>
        <w:gridCol w:w="3449"/>
        <w:gridCol w:w="3174"/>
        <w:gridCol w:w="1693"/>
        <w:gridCol w:w="39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97" w:hRule="atLeast"/>
          <w:tblHeader/>
          <w:jc w:val="center"/>
        </w:trPr>
        <w:tc>
          <w:tcPr>
            <w:tcW w:w="1377"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一级指标</w:t>
            </w:r>
          </w:p>
        </w:tc>
        <w:tc>
          <w:tcPr>
            <w:tcW w:w="907"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二级指标</w:t>
            </w:r>
          </w:p>
        </w:tc>
        <w:tc>
          <w:tcPr>
            <w:tcW w:w="3449"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三级指标</w:t>
            </w:r>
          </w:p>
        </w:tc>
        <w:tc>
          <w:tcPr>
            <w:tcW w:w="3174"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绩效指标描述</w:t>
            </w:r>
          </w:p>
        </w:tc>
        <w:tc>
          <w:tcPr>
            <w:tcW w:w="1693"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指标值</w:t>
            </w:r>
          </w:p>
        </w:tc>
        <w:tc>
          <w:tcPr>
            <w:tcW w:w="3977"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42" w:hRule="atLeast"/>
          <w:jc w:val="center"/>
        </w:trPr>
        <w:tc>
          <w:tcPr>
            <w:tcW w:w="1377"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产出指标</w:t>
            </w:r>
          </w:p>
        </w:tc>
        <w:tc>
          <w:tcPr>
            <w:tcW w:w="907"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数量指标</w:t>
            </w:r>
          </w:p>
        </w:tc>
        <w:tc>
          <w:tcPr>
            <w:tcW w:w="3449"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公共文化场馆免费率</w:t>
            </w:r>
          </w:p>
        </w:tc>
        <w:tc>
          <w:tcPr>
            <w:tcW w:w="3174"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按规定实行免费开放公共图书馆</w:t>
            </w:r>
          </w:p>
        </w:tc>
        <w:tc>
          <w:tcPr>
            <w:tcW w:w="1693"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≥100百分值</w:t>
            </w:r>
          </w:p>
        </w:tc>
        <w:tc>
          <w:tcPr>
            <w:tcW w:w="3977"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公共图书馆免费开放情况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467" w:hRule="atLeast"/>
          <w:jc w:val="center"/>
        </w:trPr>
        <w:tc>
          <w:tcPr>
            <w:tcW w:w="1377"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效果指标</w:t>
            </w:r>
          </w:p>
        </w:tc>
        <w:tc>
          <w:tcPr>
            <w:tcW w:w="907"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社会效益指标</w:t>
            </w:r>
          </w:p>
        </w:tc>
        <w:tc>
          <w:tcPr>
            <w:tcW w:w="3449"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文化产业对坚定河北文化自信、推动社会主义核心价值观建设、提供丰富的精神文化食粮等方面产生的效果</w:t>
            </w:r>
          </w:p>
        </w:tc>
        <w:tc>
          <w:tcPr>
            <w:tcW w:w="3174"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反映文化产业在增强文化软实力，推动经济社会发展中的积极作用</w:t>
            </w:r>
          </w:p>
        </w:tc>
        <w:tc>
          <w:tcPr>
            <w:tcW w:w="1693"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≥90百分值</w:t>
            </w:r>
          </w:p>
        </w:tc>
        <w:tc>
          <w:tcPr>
            <w:tcW w:w="3977"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文化产业在增强文化软实力，推动经济社会发展中的积极作用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23" w:hRule="atLeast"/>
          <w:jc w:val="center"/>
        </w:trPr>
        <w:tc>
          <w:tcPr>
            <w:tcW w:w="1377" w:type="dxa"/>
            <w:noWrap w:val="0"/>
            <w:vAlign w:val="center"/>
          </w:tcPr>
          <w:p>
            <w:pPr>
              <w:spacing w:line="300" w:lineRule="exact"/>
              <w:jc w:val="center"/>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满意度指标</w:t>
            </w:r>
          </w:p>
        </w:tc>
        <w:tc>
          <w:tcPr>
            <w:tcW w:w="907"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服务对象满意度指标</w:t>
            </w:r>
          </w:p>
        </w:tc>
        <w:tc>
          <w:tcPr>
            <w:tcW w:w="3449"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群众满意度</w:t>
            </w:r>
          </w:p>
        </w:tc>
        <w:tc>
          <w:tcPr>
            <w:tcW w:w="3174"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群众满意数量占总数的比例。</w:t>
            </w:r>
          </w:p>
        </w:tc>
        <w:tc>
          <w:tcPr>
            <w:tcW w:w="1693"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≥95百分值</w:t>
            </w:r>
          </w:p>
        </w:tc>
        <w:tc>
          <w:tcPr>
            <w:tcW w:w="3977" w:type="dxa"/>
            <w:noWrap w:val="0"/>
            <w:vAlign w:val="center"/>
          </w:tcPr>
          <w:p>
            <w:pPr>
              <w:spacing w:line="300" w:lineRule="exact"/>
              <w:jc w:val="left"/>
              <w:outlineLvl w:val="9"/>
              <w:rPr>
                <w:rFonts w:hint="eastAsia" w:ascii="仿宋" w:hAnsi="仿宋" w:eastAsia="仿宋" w:cs="仿宋"/>
                <w:b w:val="0"/>
                <w:bCs/>
                <w:sz w:val="22"/>
                <w:szCs w:val="22"/>
                <w:u w:val="none"/>
                <w:vertAlign w:val="baseline"/>
                <w:lang w:eastAsia="zh-CN"/>
              </w:rPr>
            </w:pPr>
            <w:r>
              <w:rPr>
                <w:rFonts w:hint="eastAsia" w:ascii="仿宋" w:hAnsi="仿宋" w:eastAsia="仿宋" w:cs="仿宋"/>
                <w:b w:val="0"/>
                <w:bCs/>
                <w:sz w:val="22"/>
                <w:szCs w:val="22"/>
                <w:u w:val="none"/>
                <w:vertAlign w:val="baseline"/>
                <w:lang w:eastAsia="zh-CN"/>
              </w:rPr>
              <w:t>群众满意数量占总数的比例。</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15、冀财教[2019]141号/提前下达2020年省级“三馆一站”免费开放补助资金/文化馆绩效目标表</w:t>
      </w:r>
      <w:bookmarkStart w:id="17" w:name="_Toc28320"/>
      <w:r>
        <w:fldChar w:fldCharType="begin"/>
      </w:r>
      <w:r>
        <w:rPr>
          <w:rFonts w:hint="eastAsia" w:ascii="方正仿宋_GBK" w:hAnsi="方正仿宋_GBK" w:eastAsia="方正仿宋_GBK" w:cs="方正仿宋_GBK"/>
          <w:b/>
          <w:sz w:val="28"/>
          <w:u w:val="none"/>
          <w:lang w:eastAsia="zh-CN"/>
        </w:rPr>
        <w:instrText xml:space="preserve"> TC 15、冀财教[2019]141号/提前下达2020年省级\“三馆一站\”免费开放补助资金/文化馆绩效目标表 \f C \l 1 </w:instrText>
      </w:r>
      <w:r>
        <w:rPr>
          <w:rFonts w:hint="eastAsia" w:ascii="方正仿宋_GBK" w:hAnsi="方正仿宋_GBK" w:eastAsia="方正仿宋_GBK" w:cs="方正仿宋_GBK"/>
          <w:b/>
          <w:sz w:val="28"/>
          <w:u w:val="none"/>
          <w:lang w:eastAsia="zh-CN"/>
        </w:rPr>
        <w:fldChar w:fldCharType="end"/>
      </w:r>
      <w:bookmarkEnd w:id="1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53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5319"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357-0401-JXN-1U00</w:t>
            </w:r>
          </w:p>
        </w:tc>
        <w:tc>
          <w:tcPr>
            <w:tcW w:w="158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899"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冀财教[2019]141号/提前下达2020年省级“三馆一站”免费开放补助资金/文化馆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60000.00</w:t>
            </w:r>
          </w:p>
        </w:tc>
        <w:tc>
          <w:tcPr>
            <w:tcW w:w="158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60000.00</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531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897"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冀财教[2019]141号文件精神，文化馆60000元，用于①世界遗产日演出25000元，②元宵节戏曲演出30000元，③其他交通费5000元。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58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59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41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58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13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w:t>
            </w:r>
          </w:p>
        </w:tc>
        <w:tc>
          <w:tcPr>
            <w:tcW w:w="659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897"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1、公共文化设施达标，机构和队伍健全，实现公共文化资源共享，形成城乡一体公共文化服务网络；公共文化产品生产和服务能力提高，基本公共文化服务标准化、均等化水平不断提高。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2、系列文化活动参与者满意人数占参与人数的比例</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716"/>
        <w:gridCol w:w="48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89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71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8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13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支持优秀文化资源开发项目数量</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反映支持各类民间特色手工艺及生产性非物质文化遗产保护项目情况</w:t>
            </w:r>
          </w:p>
        </w:tc>
        <w:tc>
          <w:tcPr>
            <w:tcW w:w="171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≥3个</w:t>
            </w:r>
          </w:p>
        </w:tc>
        <w:tc>
          <w:tcPr>
            <w:tcW w:w="488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保护非</w:t>
            </w:r>
            <w:r>
              <w:rPr>
                <w:rFonts w:hint="eastAsia" w:ascii="仿宋" w:hAnsi="仿宋" w:eastAsia="仿宋" w:cs="仿宋"/>
                <w:b w:val="0"/>
                <w:bCs/>
                <w:sz w:val="21"/>
                <w:u w:val="none"/>
                <w:vertAlign w:val="baseline"/>
                <w:lang w:val="en-US" w:eastAsia="zh-CN"/>
              </w:rPr>
              <w:t>物质</w:t>
            </w:r>
            <w:r>
              <w:rPr>
                <w:rFonts w:hint="eastAsia" w:ascii="仿宋" w:hAnsi="仿宋" w:eastAsia="仿宋" w:cs="仿宋"/>
                <w:b w:val="0"/>
                <w:bCs/>
                <w:sz w:val="21"/>
                <w:u w:val="none"/>
                <w:vertAlign w:val="baseline"/>
                <w:lang w:eastAsia="zh-CN"/>
              </w:rPr>
              <w:t>文化遗产项目情况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13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已支持的民间特色手工艺及生产性非物质文化遗产保护项目受益对象满意度</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反映民间特色手工艺及生产性非物质文化遗产保护项目受益对象对资金扶持的认可情况</w:t>
            </w:r>
          </w:p>
        </w:tc>
        <w:tc>
          <w:tcPr>
            <w:tcW w:w="171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88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民间特色手工艺及生产性非物质文化遗产保护项目受益对象对资金扶持的认可情况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13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系列文化活动参与者满意度情况</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系列文化活动参与者满意人数占参与人数的比例</w:t>
            </w:r>
          </w:p>
        </w:tc>
        <w:tc>
          <w:tcPr>
            <w:tcW w:w="171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488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文化活动参与者满意人数占参与人数的比例</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16、冀财教[2019]141号/提前下达2020年省级“三馆一站”免费开放补助资金/文化站绩效目标表</w:t>
      </w:r>
      <w:bookmarkStart w:id="18" w:name="_Toc25500"/>
      <w:r>
        <w:fldChar w:fldCharType="begin"/>
      </w:r>
      <w:r>
        <w:rPr>
          <w:rFonts w:hint="eastAsia" w:ascii="方正仿宋_GBK" w:hAnsi="方正仿宋_GBK" w:eastAsia="方正仿宋_GBK" w:cs="方正仿宋_GBK"/>
          <w:b/>
          <w:sz w:val="28"/>
          <w:u w:val="none"/>
          <w:lang w:eastAsia="zh-CN"/>
        </w:rPr>
        <w:instrText xml:space="preserve"> TC 16、冀财教[2019]141号/提前下达2020年省级\“三馆一站\”免费开放补助资金/文化站绩效目标表 \f C \l 1 </w:instrText>
      </w:r>
      <w:r>
        <w:rPr>
          <w:rFonts w:hint="eastAsia" w:ascii="方正仿宋_GBK" w:hAnsi="方正仿宋_GBK" w:eastAsia="方正仿宋_GBK" w:cs="方正仿宋_GBK"/>
          <w:b/>
          <w:sz w:val="28"/>
          <w:u w:val="none"/>
          <w:lang w:eastAsia="zh-CN"/>
        </w:rPr>
        <w:fldChar w:fldCharType="end"/>
      </w:r>
      <w:bookmarkEnd w:id="1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9"/>
        <w:gridCol w:w="909"/>
        <w:gridCol w:w="1504"/>
        <w:gridCol w:w="1757"/>
        <w:gridCol w:w="1440"/>
        <w:gridCol w:w="1170"/>
        <w:gridCol w:w="49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139"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963"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413"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357-0101-JXN-ZOWG</w:t>
            </w:r>
          </w:p>
        </w:tc>
        <w:tc>
          <w:tcPr>
            <w:tcW w:w="175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573"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冀财教[2019]141号/提前下达2020年省级“三馆一站”免费开放补助资金/文化站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0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50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180000.00</w:t>
            </w:r>
          </w:p>
        </w:tc>
        <w:tc>
          <w:tcPr>
            <w:tcW w:w="175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44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180000.00</w:t>
            </w:r>
          </w:p>
        </w:tc>
        <w:tc>
          <w:tcPr>
            <w:tcW w:w="117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96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743"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冀财教[2019]141号，文件精神，12个乡镇文化站18万元，每个乡镇1.5万元，主要用于：①维修（护）费 60000元，②租赁费 36000元，③培训费48000元，④专用材料费  36000元。共需资金18万元。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413"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75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4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133"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413"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75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14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40.00</w:t>
            </w:r>
          </w:p>
        </w:tc>
        <w:tc>
          <w:tcPr>
            <w:tcW w:w="6133"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9"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743"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1、公共文化设施达标，机构和队伍健全，实现公共文化资源共享，形成城乡一体公共文化服务网络；公共文化产品生产和服务能力提高，基本公共文化服务标准化、均等化水平不断提高。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2、文化产业在增强文化软实力，推动经济社会发展中的积极作用</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7"/>
        <w:gridCol w:w="1017"/>
        <w:gridCol w:w="1347"/>
        <w:gridCol w:w="3054"/>
        <w:gridCol w:w="1753"/>
        <w:gridCol w:w="4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44" w:hRule="atLeast"/>
          <w:tblHeader/>
          <w:jc w:val="center"/>
        </w:trPr>
        <w:tc>
          <w:tcPr>
            <w:tcW w:w="137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01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34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05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75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52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63" w:hRule="atLeast"/>
          <w:jc w:val="center"/>
        </w:trPr>
        <w:tc>
          <w:tcPr>
            <w:tcW w:w="137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01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3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公共文化场馆免费率</w:t>
            </w:r>
          </w:p>
        </w:tc>
        <w:tc>
          <w:tcPr>
            <w:tcW w:w="305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按规定实行免费开放公共文化馆</w:t>
            </w:r>
          </w:p>
        </w:tc>
        <w:tc>
          <w:tcPr>
            <w:tcW w:w="175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52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公共文化馆免费开放情况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86" w:hRule="atLeast"/>
          <w:jc w:val="center"/>
        </w:trPr>
        <w:tc>
          <w:tcPr>
            <w:tcW w:w="137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01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347"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免费开放服务水平稳步提升</w:t>
            </w:r>
          </w:p>
        </w:tc>
        <w:tc>
          <w:tcPr>
            <w:tcW w:w="305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免费开放服务水平</w:t>
            </w:r>
          </w:p>
        </w:tc>
        <w:tc>
          <w:tcPr>
            <w:tcW w:w="175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长期</w:t>
            </w:r>
          </w:p>
        </w:tc>
        <w:tc>
          <w:tcPr>
            <w:tcW w:w="452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免费开放服务水平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2" w:hRule="atLeast"/>
          <w:jc w:val="center"/>
        </w:trPr>
        <w:tc>
          <w:tcPr>
            <w:tcW w:w="137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01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3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305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753"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eastAsia="zh-CN"/>
              </w:rPr>
              <w:t>≥95</w:t>
            </w:r>
            <w:r>
              <w:rPr>
                <w:rFonts w:hint="eastAsia" w:ascii="仿宋" w:hAnsi="仿宋" w:eastAsia="仿宋" w:cs="仿宋"/>
                <w:b w:val="0"/>
                <w:bCs/>
                <w:sz w:val="21"/>
                <w:u w:val="none"/>
                <w:vertAlign w:val="baseline"/>
                <w:lang w:val="en-US" w:eastAsia="zh-CN"/>
              </w:rPr>
              <w:t>百分值</w:t>
            </w:r>
          </w:p>
        </w:tc>
        <w:tc>
          <w:tcPr>
            <w:tcW w:w="452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17、冀财教[2019]142号/提前下达2020年省级非物质文化遗产保护资金绩效目标表</w:t>
      </w:r>
      <w:bookmarkStart w:id="19" w:name="_Toc19157"/>
      <w:r>
        <w:fldChar w:fldCharType="begin"/>
      </w:r>
      <w:r>
        <w:rPr>
          <w:rFonts w:hint="eastAsia" w:ascii="方正仿宋_GBK" w:hAnsi="方正仿宋_GBK" w:eastAsia="方正仿宋_GBK" w:cs="方正仿宋_GBK"/>
          <w:b/>
          <w:sz w:val="28"/>
          <w:u w:val="none"/>
          <w:lang w:eastAsia="zh-CN"/>
        </w:rPr>
        <w:instrText xml:space="preserve"> TC 17、冀财教[2019]142号/提前下达2020年省级非物质文化遗产保护资金绩效目标表 \f C \l 1 </w:instrText>
      </w:r>
      <w:r>
        <w:rPr>
          <w:rFonts w:hint="eastAsia" w:ascii="方正仿宋_GBK" w:hAnsi="方正仿宋_GBK" w:eastAsia="方正仿宋_GBK" w:cs="方正仿宋_GBK"/>
          <w:b/>
          <w:sz w:val="28"/>
          <w:u w:val="none"/>
          <w:lang w:eastAsia="zh-CN"/>
        </w:rPr>
        <w:fldChar w:fldCharType="end"/>
      </w:r>
      <w:bookmarkEnd w:id="19"/>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967"/>
        <w:gridCol w:w="1373"/>
        <w:gridCol w:w="1491"/>
        <w:gridCol w:w="1304"/>
        <w:gridCol w:w="1276"/>
        <w:gridCol w:w="54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5454"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34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357-0301-JXN-9PNG</w:t>
            </w:r>
          </w:p>
        </w:tc>
        <w:tc>
          <w:tcPr>
            <w:tcW w:w="149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8034"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冀财教[2019]142号/提前下达2020年省级非物质文化遗产保护资金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37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6000.00</w:t>
            </w:r>
          </w:p>
        </w:tc>
        <w:tc>
          <w:tcPr>
            <w:tcW w:w="149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6000.00</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545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865"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组织开展非物质文化保护工作；组织实施优秀民族文化的传承普及工作。 对城乡特色鲜明的艺术形式和文化活动进行扶持和保护，推动特色文化传承发扬。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34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49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73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34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149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3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673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1"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865"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对省级非遗代表性项目年度重点项目、省级代表性传承人传承活动进行补助，主要补助省级非物质文化遗产代表性项目相关的调查研究、抢救性记录和保存、传承活动、理论及技艺研究、出版、展示推广、民俗活动支出以</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2、组织开展非物质文化保护工作；组织实施优秀民族文化的传承普及工作。 对城乡特色鲜明的艺术形式和文化活动进行扶持和保护，推动特色文化传承发扬。</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2"/>
        <w:gridCol w:w="1125"/>
        <w:gridCol w:w="1470"/>
        <w:gridCol w:w="2985"/>
        <w:gridCol w:w="1365"/>
        <w:gridCol w:w="49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12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47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9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3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90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1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4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省级非遗代表性项目年度重点项目保护个数</w:t>
            </w:r>
          </w:p>
        </w:tc>
        <w:tc>
          <w:tcPr>
            <w:tcW w:w="29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当年省级传承人补助发放数占当年全省代表性传承人传习活动补助发放数</w:t>
            </w:r>
          </w:p>
        </w:tc>
        <w:tc>
          <w:tcPr>
            <w:tcW w:w="13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≥3个</w:t>
            </w:r>
          </w:p>
        </w:tc>
        <w:tc>
          <w:tcPr>
            <w:tcW w:w="49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省级代表性传承人传习活动补助发放情况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1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可持续影响指标</w:t>
            </w:r>
          </w:p>
        </w:tc>
        <w:tc>
          <w:tcPr>
            <w:tcW w:w="14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对中华优秀传统文化传承影响</w:t>
            </w:r>
          </w:p>
        </w:tc>
        <w:tc>
          <w:tcPr>
            <w:tcW w:w="29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对中华优秀传统文化传承影响</w:t>
            </w:r>
          </w:p>
        </w:tc>
        <w:tc>
          <w:tcPr>
            <w:tcW w:w="13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显著</w:t>
            </w:r>
          </w:p>
        </w:tc>
        <w:tc>
          <w:tcPr>
            <w:tcW w:w="49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对中华优秀传统文化传承影响</w:t>
            </w:r>
          </w:p>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1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4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9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3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9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群众满意情况</w:t>
            </w:r>
          </w:p>
          <w:p>
            <w:pPr>
              <w:spacing w:line="300" w:lineRule="exact"/>
              <w:jc w:val="left"/>
              <w:outlineLvl w:val="9"/>
              <w:rPr>
                <w:rFonts w:hint="eastAsia" w:ascii="仿宋" w:hAnsi="仿宋" w:eastAsia="仿宋" w:cs="仿宋"/>
                <w:b w:val="0"/>
                <w:bCs/>
                <w:sz w:val="21"/>
                <w:u w:val="none"/>
                <w:vertAlign w:val="baseline"/>
                <w:lang w:eastAsia="zh-CN"/>
              </w:rPr>
            </w:pP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18、浇建滑冰场绩效目标表</w:t>
      </w:r>
      <w:bookmarkStart w:id="20" w:name="_Toc22675"/>
      <w:r>
        <w:fldChar w:fldCharType="begin"/>
      </w:r>
      <w:r>
        <w:rPr>
          <w:rFonts w:hint="eastAsia" w:ascii="方正仿宋_GBK" w:hAnsi="方正仿宋_GBK" w:eastAsia="方正仿宋_GBK" w:cs="方正仿宋_GBK"/>
          <w:b/>
          <w:sz w:val="28"/>
          <w:u w:val="none"/>
          <w:lang w:eastAsia="zh-CN"/>
        </w:rPr>
        <w:instrText xml:space="preserve"> TC 18、浇建滑冰场绩效目标表 \f C \l 1 </w:instrText>
      </w:r>
      <w:r>
        <w:rPr>
          <w:rFonts w:hint="eastAsia" w:ascii="方正仿宋_GBK" w:hAnsi="方正仿宋_GBK" w:eastAsia="方正仿宋_GBK" w:cs="方正仿宋_GBK"/>
          <w:b/>
          <w:sz w:val="28"/>
          <w:u w:val="none"/>
          <w:lang w:eastAsia="zh-CN"/>
        </w:rPr>
        <w:fldChar w:fldCharType="end"/>
      </w:r>
      <w:bookmarkEnd w:id="2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933"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357-0801-YXN-LB0Y</w:t>
            </w:r>
          </w:p>
        </w:tc>
        <w:tc>
          <w:tcPr>
            <w:tcW w:w="158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513"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浇建滑冰场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9" w:hRule="atLeast"/>
          <w:jc w:val="center"/>
        </w:trPr>
        <w:tc>
          <w:tcPr>
            <w:tcW w:w="113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73610.00</w:t>
            </w:r>
          </w:p>
        </w:tc>
        <w:tc>
          <w:tcPr>
            <w:tcW w:w="158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73610.00</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93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1" w:hRule="atLeast"/>
          <w:jc w:val="center"/>
        </w:trPr>
        <w:tc>
          <w:tcPr>
            <w:tcW w:w="113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511"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浇建冰场专用设备购置73610元。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58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209"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41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58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13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6209"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511"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1、建设功能明确、特色鲜明、设备先进、管理科学的体育训练场地、场馆和设施，使之成为群众健身、体育专业教学、训练和服务的基础保障。</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2、保障机构正常运行。</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747"/>
        <w:gridCol w:w="4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89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74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4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13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完成率</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年度内体育场馆新建实际工作量占计划工作量的百分比</w:t>
            </w:r>
          </w:p>
        </w:tc>
        <w:tc>
          <w:tcPr>
            <w:tcW w:w="17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446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13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国民体质监测达标率（%）</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监测人数达到国民体质测定标准合格标准以上的人数占监测人数的比率</w:t>
            </w:r>
          </w:p>
        </w:tc>
        <w:tc>
          <w:tcPr>
            <w:tcW w:w="17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446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检测人数达到国民体质标准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13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7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446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19、剧团职工马玉广养老保险绩效目标表</w:t>
      </w:r>
      <w:bookmarkStart w:id="21" w:name="_Toc25420"/>
      <w:r>
        <w:fldChar w:fldCharType="begin"/>
      </w:r>
      <w:r>
        <w:rPr>
          <w:rFonts w:hint="eastAsia" w:ascii="方正仿宋_GBK" w:hAnsi="方正仿宋_GBK" w:eastAsia="方正仿宋_GBK" w:cs="方正仿宋_GBK"/>
          <w:b/>
          <w:sz w:val="28"/>
          <w:u w:val="none"/>
          <w:lang w:eastAsia="zh-CN"/>
        </w:rPr>
        <w:instrText xml:space="preserve"> TC 19、剧团职工马玉广养老保险绩效目标表 \f C \l 1 </w:instrText>
      </w:r>
      <w:r>
        <w:rPr>
          <w:rFonts w:hint="eastAsia" w:ascii="方正仿宋_GBK" w:hAnsi="方正仿宋_GBK" w:eastAsia="方正仿宋_GBK" w:cs="方正仿宋_GBK"/>
          <w:b/>
          <w:sz w:val="28"/>
          <w:u w:val="none"/>
          <w:lang w:eastAsia="zh-CN"/>
        </w:rPr>
        <w:fldChar w:fldCharType="end"/>
      </w:r>
      <w:bookmarkEnd w:id="2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6"/>
        <w:gridCol w:w="1155"/>
        <w:gridCol w:w="1245"/>
        <w:gridCol w:w="1740"/>
        <w:gridCol w:w="1425"/>
        <w:gridCol w:w="1500"/>
        <w:gridCol w:w="38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561"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3855"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40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357-0901-YXN-E152</w:t>
            </w:r>
          </w:p>
        </w:tc>
        <w:tc>
          <w:tcPr>
            <w:tcW w:w="17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6780"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剧团职工马玉广养老保险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6"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1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2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39053.48</w:t>
            </w:r>
          </w:p>
        </w:tc>
        <w:tc>
          <w:tcPr>
            <w:tcW w:w="17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4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39053.48</w:t>
            </w:r>
          </w:p>
        </w:tc>
        <w:tc>
          <w:tcPr>
            <w:tcW w:w="150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385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6"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0920"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用于马玉广养老保险单位缴纳部分。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6"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4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7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42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35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6"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40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74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42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535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6"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0920"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1、保障机关工作正常高效运转。</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2、保障社会稳定。</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1"/>
        <w:gridCol w:w="1147"/>
        <w:gridCol w:w="1069"/>
        <w:gridCol w:w="2744"/>
        <w:gridCol w:w="1281"/>
        <w:gridCol w:w="47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34" w:hRule="atLeast"/>
          <w:tblHeader/>
          <w:jc w:val="center"/>
        </w:trPr>
        <w:tc>
          <w:tcPr>
            <w:tcW w:w="150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14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06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74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28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71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98" w:hRule="atLeast"/>
          <w:jc w:val="center"/>
        </w:trPr>
        <w:tc>
          <w:tcPr>
            <w:tcW w:w="150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1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06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补贴人员数量（人）</w:t>
            </w:r>
          </w:p>
        </w:tc>
        <w:tc>
          <w:tcPr>
            <w:tcW w:w="274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享受补贴政策的人数</w:t>
            </w:r>
          </w:p>
        </w:tc>
        <w:tc>
          <w:tcPr>
            <w:tcW w:w="128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1人</w:t>
            </w:r>
          </w:p>
        </w:tc>
        <w:tc>
          <w:tcPr>
            <w:tcW w:w="471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87" w:hRule="atLeast"/>
          <w:jc w:val="center"/>
        </w:trPr>
        <w:tc>
          <w:tcPr>
            <w:tcW w:w="150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1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06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综合事务管理工作完成率</w:t>
            </w:r>
          </w:p>
        </w:tc>
        <w:tc>
          <w:tcPr>
            <w:tcW w:w="274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综合事务管理工作完成情况</w:t>
            </w:r>
          </w:p>
        </w:tc>
        <w:tc>
          <w:tcPr>
            <w:tcW w:w="128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471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6" w:hRule="atLeast"/>
          <w:jc w:val="center"/>
        </w:trPr>
        <w:tc>
          <w:tcPr>
            <w:tcW w:w="150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1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06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w:t>
            </w:r>
          </w:p>
        </w:tc>
        <w:tc>
          <w:tcPr>
            <w:tcW w:w="274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马玉广对政府救助情况</w:t>
            </w:r>
          </w:p>
        </w:tc>
        <w:tc>
          <w:tcPr>
            <w:tcW w:w="128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471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按照年初工作计划</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20、隆尧唐祖陵保护展示工程绩效目标表</w:t>
      </w:r>
      <w:bookmarkStart w:id="22" w:name="_Toc27832"/>
      <w:r>
        <w:fldChar w:fldCharType="begin"/>
      </w:r>
      <w:r>
        <w:rPr>
          <w:rFonts w:hint="eastAsia" w:ascii="方正仿宋_GBK" w:hAnsi="方正仿宋_GBK" w:eastAsia="方正仿宋_GBK" w:cs="方正仿宋_GBK"/>
          <w:b/>
          <w:sz w:val="28"/>
          <w:u w:val="none"/>
          <w:lang w:eastAsia="zh-CN"/>
        </w:rPr>
        <w:instrText xml:space="preserve"> TC 20、隆尧唐祖陵保护展示工程绩效目标表 \f C \l 1 </w:instrText>
      </w:r>
      <w:r>
        <w:rPr>
          <w:rFonts w:hint="eastAsia" w:ascii="方正仿宋_GBK" w:hAnsi="方正仿宋_GBK" w:eastAsia="方正仿宋_GBK" w:cs="方正仿宋_GBK"/>
          <w:b/>
          <w:sz w:val="28"/>
          <w:u w:val="none"/>
          <w:lang w:eastAsia="zh-CN"/>
        </w:rPr>
        <w:fldChar w:fldCharType="end"/>
      </w:r>
      <w:bookmarkEnd w:id="2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851"/>
        <w:gridCol w:w="1472"/>
        <w:gridCol w:w="1652"/>
        <w:gridCol w:w="1575"/>
        <w:gridCol w:w="745"/>
        <w:gridCol w:w="48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875"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323"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357-0301-YXN-LMNB</w:t>
            </w:r>
          </w:p>
        </w:tc>
        <w:tc>
          <w:tcPr>
            <w:tcW w:w="165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195"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隆尧唐祖陵保护展示工程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85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47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2000000.00</w:t>
            </w:r>
          </w:p>
        </w:tc>
        <w:tc>
          <w:tcPr>
            <w:tcW w:w="165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5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2000000.00</w:t>
            </w:r>
          </w:p>
        </w:tc>
        <w:tc>
          <w:tcPr>
            <w:tcW w:w="74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8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170"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根据冀财教[2018]67号文件精神，国家文物保护专项资金（唐祖陵保护展示工程）719万元，用于唐祖陵保护展示工程前期费用和保护展示工程款。2018年底前工程招标，2020年工程完工。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323"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5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57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62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323"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20.00</w:t>
            </w:r>
          </w:p>
        </w:tc>
        <w:tc>
          <w:tcPr>
            <w:tcW w:w="165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40.00</w:t>
            </w:r>
          </w:p>
        </w:tc>
        <w:tc>
          <w:tcPr>
            <w:tcW w:w="157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562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170"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1、珍贵、濒危的非物质文化遗产得到有效抢救和保护，优秀特色文化得到传承和发扬。</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2、收藏和保管物品完好数占总量的比率。</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1185"/>
        <w:gridCol w:w="1515"/>
        <w:gridCol w:w="2655"/>
        <w:gridCol w:w="1515"/>
        <w:gridCol w:w="4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2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1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5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6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5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31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2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c>
          <w:tcPr>
            <w:tcW w:w="265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濒危和重点项目数量</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≥8个</w:t>
            </w:r>
          </w:p>
        </w:tc>
        <w:tc>
          <w:tcPr>
            <w:tcW w:w="431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全国重点文物保护单位文物保护项目数量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2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重要文物精品产生的社会影响和实现的社会效益</w:t>
            </w:r>
          </w:p>
        </w:tc>
        <w:tc>
          <w:tcPr>
            <w:tcW w:w="265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提升区域文物保护水平与不、民众文物保护意识</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31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提升区域文物保护水平与不、民众文物保护意识情况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2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65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431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21、隆尧县足球场项目绩效目标表</w:t>
      </w:r>
      <w:bookmarkStart w:id="23" w:name="_Toc17243"/>
      <w:r>
        <w:fldChar w:fldCharType="begin"/>
      </w:r>
      <w:r>
        <w:rPr>
          <w:rFonts w:hint="eastAsia" w:ascii="方正仿宋_GBK" w:hAnsi="方正仿宋_GBK" w:eastAsia="方正仿宋_GBK" w:cs="方正仿宋_GBK"/>
          <w:b/>
          <w:sz w:val="28"/>
          <w:u w:val="none"/>
          <w:lang w:eastAsia="zh-CN"/>
        </w:rPr>
        <w:instrText xml:space="preserve"> TC 21、隆尧县足球场项目绩效目标表 \f C \l 1 </w:instrText>
      </w:r>
      <w:r>
        <w:rPr>
          <w:rFonts w:hint="eastAsia" w:ascii="方正仿宋_GBK" w:hAnsi="方正仿宋_GBK" w:eastAsia="方正仿宋_GBK" w:cs="方正仿宋_GBK"/>
          <w:b/>
          <w:sz w:val="28"/>
          <w:u w:val="none"/>
          <w:lang w:eastAsia="zh-CN"/>
        </w:rPr>
        <w:fldChar w:fldCharType="end"/>
      </w:r>
      <w:bookmarkEnd w:id="2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7"/>
        <w:gridCol w:w="901"/>
        <w:gridCol w:w="1457"/>
        <w:gridCol w:w="1767"/>
        <w:gridCol w:w="1560"/>
        <w:gridCol w:w="1215"/>
        <w:gridCol w:w="46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267"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610"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358"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357-0801-YXN-BD42</w:t>
            </w:r>
          </w:p>
        </w:tc>
        <w:tc>
          <w:tcPr>
            <w:tcW w:w="17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385"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隆尧县足球场项目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0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45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2000000.00</w:t>
            </w:r>
          </w:p>
        </w:tc>
        <w:tc>
          <w:tcPr>
            <w:tcW w:w="17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5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2000000.00</w:t>
            </w:r>
          </w:p>
        </w:tc>
        <w:tc>
          <w:tcPr>
            <w:tcW w:w="12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6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510"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工程占地面积11280平方米，足球场地面积7665平方米，附属工程包括看台、道路硬化、绿化、灯光照明、给排水及其他附属设施建设。工程总投资457万元。现需200万元。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358"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7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5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82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358"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7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5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w:t>
            </w:r>
          </w:p>
        </w:tc>
        <w:tc>
          <w:tcPr>
            <w:tcW w:w="582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510"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1、公共文化设施达标、机构健全，实现公共文化共享，形成城乡公共文化服务网络，公共文化产品生产和服务能力提高，基本公共文化服务标准化。均等化不断提高。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 机构正常运行。</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4"/>
        <w:gridCol w:w="904"/>
        <w:gridCol w:w="1276"/>
        <w:gridCol w:w="2892"/>
        <w:gridCol w:w="1483"/>
        <w:gridCol w:w="49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6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9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89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4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95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90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时效指标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完成率</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年度内体育场馆建设维护改造实际工作量占计划工作量的百分比</w:t>
            </w:r>
          </w:p>
        </w:tc>
        <w:tc>
          <w:tcPr>
            <w:tcW w:w="14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w:t>
            </w:r>
            <w:r>
              <w:rPr>
                <w:rFonts w:hint="eastAsia" w:ascii="仿宋" w:hAnsi="仿宋" w:eastAsia="仿宋" w:cs="仿宋"/>
                <w:b w:val="0"/>
                <w:bCs/>
                <w:sz w:val="21"/>
                <w:u w:val="none"/>
                <w:vertAlign w:val="baseline"/>
                <w:lang w:eastAsia="zh-CN"/>
              </w:rPr>
              <w:t>100百分值</w:t>
            </w:r>
          </w:p>
        </w:tc>
        <w:tc>
          <w:tcPr>
            <w:tcW w:w="495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年度基本建设实际完成情况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90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对全省宣传文化事业发展的促进推动作用</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通过支持重点宣传文化项目建设，带动全省宣传文化事业发展的效果</w:t>
            </w:r>
          </w:p>
        </w:tc>
        <w:tc>
          <w:tcPr>
            <w:tcW w:w="14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495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对全省宣传文化事业发展的促进推动作用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90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4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w:t>
            </w:r>
            <w:r>
              <w:rPr>
                <w:rFonts w:hint="eastAsia" w:ascii="仿宋" w:hAnsi="仿宋" w:eastAsia="仿宋" w:cs="仿宋"/>
                <w:b w:val="0"/>
                <w:bCs/>
                <w:sz w:val="21"/>
                <w:u w:val="none"/>
                <w:vertAlign w:val="baseline"/>
                <w:lang w:eastAsia="zh-CN"/>
              </w:rPr>
              <w:t>95百分值</w:t>
            </w:r>
          </w:p>
        </w:tc>
        <w:tc>
          <w:tcPr>
            <w:tcW w:w="495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highlight w:val="none"/>
          <w:u w:val="none"/>
          <w:lang w:eastAsia="zh-CN"/>
        </w:rPr>
        <w:t>22、旅游服务机构运行经费绩效目标表</w:t>
      </w:r>
      <w:bookmarkStart w:id="24" w:name="_Toc22444"/>
      <w:r>
        <w:fldChar w:fldCharType="begin"/>
      </w:r>
      <w:r>
        <w:rPr>
          <w:rFonts w:hint="eastAsia" w:ascii="方正仿宋_GBK" w:hAnsi="方正仿宋_GBK" w:eastAsia="方正仿宋_GBK" w:cs="方正仿宋_GBK"/>
          <w:b/>
          <w:sz w:val="28"/>
          <w:u w:val="none"/>
          <w:lang w:eastAsia="zh-CN"/>
        </w:rPr>
        <w:instrText xml:space="preserve"> TC 22、旅游服务机构运行经费绩效目标表 \f C \l 1 </w:instrText>
      </w:r>
      <w:r>
        <w:rPr>
          <w:rFonts w:hint="eastAsia" w:ascii="方正仿宋_GBK" w:hAnsi="方正仿宋_GBK" w:eastAsia="方正仿宋_GBK" w:cs="方正仿宋_GBK"/>
          <w:b/>
          <w:sz w:val="28"/>
          <w:u w:val="none"/>
          <w:lang w:eastAsia="zh-CN"/>
        </w:rPr>
        <w:fldChar w:fldCharType="end"/>
      </w:r>
      <w:bookmarkEnd w:id="2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922"/>
        <w:gridCol w:w="1382"/>
        <w:gridCol w:w="1626"/>
        <w:gridCol w:w="1359"/>
        <w:gridCol w:w="1077"/>
        <w:gridCol w:w="47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704"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304"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357-1002-JXN-6758</w:t>
            </w:r>
          </w:p>
        </w:tc>
        <w:tc>
          <w:tcPr>
            <w:tcW w:w="162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140"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旅游服务机构运行经费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2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38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120000.00</w:t>
            </w:r>
          </w:p>
        </w:tc>
        <w:tc>
          <w:tcPr>
            <w:tcW w:w="162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5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120000.00</w:t>
            </w:r>
          </w:p>
        </w:tc>
        <w:tc>
          <w:tcPr>
            <w:tcW w:w="107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70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070"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旅游机构所需办公费、水电费等经费支出12万元。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30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2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5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781"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30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w:t>
            </w:r>
          </w:p>
        </w:tc>
        <w:tc>
          <w:tcPr>
            <w:tcW w:w="162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135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w:t>
            </w:r>
          </w:p>
        </w:tc>
        <w:tc>
          <w:tcPr>
            <w:tcW w:w="5781"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070"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1、组织旅游资源普查、规划、开发和相关保护工作；指导重点旅游区域、旅游目的地和旅游线路的规划开发，引导社会资本投资旅游业，推动本县旅游产业引导股权投资基金筛选优质项目，开展项目投资。</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2、保证各项谋划到位，顺利完成。</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7"/>
        <w:gridCol w:w="1548"/>
        <w:gridCol w:w="1323"/>
        <w:gridCol w:w="3022"/>
        <w:gridCol w:w="1759"/>
        <w:gridCol w:w="34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85" w:hRule="atLeast"/>
          <w:tblHeader/>
          <w:jc w:val="center"/>
        </w:trPr>
        <w:tc>
          <w:tcPr>
            <w:tcW w:w="133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54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32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02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75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43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24" w:hRule="atLeast"/>
          <w:jc w:val="center"/>
        </w:trPr>
        <w:tc>
          <w:tcPr>
            <w:tcW w:w="1337"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54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质量指标</w:t>
            </w:r>
          </w:p>
        </w:tc>
        <w:tc>
          <w:tcPr>
            <w:tcW w:w="132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培训导游合格率（%）</w:t>
            </w:r>
          </w:p>
        </w:tc>
        <w:tc>
          <w:tcPr>
            <w:tcW w:w="302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培训合格的导游学员数量占培训总学员数量的比率</w:t>
            </w:r>
          </w:p>
        </w:tc>
        <w:tc>
          <w:tcPr>
            <w:tcW w:w="175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43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培训导游合格上岗情况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8" w:hRule="atLeast"/>
          <w:jc w:val="center"/>
        </w:trPr>
        <w:tc>
          <w:tcPr>
            <w:tcW w:w="1337" w:type="dxa"/>
            <w:vMerge w:val="continue"/>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54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质量指标</w:t>
            </w:r>
          </w:p>
        </w:tc>
        <w:tc>
          <w:tcPr>
            <w:tcW w:w="132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乡村旅游接待游客同比增长率</w:t>
            </w:r>
          </w:p>
        </w:tc>
        <w:tc>
          <w:tcPr>
            <w:tcW w:w="302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乡村旅游游客数量增长率</w:t>
            </w:r>
          </w:p>
        </w:tc>
        <w:tc>
          <w:tcPr>
            <w:tcW w:w="175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≥10百分值</w:t>
            </w:r>
          </w:p>
        </w:tc>
        <w:tc>
          <w:tcPr>
            <w:tcW w:w="343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乡村旅游游客情况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24" w:hRule="atLeast"/>
          <w:jc w:val="center"/>
        </w:trPr>
        <w:tc>
          <w:tcPr>
            <w:tcW w:w="133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54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32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督导投诉游客的满意度</w:t>
            </w:r>
          </w:p>
        </w:tc>
        <w:tc>
          <w:tcPr>
            <w:tcW w:w="302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年度督导旅游投诉案件的游客满意程度</w:t>
            </w:r>
          </w:p>
        </w:tc>
        <w:tc>
          <w:tcPr>
            <w:tcW w:w="175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43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督导投诉游客的满意度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42" w:hRule="atLeast"/>
          <w:jc w:val="center"/>
        </w:trPr>
        <w:tc>
          <w:tcPr>
            <w:tcW w:w="133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54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32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302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75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w:t>
            </w:r>
            <w:r>
              <w:rPr>
                <w:rFonts w:hint="eastAsia" w:ascii="仿宋" w:hAnsi="仿宋" w:eastAsia="仿宋" w:cs="仿宋"/>
                <w:b w:val="0"/>
                <w:bCs/>
                <w:sz w:val="21"/>
                <w:u w:val="none"/>
                <w:vertAlign w:val="baseline"/>
                <w:lang w:eastAsia="zh-CN"/>
              </w:rPr>
              <w:t>100百分值</w:t>
            </w:r>
          </w:p>
        </w:tc>
        <w:tc>
          <w:tcPr>
            <w:tcW w:w="343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23、市县体育赛事活动绩效目标表</w:t>
      </w:r>
      <w:bookmarkStart w:id="25" w:name="_Toc16188"/>
      <w:r>
        <w:fldChar w:fldCharType="begin"/>
      </w:r>
      <w:r>
        <w:rPr>
          <w:rFonts w:hint="eastAsia" w:ascii="方正仿宋_GBK" w:hAnsi="方正仿宋_GBK" w:eastAsia="方正仿宋_GBK" w:cs="方正仿宋_GBK"/>
          <w:b/>
          <w:sz w:val="28"/>
          <w:u w:val="none"/>
          <w:lang w:eastAsia="zh-CN"/>
        </w:rPr>
        <w:instrText xml:space="preserve"> TC 23、市县体育赛事活动绩效目标表 \f C \l 1 </w:instrText>
      </w:r>
      <w:r>
        <w:rPr>
          <w:rFonts w:hint="eastAsia" w:ascii="方正仿宋_GBK" w:hAnsi="方正仿宋_GBK" w:eastAsia="方正仿宋_GBK" w:cs="方正仿宋_GBK"/>
          <w:b/>
          <w:sz w:val="28"/>
          <w:u w:val="none"/>
          <w:lang w:eastAsia="zh-CN"/>
        </w:rPr>
        <w:fldChar w:fldCharType="end"/>
      </w:r>
      <w:bookmarkEnd w:id="2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7"/>
        <w:gridCol w:w="911"/>
        <w:gridCol w:w="1384"/>
        <w:gridCol w:w="1695"/>
        <w:gridCol w:w="1089"/>
        <w:gridCol w:w="1276"/>
        <w:gridCol w:w="4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726"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295"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357-0901-JXN-Q93N</w:t>
            </w:r>
          </w:p>
        </w:tc>
        <w:tc>
          <w:tcPr>
            <w:tcW w:w="16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091"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市县体育赛事活动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1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38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70000.00</w:t>
            </w:r>
          </w:p>
        </w:tc>
        <w:tc>
          <w:tcPr>
            <w:tcW w:w="16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08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70000.00</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72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081"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市、县级农民运动会，各项比赛活动，二、三级社会指导员的培训。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29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08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00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29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6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w:t>
            </w:r>
          </w:p>
        </w:tc>
        <w:tc>
          <w:tcPr>
            <w:tcW w:w="108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w:t>
            </w:r>
          </w:p>
        </w:tc>
        <w:tc>
          <w:tcPr>
            <w:tcW w:w="600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081"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1、确保各项工作谋划到位，顺利完成</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2、保障机关工作正常高效运转。</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8"/>
        <w:gridCol w:w="910"/>
        <w:gridCol w:w="1276"/>
        <w:gridCol w:w="2892"/>
        <w:gridCol w:w="1747"/>
        <w:gridCol w:w="42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5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9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89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74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2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58"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9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培训社会体育指导员数量（人）</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当年管理、指导和培训社会体育指导员的人数</w:t>
            </w:r>
          </w:p>
        </w:tc>
        <w:tc>
          <w:tcPr>
            <w:tcW w:w="17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≥12次</w:t>
            </w:r>
          </w:p>
        </w:tc>
        <w:tc>
          <w:tcPr>
            <w:tcW w:w="428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培训社会体育指导员的人数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58" w:type="dxa"/>
            <w:vMerge w:val="continue"/>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9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质量指标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综合业务管理工作完成率</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综合业务管理工作完成情况</w:t>
            </w:r>
          </w:p>
        </w:tc>
        <w:tc>
          <w:tcPr>
            <w:tcW w:w="17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28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综合业务管理工作完成率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5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9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国民体质监测达标率（%）</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监测人数达到国民体质测定标准合格标准以上的人数占监测人数的比率</w:t>
            </w:r>
          </w:p>
        </w:tc>
        <w:tc>
          <w:tcPr>
            <w:tcW w:w="17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28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国民体质检测达标情况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5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9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8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74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28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24、唐祖陵遗址保护规划绩效目标表</w:t>
      </w:r>
      <w:bookmarkStart w:id="26" w:name="_Toc4978"/>
      <w:r>
        <w:fldChar w:fldCharType="begin"/>
      </w:r>
      <w:r>
        <w:rPr>
          <w:rFonts w:hint="eastAsia" w:ascii="方正仿宋_GBK" w:hAnsi="方正仿宋_GBK" w:eastAsia="方正仿宋_GBK" w:cs="方正仿宋_GBK"/>
          <w:b/>
          <w:sz w:val="28"/>
          <w:u w:val="none"/>
          <w:lang w:eastAsia="zh-CN"/>
        </w:rPr>
        <w:instrText xml:space="preserve"> TC 24、唐祖陵遗址保护规划绩效目标表 \f C \l 1 </w:instrText>
      </w:r>
      <w:r>
        <w:rPr>
          <w:rFonts w:hint="eastAsia" w:ascii="方正仿宋_GBK" w:hAnsi="方正仿宋_GBK" w:eastAsia="方正仿宋_GBK" w:cs="方正仿宋_GBK"/>
          <w:b/>
          <w:sz w:val="28"/>
          <w:u w:val="none"/>
          <w:lang w:eastAsia="zh-CN"/>
        </w:rPr>
        <w:fldChar w:fldCharType="end"/>
      </w:r>
      <w:bookmarkEnd w:id="2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3"/>
        <w:gridCol w:w="905"/>
        <w:gridCol w:w="1457"/>
        <w:gridCol w:w="1583"/>
        <w:gridCol w:w="1297"/>
        <w:gridCol w:w="1107"/>
        <w:gridCol w:w="5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5278"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362"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357-0301-YXN-01V7</w:t>
            </w:r>
          </w:p>
        </w:tc>
        <w:tc>
          <w:tcPr>
            <w:tcW w:w="15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682"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唐祖陵遗址保护规划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0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45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385800.00</w:t>
            </w:r>
          </w:p>
        </w:tc>
        <w:tc>
          <w:tcPr>
            <w:tcW w:w="15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29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385800.00</w:t>
            </w:r>
          </w:p>
        </w:tc>
        <w:tc>
          <w:tcPr>
            <w:tcW w:w="110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527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627"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组织开展非物质文化保护工作；组织实施优秀民族文化的传承普及工作。 对城乡特色鲜明的艺术形式和文化活动进行扶持和保护，推动特色文化传承发扬。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36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5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29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38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36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5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29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638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627"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1、珍贵、濒危的非物质文化遗产得到有效抢救和保护，优秀特色文化得到传承和发扬。</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2、管理和指导全县考古工作，组织、协同重大文物保护和考古项目的实施，承担确定市级文物保护单位的有关工作。</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6"/>
        <w:gridCol w:w="1444"/>
        <w:gridCol w:w="1650"/>
        <w:gridCol w:w="3195"/>
        <w:gridCol w:w="1860"/>
        <w:gridCol w:w="34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3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44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65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31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86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44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44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6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濒危和重点项目有效保护覆盖率（%）</w:t>
            </w:r>
          </w:p>
        </w:tc>
        <w:tc>
          <w:tcPr>
            <w:tcW w:w="31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有效保护的濒危和重点项目数量占项目总数量的比率</w:t>
            </w:r>
          </w:p>
        </w:tc>
        <w:tc>
          <w:tcPr>
            <w:tcW w:w="18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344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13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44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6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收藏及保管物品完好率</w:t>
            </w:r>
          </w:p>
        </w:tc>
        <w:tc>
          <w:tcPr>
            <w:tcW w:w="31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收藏和保管物品（各类型资源文献、文化艺术作品和档案材料等）完好数占总量的比率</w:t>
            </w:r>
          </w:p>
        </w:tc>
        <w:tc>
          <w:tcPr>
            <w:tcW w:w="18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44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45" w:hRule="atLeast"/>
          <w:jc w:val="center"/>
        </w:trPr>
        <w:tc>
          <w:tcPr>
            <w:tcW w:w="13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44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6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31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86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344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按照年初工作计划</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25、土地出让金/隆尧县博物馆文化布展工程绩效目标表</w:t>
      </w:r>
      <w:bookmarkStart w:id="27" w:name="_Toc19661"/>
      <w:r>
        <w:fldChar w:fldCharType="begin"/>
      </w:r>
      <w:r>
        <w:rPr>
          <w:rFonts w:hint="eastAsia" w:ascii="方正仿宋_GBK" w:hAnsi="方正仿宋_GBK" w:eastAsia="方正仿宋_GBK" w:cs="方正仿宋_GBK"/>
          <w:b/>
          <w:sz w:val="28"/>
          <w:u w:val="none"/>
          <w:lang w:eastAsia="zh-CN"/>
        </w:rPr>
        <w:instrText xml:space="preserve"> TC 25、土地出让金/隆尧县博物馆文化布展工程绩效目标表 \f C \l 1 </w:instrText>
      </w:r>
      <w:r>
        <w:rPr>
          <w:rFonts w:hint="eastAsia" w:ascii="方正仿宋_GBK" w:hAnsi="方正仿宋_GBK" w:eastAsia="方正仿宋_GBK" w:cs="方正仿宋_GBK"/>
          <w:b/>
          <w:sz w:val="28"/>
          <w:u w:val="none"/>
          <w:lang w:eastAsia="zh-CN"/>
        </w:rPr>
        <w:fldChar w:fldCharType="end"/>
      </w:r>
      <w:bookmarkEnd w:id="2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2"/>
        <w:gridCol w:w="956"/>
        <w:gridCol w:w="1442"/>
        <w:gridCol w:w="1682"/>
        <w:gridCol w:w="1363"/>
        <w:gridCol w:w="1397"/>
        <w:gridCol w:w="4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15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556"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398"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357-0401-YXN-DAUW</w:t>
            </w:r>
          </w:p>
        </w:tc>
        <w:tc>
          <w:tcPr>
            <w:tcW w:w="168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316"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土地出让金/隆尧县博物馆文化布展工程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44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5000000.00</w:t>
            </w:r>
          </w:p>
        </w:tc>
        <w:tc>
          <w:tcPr>
            <w:tcW w:w="168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6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5000000.00</w:t>
            </w:r>
          </w:p>
        </w:tc>
        <w:tc>
          <w:tcPr>
            <w:tcW w:w="139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55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396"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隆尧县博物馆布展工程款，4619424 元，可行性研究报告72000元、预算编制费61576元、施工图审图费10000元、工程监理费237000元。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398"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8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6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953"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398"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68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w:t>
            </w:r>
          </w:p>
        </w:tc>
        <w:tc>
          <w:tcPr>
            <w:tcW w:w="136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w:t>
            </w:r>
          </w:p>
        </w:tc>
        <w:tc>
          <w:tcPr>
            <w:tcW w:w="5953"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396"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1、保障机关工作正常运转。</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2、保障各项谋划到位，顺利完成。</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1"/>
        <w:gridCol w:w="1200"/>
        <w:gridCol w:w="1800"/>
        <w:gridCol w:w="2445"/>
        <w:gridCol w:w="2010"/>
        <w:gridCol w:w="39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1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20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80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44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20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93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79" w:hRule="atLeast"/>
          <w:jc w:val="center"/>
        </w:trPr>
        <w:tc>
          <w:tcPr>
            <w:tcW w:w="131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2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时效指标</w:t>
            </w:r>
          </w:p>
        </w:tc>
        <w:tc>
          <w:tcPr>
            <w:tcW w:w="18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完成率</w:t>
            </w:r>
          </w:p>
        </w:tc>
        <w:tc>
          <w:tcPr>
            <w:tcW w:w="24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综合事务工作完成率</w:t>
            </w:r>
          </w:p>
        </w:tc>
        <w:tc>
          <w:tcPr>
            <w:tcW w:w="20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w:t>
            </w:r>
            <w:r>
              <w:rPr>
                <w:rFonts w:hint="eastAsia" w:ascii="仿宋" w:hAnsi="仿宋" w:eastAsia="仿宋" w:cs="仿宋"/>
                <w:b w:val="0"/>
                <w:bCs/>
                <w:sz w:val="21"/>
                <w:u w:val="none"/>
                <w:vertAlign w:val="baseline"/>
                <w:lang w:eastAsia="zh-CN"/>
              </w:rPr>
              <w:t>100百分值</w:t>
            </w:r>
          </w:p>
        </w:tc>
        <w:tc>
          <w:tcPr>
            <w:tcW w:w="393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综合事务工作完成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95" w:hRule="atLeast"/>
          <w:jc w:val="center"/>
        </w:trPr>
        <w:tc>
          <w:tcPr>
            <w:tcW w:w="131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2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8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藏品保存完好率</w:t>
            </w:r>
          </w:p>
        </w:tc>
        <w:tc>
          <w:tcPr>
            <w:tcW w:w="24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收藏和保护物品，（各类型资源、文献、文化艺术作品和档案材料等）完成数占总数的比例</w:t>
            </w:r>
          </w:p>
        </w:tc>
        <w:tc>
          <w:tcPr>
            <w:tcW w:w="20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≥85百分值</w:t>
            </w:r>
          </w:p>
        </w:tc>
        <w:tc>
          <w:tcPr>
            <w:tcW w:w="393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收藏及保管物品完好率。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60" w:hRule="atLeast"/>
          <w:jc w:val="center"/>
        </w:trPr>
        <w:tc>
          <w:tcPr>
            <w:tcW w:w="131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2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8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4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20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w:t>
            </w:r>
            <w:r>
              <w:rPr>
                <w:rFonts w:hint="eastAsia" w:ascii="仿宋" w:hAnsi="仿宋" w:eastAsia="仿宋" w:cs="仿宋"/>
                <w:b w:val="0"/>
                <w:bCs/>
                <w:sz w:val="21"/>
                <w:u w:val="none"/>
                <w:vertAlign w:val="baseline"/>
                <w:lang w:eastAsia="zh-CN"/>
              </w:rPr>
              <w:t>100百分值</w:t>
            </w:r>
          </w:p>
        </w:tc>
        <w:tc>
          <w:tcPr>
            <w:tcW w:w="393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26、土地出让金/隆尧县全民健身活动中心工程绩效目标表</w:t>
      </w:r>
      <w:bookmarkStart w:id="28" w:name="_Toc15027"/>
      <w:r>
        <w:fldChar w:fldCharType="begin"/>
      </w:r>
      <w:r>
        <w:rPr>
          <w:rFonts w:hint="eastAsia" w:ascii="方正仿宋_GBK" w:hAnsi="方正仿宋_GBK" w:eastAsia="方正仿宋_GBK" w:cs="方正仿宋_GBK"/>
          <w:b/>
          <w:sz w:val="28"/>
          <w:u w:val="none"/>
          <w:lang w:eastAsia="zh-CN"/>
        </w:rPr>
        <w:instrText xml:space="preserve"> TC 26、土地出让金/隆尧县全民健身活动中心工程绩效目标表 \f C \l 1 </w:instrText>
      </w:r>
      <w:r>
        <w:rPr>
          <w:rFonts w:hint="eastAsia" w:ascii="方正仿宋_GBK" w:hAnsi="方正仿宋_GBK" w:eastAsia="方正仿宋_GBK" w:cs="方正仿宋_GBK"/>
          <w:b/>
          <w:sz w:val="28"/>
          <w:u w:val="none"/>
          <w:lang w:eastAsia="zh-CN"/>
        </w:rPr>
        <w:fldChar w:fldCharType="end"/>
      </w:r>
      <w:bookmarkEnd w:id="2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9"/>
        <w:gridCol w:w="849"/>
        <w:gridCol w:w="1412"/>
        <w:gridCol w:w="1609"/>
        <w:gridCol w:w="1361"/>
        <w:gridCol w:w="1062"/>
        <w:gridCol w:w="57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5720"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261"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357-0801-YXN-WWMH</w:t>
            </w:r>
          </w:p>
        </w:tc>
        <w:tc>
          <w:tcPr>
            <w:tcW w:w="160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8143"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土地出让金/隆尧县全民健身活动中心工程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84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41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500000.00</w:t>
            </w:r>
          </w:p>
        </w:tc>
        <w:tc>
          <w:tcPr>
            <w:tcW w:w="160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6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500000.00</w:t>
            </w:r>
          </w:p>
        </w:tc>
        <w:tc>
          <w:tcPr>
            <w:tcW w:w="106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57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2013"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工程款444000元，工程监理费56000元。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9"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261"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0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6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78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9"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261"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60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136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6782"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9"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2013"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1、组织公共文化服务活动</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2、开展全民健身活动。</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4"/>
        <w:gridCol w:w="1185"/>
        <w:gridCol w:w="1671"/>
        <w:gridCol w:w="2790"/>
        <w:gridCol w:w="2280"/>
        <w:gridCol w:w="40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1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67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79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22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0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67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公共文化服务活动数量（场次）指标</w:t>
            </w:r>
          </w:p>
        </w:tc>
        <w:tc>
          <w:tcPr>
            <w:tcW w:w="27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各类公共文化服务活动组织开展数量</w:t>
            </w:r>
          </w:p>
        </w:tc>
        <w:tc>
          <w:tcPr>
            <w:tcW w:w="22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w:t>
            </w:r>
            <w:r>
              <w:rPr>
                <w:rFonts w:hint="eastAsia" w:ascii="仿宋" w:hAnsi="仿宋" w:eastAsia="仿宋" w:cs="仿宋"/>
                <w:b w:val="0"/>
                <w:bCs/>
                <w:sz w:val="21"/>
                <w:u w:val="none"/>
                <w:vertAlign w:val="baseline"/>
                <w:lang w:eastAsia="zh-CN"/>
              </w:rPr>
              <w:t>12次</w:t>
            </w:r>
          </w:p>
        </w:tc>
        <w:tc>
          <w:tcPr>
            <w:tcW w:w="40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公共文化服务活动情况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70" w:hRule="atLeast"/>
          <w:jc w:val="center"/>
        </w:trPr>
        <w:tc>
          <w:tcPr>
            <w:tcW w:w="14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67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综合利用率</w:t>
            </w:r>
          </w:p>
        </w:tc>
        <w:tc>
          <w:tcPr>
            <w:tcW w:w="27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基础设施建成后的利用、使用情况</w:t>
            </w:r>
          </w:p>
        </w:tc>
        <w:tc>
          <w:tcPr>
            <w:tcW w:w="22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40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综合利用情况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20" w:hRule="atLeast"/>
          <w:jc w:val="center"/>
        </w:trPr>
        <w:tc>
          <w:tcPr>
            <w:tcW w:w="14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67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7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22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0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27、土地出让金/美丽乡村农民健身工程绩效目标表</w:t>
      </w:r>
      <w:bookmarkStart w:id="29" w:name="_Toc12114"/>
      <w:r>
        <w:fldChar w:fldCharType="begin"/>
      </w:r>
      <w:r>
        <w:rPr>
          <w:rFonts w:hint="eastAsia" w:ascii="方正仿宋_GBK" w:hAnsi="方正仿宋_GBK" w:eastAsia="方正仿宋_GBK" w:cs="方正仿宋_GBK"/>
          <w:b/>
          <w:sz w:val="28"/>
          <w:u w:val="none"/>
          <w:lang w:eastAsia="zh-CN"/>
        </w:rPr>
        <w:instrText xml:space="preserve"> TC 27、土地出让金/美丽乡村农民健身工程绩效目标表 \f C \l 1 </w:instrText>
      </w:r>
      <w:r>
        <w:rPr>
          <w:rFonts w:hint="eastAsia" w:ascii="方正仿宋_GBK" w:hAnsi="方正仿宋_GBK" w:eastAsia="方正仿宋_GBK" w:cs="方正仿宋_GBK"/>
          <w:b/>
          <w:sz w:val="28"/>
          <w:u w:val="none"/>
          <w:lang w:eastAsia="zh-CN"/>
        </w:rPr>
        <w:fldChar w:fldCharType="end"/>
      </w:r>
      <w:bookmarkEnd w:id="29"/>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8"/>
        <w:gridCol w:w="880"/>
        <w:gridCol w:w="1397"/>
        <w:gridCol w:w="1467"/>
        <w:gridCol w:w="1458"/>
        <w:gridCol w:w="1122"/>
        <w:gridCol w:w="58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5868"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277"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357-0801-JXN-8IQ7</w:t>
            </w:r>
          </w:p>
        </w:tc>
        <w:tc>
          <w:tcPr>
            <w:tcW w:w="14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8448"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土地出让金/美丽乡村农民健身工程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8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397"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300000.00</w:t>
            </w:r>
          </w:p>
        </w:tc>
        <w:tc>
          <w:tcPr>
            <w:tcW w:w="14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45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300000.00</w:t>
            </w:r>
          </w:p>
        </w:tc>
        <w:tc>
          <w:tcPr>
            <w:tcW w:w="112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586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2192"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美丽乡村农民健身器材20套。单价15000元，合计300000元。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277"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4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45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99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277"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46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45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699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2192"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1、确保各项业务工作谋划到位、顺利开展。</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2、提升国民体质。</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7"/>
        <w:gridCol w:w="1710"/>
        <w:gridCol w:w="1746"/>
        <w:gridCol w:w="2580"/>
        <w:gridCol w:w="1845"/>
        <w:gridCol w:w="42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9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71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74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5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84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29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97"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7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74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新推体育服务标准数量（个）</w:t>
            </w:r>
          </w:p>
        </w:tc>
        <w:tc>
          <w:tcPr>
            <w:tcW w:w="25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制定出台体育服务规范和评价体系、体育用品生产技术标准、健身服务业服务标准的数量</w:t>
            </w:r>
          </w:p>
        </w:tc>
        <w:tc>
          <w:tcPr>
            <w:tcW w:w="18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≥10个</w:t>
            </w:r>
          </w:p>
        </w:tc>
        <w:tc>
          <w:tcPr>
            <w:tcW w:w="42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新推体育服务标准情况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97" w:type="dxa"/>
            <w:vMerge w:val="continue"/>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7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质量指标</w:t>
            </w:r>
          </w:p>
        </w:tc>
        <w:tc>
          <w:tcPr>
            <w:tcW w:w="174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行政管理工作目标达标率</w:t>
            </w:r>
          </w:p>
        </w:tc>
        <w:tc>
          <w:tcPr>
            <w:tcW w:w="25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设施设备正常运行，政令畅通，干部队伍素质不断提高。</w:t>
            </w:r>
          </w:p>
        </w:tc>
        <w:tc>
          <w:tcPr>
            <w:tcW w:w="18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2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行政管理工作目标达标情况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9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7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74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国民体质监测达标率（%）</w:t>
            </w:r>
          </w:p>
        </w:tc>
        <w:tc>
          <w:tcPr>
            <w:tcW w:w="25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监测人数达到国民体质测定标准合格标准以上的人数占监测人数的比率</w:t>
            </w:r>
          </w:p>
        </w:tc>
        <w:tc>
          <w:tcPr>
            <w:tcW w:w="18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2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国民体质监测达标情况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9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71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74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5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8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29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按照年初工作计划</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28、土地出让金/全民健身活动中心配套设施（设备购置）绩效目标表</w:t>
      </w:r>
      <w:bookmarkStart w:id="30" w:name="_Toc12789"/>
      <w:r>
        <w:fldChar w:fldCharType="begin"/>
      </w:r>
      <w:r>
        <w:rPr>
          <w:rFonts w:hint="eastAsia" w:ascii="方正仿宋_GBK" w:hAnsi="方正仿宋_GBK" w:eastAsia="方正仿宋_GBK" w:cs="方正仿宋_GBK"/>
          <w:b/>
          <w:sz w:val="28"/>
          <w:u w:val="none"/>
          <w:lang w:eastAsia="zh-CN"/>
        </w:rPr>
        <w:instrText xml:space="preserve"> TC 28、土地出让金/全民健身活动中心配套设施（设备购置）绩效目标表 \f C \l 1 </w:instrText>
      </w:r>
      <w:r>
        <w:rPr>
          <w:rFonts w:hint="eastAsia" w:ascii="方正仿宋_GBK" w:hAnsi="方正仿宋_GBK" w:eastAsia="方正仿宋_GBK" w:cs="方正仿宋_GBK"/>
          <w:b/>
          <w:sz w:val="28"/>
          <w:u w:val="none"/>
          <w:lang w:eastAsia="zh-CN"/>
        </w:rPr>
        <w:fldChar w:fldCharType="end"/>
      </w:r>
      <w:bookmarkEnd w:id="3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1"/>
        <w:gridCol w:w="1050"/>
        <w:gridCol w:w="1740"/>
        <w:gridCol w:w="1785"/>
        <w:gridCol w:w="1305"/>
        <w:gridCol w:w="1275"/>
        <w:gridCol w:w="4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46"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629"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79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357-0801-YXN-I7YA</w:t>
            </w:r>
          </w:p>
        </w:tc>
        <w:tc>
          <w:tcPr>
            <w:tcW w:w="17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209"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土地出让金/全民健身活动中心配套设施（设备购置）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49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05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74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500000.00</w:t>
            </w:r>
          </w:p>
        </w:tc>
        <w:tc>
          <w:tcPr>
            <w:tcW w:w="17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500000.00</w:t>
            </w:r>
          </w:p>
        </w:tc>
        <w:tc>
          <w:tcPr>
            <w:tcW w:w="127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62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49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784"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公共文化设施达标，机构和队伍健全，实现公共文化资源共享，形成城乡一体化公共文化服务网络；公共文化产品生产和服务能力提高，基本公共文化服务标准化、均等化水平不断提高。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149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79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7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0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590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79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7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30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590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1"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784"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1、公共文化设施达标，机构和队伍健全，实现公共文化资源共享，形成城乡一体化公共文化服务网络；公共文化产品生产和服务能力提高，基本公共文化服务标准化、均等化水平不断提高。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2、保障各项事务谋划到位，顺利完成。</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1395"/>
        <w:gridCol w:w="1425"/>
        <w:gridCol w:w="2865"/>
        <w:gridCol w:w="1515"/>
        <w:gridCol w:w="45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02" w:hRule="atLeast"/>
          <w:tblHeader/>
          <w:jc w:val="center"/>
        </w:trPr>
        <w:tc>
          <w:tcPr>
            <w:tcW w:w="146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39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42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8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5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59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05" w:hRule="atLeast"/>
          <w:jc w:val="center"/>
        </w:trPr>
        <w:tc>
          <w:tcPr>
            <w:tcW w:w="146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3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4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支持全省重点公共文化服务工作项目数量</w:t>
            </w:r>
          </w:p>
        </w:tc>
        <w:tc>
          <w:tcPr>
            <w:tcW w:w="28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反映支持具有较大影响力文化惠民活动等公共文化服务工作项目情况</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≥12次</w:t>
            </w:r>
          </w:p>
        </w:tc>
        <w:tc>
          <w:tcPr>
            <w:tcW w:w="45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支持具有较大影响力文化惠民活动等公共文化服务工作项目情况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10" w:hRule="atLeast"/>
          <w:jc w:val="center"/>
        </w:trPr>
        <w:tc>
          <w:tcPr>
            <w:tcW w:w="146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3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可持续影响指标</w:t>
            </w:r>
          </w:p>
        </w:tc>
        <w:tc>
          <w:tcPr>
            <w:tcW w:w="14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长期使用性</w:t>
            </w:r>
          </w:p>
        </w:tc>
        <w:tc>
          <w:tcPr>
            <w:tcW w:w="28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能够长期较好地开展展演、展映、展播、展示，长期满足人民群众对精神文化的需求。</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45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长期满足人民群众对精神文化的需求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46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39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42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8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51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459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29、文化活动中心前广场拆除及绿化工程绩效目标表</w:t>
      </w:r>
      <w:bookmarkStart w:id="31" w:name="_Toc30269"/>
      <w:r>
        <w:fldChar w:fldCharType="begin"/>
      </w:r>
      <w:r>
        <w:rPr>
          <w:rFonts w:hint="eastAsia" w:ascii="方正仿宋_GBK" w:hAnsi="方正仿宋_GBK" w:eastAsia="方正仿宋_GBK" w:cs="方正仿宋_GBK"/>
          <w:b/>
          <w:sz w:val="28"/>
          <w:u w:val="none"/>
          <w:lang w:eastAsia="zh-CN"/>
        </w:rPr>
        <w:instrText xml:space="preserve"> TC 29、文化活动中心前广场拆除及绿化工程绩效目标表 \f C \l 1 </w:instrText>
      </w:r>
      <w:r>
        <w:rPr>
          <w:rFonts w:hint="eastAsia" w:ascii="方正仿宋_GBK" w:hAnsi="方正仿宋_GBK" w:eastAsia="方正仿宋_GBK" w:cs="方正仿宋_GBK"/>
          <w:b/>
          <w:sz w:val="28"/>
          <w:u w:val="none"/>
          <w:lang w:eastAsia="zh-CN"/>
        </w:rPr>
        <w:fldChar w:fldCharType="end"/>
      </w:r>
      <w:bookmarkEnd w:id="3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1"/>
        <w:gridCol w:w="945"/>
        <w:gridCol w:w="1299"/>
        <w:gridCol w:w="1986"/>
        <w:gridCol w:w="1185"/>
        <w:gridCol w:w="1380"/>
        <w:gridCol w:w="46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306"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680"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244"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357-0401-YXN-BN85</w:t>
            </w:r>
          </w:p>
        </w:tc>
        <w:tc>
          <w:tcPr>
            <w:tcW w:w="19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245"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文化活动中心前广场拆除及绿化工程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4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29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100000.00</w:t>
            </w:r>
          </w:p>
        </w:tc>
        <w:tc>
          <w:tcPr>
            <w:tcW w:w="19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18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100000.00</w:t>
            </w:r>
          </w:p>
        </w:tc>
        <w:tc>
          <w:tcPr>
            <w:tcW w:w="13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6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475"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南广场体育场地、停车场等设施拆除，恢复原貌，栽植树木，增加绿地，经测算，该项目需资金60.14万元。2019年度已支付50万元。现需10万元。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1"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24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9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1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06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1"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24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c>
          <w:tcPr>
            <w:tcW w:w="19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18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606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1"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475"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1、确保各项业务工作谋划到位、顺利开展。</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2、保障机关工作正常高效运转。</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3"/>
        <w:gridCol w:w="1365"/>
        <w:gridCol w:w="1005"/>
        <w:gridCol w:w="2583"/>
        <w:gridCol w:w="1276"/>
        <w:gridCol w:w="52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3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00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5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524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3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时效指标</w:t>
            </w:r>
          </w:p>
        </w:tc>
        <w:tc>
          <w:tcPr>
            <w:tcW w:w="10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完成率</w:t>
            </w:r>
          </w:p>
        </w:tc>
        <w:tc>
          <w:tcPr>
            <w:tcW w:w="25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按照要求和计划完成研究任务的项目在所有立项项目中的比例（百分比）</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524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按照</w:t>
            </w:r>
            <w:r>
              <w:rPr>
                <w:rFonts w:hint="eastAsia" w:ascii="仿宋" w:hAnsi="仿宋" w:eastAsia="仿宋" w:cs="仿宋"/>
                <w:b w:val="0"/>
                <w:bCs/>
                <w:sz w:val="21"/>
                <w:u w:val="none"/>
                <w:vertAlign w:val="baseline"/>
                <w:lang w:eastAsia="zh-CN"/>
              </w:rPr>
              <w:t>年初工作</w:t>
            </w:r>
            <w:r>
              <w:rPr>
                <w:rFonts w:hint="eastAsia" w:ascii="仿宋" w:hAnsi="仿宋" w:eastAsia="仿宋" w:cs="仿宋"/>
                <w:b w:val="0"/>
                <w:bCs/>
                <w:sz w:val="21"/>
                <w:u w:val="none"/>
                <w:vertAlign w:val="baseline"/>
                <w:lang w:val="en-US"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3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可持续影响指标</w:t>
            </w:r>
          </w:p>
        </w:tc>
        <w:tc>
          <w:tcPr>
            <w:tcW w:w="10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长期使用性</w:t>
            </w:r>
          </w:p>
        </w:tc>
        <w:tc>
          <w:tcPr>
            <w:tcW w:w="25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能够长期较好地开展展演、展映、展播、展示，长期满足人民群众对精神文化的需求。</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524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按照</w:t>
            </w:r>
            <w:r>
              <w:rPr>
                <w:rFonts w:hint="eastAsia" w:ascii="仿宋" w:hAnsi="仿宋" w:eastAsia="仿宋" w:cs="仿宋"/>
                <w:b w:val="0"/>
                <w:bCs/>
                <w:sz w:val="21"/>
                <w:u w:val="none"/>
                <w:vertAlign w:val="baseline"/>
                <w:lang w:eastAsia="zh-CN"/>
              </w:rPr>
              <w:t>年初工作</w:t>
            </w:r>
            <w:r>
              <w:rPr>
                <w:rFonts w:hint="eastAsia" w:ascii="仿宋" w:hAnsi="仿宋" w:eastAsia="仿宋" w:cs="仿宋"/>
                <w:b w:val="0"/>
                <w:bCs/>
                <w:sz w:val="21"/>
                <w:u w:val="none"/>
                <w:vertAlign w:val="baseline"/>
                <w:lang w:val="en-US"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3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0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5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276"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524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按照</w:t>
            </w:r>
            <w:r>
              <w:rPr>
                <w:rFonts w:hint="eastAsia" w:ascii="仿宋" w:hAnsi="仿宋" w:eastAsia="仿宋" w:cs="仿宋"/>
                <w:b w:val="0"/>
                <w:bCs/>
                <w:sz w:val="21"/>
                <w:u w:val="none"/>
                <w:vertAlign w:val="baseline"/>
                <w:lang w:eastAsia="zh-CN"/>
              </w:rPr>
              <w:t>年初工作</w:t>
            </w:r>
            <w:r>
              <w:rPr>
                <w:rFonts w:hint="eastAsia" w:ascii="仿宋" w:hAnsi="仿宋" w:eastAsia="仿宋" w:cs="仿宋"/>
                <w:b w:val="0"/>
                <w:bCs/>
                <w:sz w:val="21"/>
                <w:u w:val="none"/>
                <w:vertAlign w:val="baseline"/>
                <w:lang w:val="en-US" w:eastAsia="zh-CN"/>
              </w:rPr>
              <w:t>计划</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30、文化旅游经费绩效目标表</w:t>
      </w:r>
      <w:bookmarkStart w:id="32" w:name="_Toc15298"/>
      <w:r>
        <w:fldChar w:fldCharType="begin"/>
      </w:r>
      <w:r>
        <w:rPr>
          <w:rFonts w:hint="eastAsia" w:ascii="方正仿宋_GBK" w:hAnsi="方正仿宋_GBK" w:eastAsia="方正仿宋_GBK" w:cs="方正仿宋_GBK"/>
          <w:b/>
          <w:sz w:val="28"/>
          <w:u w:val="none"/>
          <w:lang w:eastAsia="zh-CN"/>
        </w:rPr>
        <w:instrText xml:space="preserve"> TC 30、文化旅游经费绩效目标表 \f C \l 1 </w:instrText>
      </w:r>
      <w:r>
        <w:rPr>
          <w:rFonts w:hint="eastAsia" w:ascii="方正仿宋_GBK" w:hAnsi="方正仿宋_GBK" w:eastAsia="方正仿宋_GBK" w:cs="方正仿宋_GBK"/>
          <w:b/>
          <w:sz w:val="28"/>
          <w:u w:val="none"/>
          <w:lang w:eastAsia="zh-CN"/>
        </w:rPr>
        <w:fldChar w:fldCharType="end"/>
      </w:r>
      <w:bookmarkEnd w:id="3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5"/>
        <w:gridCol w:w="915"/>
        <w:gridCol w:w="1230"/>
        <w:gridCol w:w="1112"/>
        <w:gridCol w:w="1304"/>
        <w:gridCol w:w="1276"/>
        <w:gridCol w:w="49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4922"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145"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357-1001-JXN-IPNH</w:t>
            </w:r>
          </w:p>
        </w:tc>
        <w:tc>
          <w:tcPr>
            <w:tcW w:w="11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502"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文化旅游经费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5"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9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23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60000.00</w:t>
            </w:r>
          </w:p>
        </w:tc>
        <w:tc>
          <w:tcPr>
            <w:tcW w:w="11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60000.00</w:t>
            </w:r>
          </w:p>
        </w:tc>
        <w:tc>
          <w:tcPr>
            <w:tcW w:w="127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4922"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5"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0759"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办公费5000元、印刷费45000元、差旅费10000元。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5"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14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1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3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198"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5"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145"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11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20.00</w:t>
            </w:r>
          </w:p>
        </w:tc>
        <w:tc>
          <w:tcPr>
            <w:tcW w:w="130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60.00</w:t>
            </w:r>
          </w:p>
        </w:tc>
        <w:tc>
          <w:tcPr>
            <w:tcW w:w="6198"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5"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0759"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1、培训合格的导游学员数量占培训总学员</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2、旅游游客增长</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3"/>
        <w:gridCol w:w="1443"/>
        <w:gridCol w:w="1883"/>
        <w:gridCol w:w="2391"/>
        <w:gridCol w:w="1744"/>
        <w:gridCol w:w="33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09" w:hRule="atLeast"/>
          <w:tblHeader/>
          <w:jc w:val="center"/>
        </w:trPr>
        <w:tc>
          <w:tcPr>
            <w:tcW w:w="187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44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88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391"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744"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32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89" w:hRule="atLeast"/>
          <w:jc w:val="center"/>
        </w:trPr>
        <w:tc>
          <w:tcPr>
            <w:tcW w:w="187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44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质量指标</w:t>
            </w:r>
          </w:p>
        </w:tc>
        <w:tc>
          <w:tcPr>
            <w:tcW w:w="18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乡村旅游接待游客同比增长率</w:t>
            </w:r>
          </w:p>
        </w:tc>
        <w:tc>
          <w:tcPr>
            <w:tcW w:w="239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乡村旅游游客数量增长率</w:t>
            </w:r>
          </w:p>
        </w:tc>
        <w:tc>
          <w:tcPr>
            <w:tcW w:w="174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≥10百分值</w:t>
            </w:r>
          </w:p>
        </w:tc>
        <w:tc>
          <w:tcPr>
            <w:tcW w:w="332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乡村旅游游客情况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93" w:hRule="atLeast"/>
          <w:jc w:val="center"/>
        </w:trPr>
        <w:tc>
          <w:tcPr>
            <w:tcW w:w="187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44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8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督导投诉游客的满意度</w:t>
            </w:r>
          </w:p>
        </w:tc>
        <w:tc>
          <w:tcPr>
            <w:tcW w:w="239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年度督导旅游投诉案件的游客满意程度</w:t>
            </w:r>
          </w:p>
        </w:tc>
        <w:tc>
          <w:tcPr>
            <w:tcW w:w="174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≥90百分值</w:t>
            </w:r>
          </w:p>
        </w:tc>
        <w:tc>
          <w:tcPr>
            <w:tcW w:w="332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19" w:hRule="atLeast"/>
          <w:jc w:val="center"/>
        </w:trPr>
        <w:tc>
          <w:tcPr>
            <w:tcW w:w="187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44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88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391"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74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95百分值</w:t>
            </w:r>
          </w:p>
        </w:tc>
        <w:tc>
          <w:tcPr>
            <w:tcW w:w="332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按照年初工作计划</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31、文物保护经费绩效目标表</w:t>
      </w:r>
      <w:bookmarkStart w:id="33" w:name="_Toc3915"/>
      <w:r>
        <w:fldChar w:fldCharType="begin"/>
      </w:r>
      <w:r>
        <w:rPr>
          <w:rFonts w:hint="eastAsia" w:ascii="方正仿宋_GBK" w:hAnsi="方正仿宋_GBK" w:eastAsia="方正仿宋_GBK" w:cs="方正仿宋_GBK"/>
          <w:b/>
          <w:sz w:val="28"/>
          <w:u w:val="none"/>
          <w:lang w:eastAsia="zh-CN"/>
        </w:rPr>
        <w:instrText xml:space="preserve"> TC 31、文物保护经费绩效目标表 \f C \l 1 </w:instrText>
      </w:r>
      <w:r>
        <w:rPr>
          <w:rFonts w:hint="eastAsia" w:ascii="方正仿宋_GBK" w:hAnsi="方正仿宋_GBK" w:eastAsia="方正仿宋_GBK" w:cs="方正仿宋_GBK"/>
          <w:b/>
          <w:sz w:val="28"/>
          <w:u w:val="none"/>
          <w:lang w:eastAsia="zh-CN"/>
        </w:rPr>
        <w:fldChar w:fldCharType="end"/>
      </w:r>
      <w:bookmarkEnd w:id="3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6"/>
        <w:gridCol w:w="855"/>
        <w:gridCol w:w="1254"/>
        <w:gridCol w:w="1656"/>
        <w:gridCol w:w="1179"/>
        <w:gridCol w:w="1182"/>
        <w:gridCol w:w="50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5034"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109"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357-0301-JXN-2FNR</w:t>
            </w:r>
          </w:p>
        </w:tc>
        <w:tc>
          <w:tcPr>
            <w:tcW w:w="16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7395"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文物保护经费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6"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85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25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330000.00</w:t>
            </w:r>
          </w:p>
        </w:tc>
        <w:tc>
          <w:tcPr>
            <w:tcW w:w="16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179"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330000.00</w:t>
            </w:r>
          </w:p>
        </w:tc>
        <w:tc>
          <w:tcPr>
            <w:tcW w:w="1182"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503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6"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160"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碑廊石刻馆、唐祖陵、柏人城遗址、李昙墓等国家文物保护经费33万元。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6"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109"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6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17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216"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6"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109"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656"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117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40.00</w:t>
            </w:r>
          </w:p>
        </w:tc>
        <w:tc>
          <w:tcPr>
            <w:tcW w:w="6216"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6"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160"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1、珍贵、濒危的非物质文化遗产得到有效的抢救和维护，优秀特色的传统文化得到传承和发扬。</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2、收藏和保管物品（包括各类资源文献、文化艺术作品、和档案资料等）</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7"/>
        <w:gridCol w:w="1305"/>
        <w:gridCol w:w="1275"/>
        <w:gridCol w:w="2970"/>
        <w:gridCol w:w="1380"/>
        <w:gridCol w:w="42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57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30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27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97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138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425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577"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3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覆盖率</w:t>
            </w:r>
          </w:p>
        </w:tc>
        <w:tc>
          <w:tcPr>
            <w:tcW w:w="29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有效保护濒危和重点项目的数量。</w:t>
            </w:r>
          </w:p>
        </w:tc>
        <w:tc>
          <w:tcPr>
            <w:tcW w:w="13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42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濒危和重点项目的效保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577" w:type="dxa"/>
            <w:vMerge w:val="continue"/>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p>
        </w:tc>
        <w:tc>
          <w:tcPr>
            <w:tcW w:w="13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时效指标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完成率</w:t>
            </w:r>
          </w:p>
        </w:tc>
        <w:tc>
          <w:tcPr>
            <w:tcW w:w="29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政府规划等有效执行，专项业务顺利开展，监管及时有效。</w:t>
            </w:r>
          </w:p>
        </w:tc>
        <w:tc>
          <w:tcPr>
            <w:tcW w:w="13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42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专项业务组织管理情况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57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3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可持续影响指标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长期使用性</w:t>
            </w:r>
          </w:p>
        </w:tc>
        <w:tc>
          <w:tcPr>
            <w:tcW w:w="29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能够长期较好地开展展演、展映、展播、展示，长期满足人民群众对精神文化的需求。</w:t>
            </w:r>
          </w:p>
        </w:tc>
        <w:tc>
          <w:tcPr>
            <w:tcW w:w="13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42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长期满足人民群众对精神文化的需求。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57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30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2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c>
          <w:tcPr>
            <w:tcW w:w="297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群众满意数量占总数的比例。</w:t>
            </w:r>
          </w:p>
        </w:tc>
        <w:tc>
          <w:tcPr>
            <w:tcW w:w="138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425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群众满意度</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pPr>
    </w:p>
    <w:p>
      <w:pPr>
        <w:ind w:firstLine="560"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32、支持非遗(秧歌戏)排练演出绩效目标表</w:t>
      </w:r>
      <w:bookmarkStart w:id="34" w:name="_Toc22228"/>
      <w:r>
        <w:fldChar w:fldCharType="begin"/>
      </w:r>
      <w:r>
        <w:rPr>
          <w:rFonts w:hint="eastAsia" w:ascii="方正仿宋_GBK" w:hAnsi="方正仿宋_GBK" w:eastAsia="方正仿宋_GBK" w:cs="方正仿宋_GBK"/>
          <w:b/>
          <w:sz w:val="28"/>
          <w:u w:val="none"/>
          <w:lang w:eastAsia="zh-CN"/>
        </w:rPr>
        <w:instrText xml:space="preserve"> TC 32、支持非遗(秧歌戏)排练演出绩效目标表 \f C \l 1 </w:instrText>
      </w:r>
      <w:r>
        <w:rPr>
          <w:rFonts w:hint="eastAsia" w:ascii="方正仿宋_GBK" w:hAnsi="方正仿宋_GBK" w:eastAsia="方正仿宋_GBK" w:cs="方正仿宋_GBK"/>
          <w:b/>
          <w:sz w:val="28"/>
          <w:u w:val="none"/>
          <w:lang w:eastAsia="zh-CN"/>
        </w:rPr>
        <w:fldChar w:fldCharType="end"/>
      </w:r>
      <w:bookmarkEnd w:id="34"/>
    </w:p>
    <w:tbl>
      <w:tblPr>
        <w:tblStyle w:val="8"/>
        <w:tblW w:w="134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5"/>
        <w:gridCol w:w="1005"/>
        <w:gridCol w:w="1175"/>
        <w:gridCol w:w="1437"/>
        <w:gridCol w:w="1548"/>
        <w:gridCol w:w="1630"/>
        <w:gridCol w:w="51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310"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357002隆尧县文化广电体育和旅游局</w:t>
            </w:r>
          </w:p>
        </w:tc>
        <w:tc>
          <w:tcPr>
            <w:tcW w:w="5164"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项目编码</w:t>
            </w:r>
          </w:p>
        </w:tc>
        <w:tc>
          <w:tcPr>
            <w:tcW w:w="2180" w:type="dxa"/>
            <w:gridSpan w:val="2"/>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357-0201-JXN-9Z5S</w:t>
            </w:r>
          </w:p>
        </w:tc>
        <w:tc>
          <w:tcPr>
            <w:tcW w:w="143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项目名称</w:t>
            </w:r>
          </w:p>
        </w:tc>
        <w:tc>
          <w:tcPr>
            <w:tcW w:w="8342" w:type="dxa"/>
            <w:gridSpan w:val="3"/>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支持非遗(秧歌戏)排练演出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5"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预算规模及资金用途</w:t>
            </w:r>
          </w:p>
        </w:tc>
        <w:tc>
          <w:tcPr>
            <w:tcW w:w="100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预算数</w:t>
            </w:r>
          </w:p>
        </w:tc>
        <w:tc>
          <w:tcPr>
            <w:tcW w:w="117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250000.00</w:t>
            </w:r>
          </w:p>
        </w:tc>
        <w:tc>
          <w:tcPr>
            <w:tcW w:w="143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其中：财政资金</w:t>
            </w:r>
          </w:p>
        </w:tc>
        <w:tc>
          <w:tcPr>
            <w:tcW w:w="1548"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250000.00</w:t>
            </w:r>
          </w:p>
        </w:tc>
        <w:tc>
          <w:tcPr>
            <w:tcW w:w="163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其他资金</w:t>
            </w:r>
          </w:p>
        </w:tc>
        <w:tc>
          <w:tcPr>
            <w:tcW w:w="5164"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9" w:hRule="atLeast"/>
          <w:jc w:val="center"/>
        </w:trPr>
        <w:tc>
          <w:tcPr>
            <w:tcW w:w="1515"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11959" w:type="dxa"/>
            <w:gridSpan w:val="6"/>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文艺演出者劳务费23万元，音响、设备租赁费2万元。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5" w:type="dxa"/>
            <w:vMerge w:val="restart"/>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资金支出计划（%）</w:t>
            </w:r>
          </w:p>
        </w:tc>
        <w:tc>
          <w:tcPr>
            <w:tcW w:w="218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3月底</w:t>
            </w:r>
          </w:p>
        </w:tc>
        <w:tc>
          <w:tcPr>
            <w:tcW w:w="143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6月底</w:t>
            </w:r>
          </w:p>
        </w:tc>
        <w:tc>
          <w:tcPr>
            <w:tcW w:w="154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10月底</w:t>
            </w:r>
          </w:p>
        </w:tc>
        <w:tc>
          <w:tcPr>
            <w:tcW w:w="679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5" w:type="dxa"/>
            <w:vMerge w:val="continue"/>
            <w:noWrap w:val="0"/>
            <w:vAlign w:val="top"/>
          </w:tcPr>
          <w:p>
            <w:pPr>
              <w:spacing w:line="300" w:lineRule="exact"/>
              <w:jc w:val="left"/>
              <w:outlineLvl w:val="1"/>
              <w:rPr>
                <w:rFonts w:hint="eastAsia" w:ascii="仿宋" w:hAnsi="仿宋" w:eastAsia="仿宋" w:cs="仿宋"/>
                <w:b w:val="0"/>
                <w:bCs/>
                <w:sz w:val="28"/>
                <w:u w:val="none"/>
                <w:vertAlign w:val="baseline"/>
                <w:lang w:eastAsia="zh-CN"/>
              </w:rPr>
            </w:pPr>
          </w:p>
        </w:tc>
        <w:tc>
          <w:tcPr>
            <w:tcW w:w="2180"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1437"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1548"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30.00</w:t>
            </w:r>
          </w:p>
        </w:tc>
        <w:tc>
          <w:tcPr>
            <w:tcW w:w="6794" w:type="dxa"/>
            <w:gridSpan w:val="2"/>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5" w:type="dxa"/>
            <w:tcBorders>
              <w:bottom w:val="nil"/>
            </w:tcBorders>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绩效目标</w:t>
            </w:r>
          </w:p>
        </w:tc>
        <w:tc>
          <w:tcPr>
            <w:tcW w:w="11959" w:type="dxa"/>
            <w:gridSpan w:val="6"/>
            <w:tcBorders>
              <w:bottom w:val="nil"/>
            </w:tcBorders>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1、增强文化软实力，推动经济社会发展。</w:t>
            </w:r>
          </w:p>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2、提高文艺爱好者的满意度。</w:t>
            </w:r>
          </w:p>
        </w:tc>
      </w:tr>
    </w:tbl>
    <w:p>
      <w:pPr>
        <w:spacing w:line="14" w:lineRule="exact"/>
        <w:ind w:firstLine="420" w:firstLineChars="200"/>
        <w:jc w:val="center"/>
        <w:outlineLvl w:val="9"/>
        <w:rPr>
          <w:rFonts w:hint="eastAsia" w:ascii="仿宋" w:hAnsi="仿宋" w:eastAsia="仿宋" w:cs="仿宋"/>
          <w:b w:val="0"/>
          <w:bCs/>
          <w:sz w:val="21"/>
          <w:u w:val="none"/>
          <w:lang w:eastAsia="zh-CN"/>
        </w:rPr>
      </w:pPr>
      <w:r>
        <w:rPr>
          <w:rFonts w:hint="eastAsia" w:ascii="仿宋" w:hAnsi="仿宋" w:eastAsia="仿宋" w:cs="仿宋"/>
          <w:b w:val="0"/>
          <w:bCs/>
          <w:sz w:val="21"/>
          <w:u w:val="none"/>
          <w:lang w:eastAsia="zh-CN"/>
        </w:rPr>
        <w:t xml:space="preserve"> </w:t>
      </w:r>
    </w:p>
    <w:tbl>
      <w:tblPr>
        <w:tblStyle w:val="8"/>
        <w:tblW w:w="134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9"/>
        <w:gridCol w:w="1620"/>
        <w:gridCol w:w="1800"/>
        <w:gridCol w:w="2445"/>
        <w:gridCol w:w="2565"/>
        <w:gridCol w:w="3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04" w:hRule="atLeast"/>
          <w:tblHeader/>
          <w:jc w:val="center"/>
        </w:trPr>
        <w:tc>
          <w:tcPr>
            <w:tcW w:w="151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一级指标</w:t>
            </w:r>
          </w:p>
        </w:tc>
        <w:tc>
          <w:tcPr>
            <w:tcW w:w="162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二级指标</w:t>
            </w:r>
          </w:p>
        </w:tc>
        <w:tc>
          <w:tcPr>
            <w:tcW w:w="1800"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三级指标</w:t>
            </w:r>
          </w:p>
        </w:tc>
        <w:tc>
          <w:tcPr>
            <w:tcW w:w="244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绩效指标描述</w:t>
            </w:r>
          </w:p>
        </w:tc>
        <w:tc>
          <w:tcPr>
            <w:tcW w:w="2565"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w:t>
            </w:r>
          </w:p>
        </w:tc>
        <w:tc>
          <w:tcPr>
            <w:tcW w:w="3533"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4" w:hRule="atLeast"/>
          <w:jc w:val="center"/>
        </w:trPr>
        <w:tc>
          <w:tcPr>
            <w:tcW w:w="151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产出指标</w:t>
            </w:r>
          </w:p>
        </w:tc>
        <w:tc>
          <w:tcPr>
            <w:tcW w:w="16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数量指标</w:t>
            </w:r>
          </w:p>
        </w:tc>
        <w:tc>
          <w:tcPr>
            <w:tcW w:w="18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开展外宣活动数量</w:t>
            </w:r>
          </w:p>
        </w:tc>
        <w:tc>
          <w:tcPr>
            <w:tcW w:w="24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反映开展外宣活动情况</w:t>
            </w:r>
          </w:p>
        </w:tc>
        <w:tc>
          <w:tcPr>
            <w:tcW w:w="25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≥10场次</w:t>
            </w:r>
          </w:p>
        </w:tc>
        <w:tc>
          <w:tcPr>
            <w:tcW w:w="353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97" w:hRule="atLeast"/>
          <w:jc w:val="center"/>
        </w:trPr>
        <w:tc>
          <w:tcPr>
            <w:tcW w:w="151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效果指标</w:t>
            </w:r>
          </w:p>
        </w:tc>
        <w:tc>
          <w:tcPr>
            <w:tcW w:w="16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社会效益指标</w:t>
            </w:r>
          </w:p>
        </w:tc>
        <w:tc>
          <w:tcPr>
            <w:tcW w:w="1800"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社会参与非遗保护与传承渠道</w:t>
            </w:r>
          </w:p>
        </w:tc>
        <w:tc>
          <w:tcPr>
            <w:tcW w:w="24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val="en-US" w:eastAsia="zh-CN"/>
              </w:rPr>
              <w:t>社会参与非遗保护与传承渠道</w:t>
            </w:r>
          </w:p>
        </w:tc>
        <w:tc>
          <w:tcPr>
            <w:tcW w:w="2565" w:type="dxa"/>
            <w:noWrap w:val="0"/>
            <w:vAlign w:val="center"/>
          </w:tcPr>
          <w:p>
            <w:pPr>
              <w:spacing w:line="300" w:lineRule="exact"/>
              <w:jc w:val="left"/>
              <w:outlineLvl w:val="9"/>
              <w:rPr>
                <w:rFonts w:hint="eastAsia" w:ascii="仿宋" w:hAnsi="仿宋" w:eastAsia="仿宋" w:cs="仿宋"/>
                <w:b w:val="0"/>
                <w:bCs/>
                <w:sz w:val="21"/>
                <w:u w:val="none"/>
                <w:vertAlign w:val="baseline"/>
                <w:lang w:val="en-US" w:eastAsia="zh-CN"/>
              </w:rPr>
            </w:pPr>
            <w:r>
              <w:rPr>
                <w:rFonts w:hint="eastAsia" w:ascii="仿宋" w:hAnsi="仿宋" w:eastAsia="仿宋" w:cs="仿宋"/>
                <w:b w:val="0"/>
                <w:bCs/>
                <w:sz w:val="21"/>
                <w:u w:val="none"/>
                <w:vertAlign w:val="baseline"/>
                <w:lang w:val="en-US" w:eastAsia="zh-CN"/>
              </w:rPr>
              <w:t>比上一年度增加</w:t>
            </w:r>
          </w:p>
        </w:tc>
        <w:tc>
          <w:tcPr>
            <w:tcW w:w="353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22" w:hRule="atLeast"/>
          <w:jc w:val="center"/>
        </w:trPr>
        <w:tc>
          <w:tcPr>
            <w:tcW w:w="1519" w:type="dxa"/>
            <w:noWrap w:val="0"/>
            <w:vAlign w:val="center"/>
          </w:tcPr>
          <w:p>
            <w:pPr>
              <w:spacing w:line="300" w:lineRule="exact"/>
              <w:jc w:val="center"/>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满意度指标</w:t>
            </w:r>
          </w:p>
        </w:tc>
        <w:tc>
          <w:tcPr>
            <w:tcW w:w="162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服务对象满意度指标</w:t>
            </w:r>
          </w:p>
        </w:tc>
        <w:tc>
          <w:tcPr>
            <w:tcW w:w="1800"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系列文化活动参与者满意度情况</w:t>
            </w:r>
          </w:p>
        </w:tc>
        <w:tc>
          <w:tcPr>
            <w:tcW w:w="244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系列文化活动参与者满意人数占参与人数的比例</w:t>
            </w:r>
          </w:p>
        </w:tc>
        <w:tc>
          <w:tcPr>
            <w:tcW w:w="2565"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100百分值</w:t>
            </w:r>
          </w:p>
        </w:tc>
        <w:tc>
          <w:tcPr>
            <w:tcW w:w="3533" w:type="dxa"/>
            <w:noWrap w:val="0"/>
            <w:vAlign w:val="center"/>
          </w:tcPr>
          <w:p>
            <w:pPr>
              <w:spacing w:line="300" w:lineRule="exact"/>
              <w:jc w:val="left"/>
              <w:outlineLvl w:val="9"/>
              <w:rPr>
                <w:rFonts w:hint="eastAsia" w:ascii="仿宋" w:hAnsi="仿宋" w:eastAsia="仿宋" w:cs="仿宋"/>
                <w:b w:val="0"/>
                <w:bCs/>
                <w:sz w:val="21"/>
                <w:u w:val="none"/>
                <w:vertAlign w:val="baseline"/>
                <w:lang w:eastAsia="zh-CN"/>
              </w:rPr>
            </w:pPr>
            <w:r>
              <w:rPr>
                <w:rFonts w:hint="eastAsia" w:ascii="仿宋" w:hAnsi="仿宋" w:eastAsia="仿宋" w:cs="仿宋"/>
                <w:b w:val="0"/>
                <w:bCs/>
                <w:sz w:val="21"/>
                <w:u w:val="none"/>
                <w:vertAlign w:val="baseline"/>
                <w:lang w:eastAsia="zh-CN"/>
              </w:rPr>
              <w:t>按照年初工作安排</w:t>
            </w:r>
          </w:p>
        </w:tc>
      </w:tr>
    </w:tbl>
    <w:p>
      <w:pPr>
        <w:spacing w:line="300" w:lineRule="exact"/>
        <w:ind w:firstLine="420" w:firstLineChars="200"/>
        <w:jc w:val="left"/>
        <w:outlineLvl w:val="9"/>
        <w:rPr>
          <w:rFonts w:hint="eastAsia" w:ascii="方正书宋_GBK" w:hAnsi="方正书宋_GBK" w:eastAsia="方正书宋_GBK" w:cs="方正书宋_GBK"/>
          <w:b/>
          <w:sz w:val="21"/>
          <w:u w:val="none"/>
          <w:lang w:eastAsia="zh-CN"/>
        </w:rPr>
        <w:sectPr>
          <w:pgSz w:w="16838" w:h="11906" w:orient="landscape"/>
          <w:pgMar w:top="1304" w:right="1984" w:bottom="1304" w:left="1134" w:header="851" w:footer="992" w:gutter="0"/>
          <w:cols w:space="720" w:num="1"/>
          <w:docGrid w:type="lines" w:linePitch="312" w:charSpace="0"/>
        </w:sectPr>
      </w:pPr>
    </w:p>
    <w:p>
      <w:pPr>
        <w:jc w:val="left"/>
        <w:outlineLvl w:val="1"/>
        <w:rPr>
          <w:rFonts w:ascii="黑体" w:hAnsi="黑体" w:eastAsia="黑体" w:cs="Times New Roman"/>
          <w:sz w:val="32"/>
          <w:szCs w:val="32"/>
        </w:rPr>
      </w:pPr>
      <w:r>
        <w:rPr>
          <w:rFonts w:hint="eastAsia" w:ascii="仿宋" w:hAnsi="仿宋" w:eastAsia="仿宋"/>
          <w:b/>
          <w:sz w:val="24"/>
          <w:szCs w:val="24"/>
        </w:rPr>
        <w:t xml:space="preserve">  </w:t>
      </w:r>
      <w:r>
        <w:rPr>
          <w:rFonts w:hint="eastAsia" w:ascii="黑体" w:hAnsi="黑体" w:eastAsia="黑体"/>
          <w:b/>
          <w:sz w:val="32"/>
          <w:szCs w:val="32"/>
        </w:rPr>
        <w:t xml:space="preserve"> 六</w:t>
      </w:r>
      <w:r>
        <w:rPr>
          <w:rFonts w:hint="eastAsia" w:ascii="黑体" w:hAnsi="黑体" w:eastAsia="黑体" w:cs="Times New Roman"/>
          <w:sz w:val="32"/>
          <w:szCs w:val="32"/>
        </w:rPr>
        <w:t>、政府采购预算情况</w:t>
      </w:r>
    </w:p>
    <w:p>
      <w:pPr>
        <w:jc w:val="left"/>
        <w:outlineLvl w:val="1"/>
        <w:rPr>
          <w:rFonts w:ascii="仿宋" w:hAnsi="仿宋" w:eastAsia="仿宋"/>
          <w:b/>
          <w:sz w:val="24"/>
          <w:szCs w:val="24"/>
        </w:rPr>
      </w:pPr>
    </w:p>
    <w:bookmarkEnd w:id="0"/>
    <w:p>
      <w:pPr>
        <w:autoSpaceDE w:val="0"/>
        <w:autoSpaceDN w:val="0"/>
        <w:adjustRightInd w:val="0"/>
        <w:ind w:firstLine="960" w:firstLineChars="300"/>
        <w:jc w:val="center"/>
        <w:rPr>
          <w:rFonts w:ascii="黑体" w:hAnsi="黑体" w:eastAsia="黑体" w:cs="Times New Roman"/>
          <w:sz w:val="32"/>
          <w:szCs w:val="32"/>
        </w:rPr>
      </w:pPr>
      <w:r>
        <w:rPr>
          <w:rFonts w:hint="eastAsia" w:ascii="黑体" w:hAnsi="黑体" w:eastAsia="黑体" w:cs="Times New Roman"/>
          <w:sz w:val="32"/>
          <w:szCs w:val="32"/>
        </w:rPr>
        <w:t>部门政府采购预算</w:t>
      </w:r>
    </w:p>
    <w:p>
      <w:pPr>
        <w:ind w:firstLine="640" w:firstLineChars="200"/>
        <w:outlineLvl w:val="0"/>
        <w:rPr>
          <w:rFonts w:ascii="Times New Roman" w:hAnsi="Times New Roman" w:eastAsia="仿宋" w:cs="Times New Roman"/>
          <w:sz w:val="32"/>
          <w:szCs w:val="24"/>
        </w:rPr>
      </w:pPr>
      <w:bookmarkStart w:id="3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274.43</w:t>
      </w:r>
      <w:r>
        <w:rPr>
          <w:rFonts w:ascii="Times New Roman" w:hAnsi="Times New Roman" w:eastAsia="仿宋" w:cs="Times New Roman"/>
          <w:sz w:val="32"/>
          <w:szCs w:val="24"/>
        </w:rPr>
        <w:t>万元。具体内容见下表。</w:t>
      </w:r>
      <w:bookmarkEnd w:id="35"/>
    </w:p>
    <w:p>
      <w:pPr>
        <w:ind w:firstLine="640" w:firstLineChars="200"/>
        <w:outlineLvl w:val="0"/>
        <w:rPr>
          <w:rFonts w:ascii="Times New Roman" w:hAnsi="Times New Roman" w:eastAsia="仿宋" w:cs="Times New Roman"/>
          <w:sz w:val="32"/>
          <w:szCs w:val="24"/>
        </w:rPr>
      </w:pPr>
      <w:r>
        <w:rPr>
          <w:rFonts w:hint="eastAsia" w:ascii="Times New Roman" w:hAnsi="Times New Roman" w:eastAsia="仿宋" w:cs="Times New Roman"/>
          <w:sz w:val="32"/>
          <w:szCs w:val="24"/>
        </w:rPr>
        <w:t xml:space="preserve">                                                                          单位：万元</w:t>
      </w:r>
    </w:p>
    <w:tbl>
      <w:tblPr>
        <w:tblStyle w:val="7"/>
        <w:tblW w:w="14815" w:type="dxa"/>
        <w:tblInd w:w="93" w:type="dxa"/>
        <w:tblLayout w:type="autofit"/>
        <w:tblCellMar>
          <w:top w:w="0" w:type="dxa"/>
          <w:left w:w="108" w:type="dxa"/>
          <w:bottom w:w="0" w:type="dxa"/>
          <w:right w:w="108" w:type="dxa"/>
        </w:tblCellMar>
      </w:tblPr>
      <w:tblGrid>
        <w:gridCol w:w="3417"/>
        <w:gridCol w:w="876"/>
        <w:gridCol w:w="2230"/>
        <w:gridCol w:w="1426"/>
        <w:gridCol w:w="480"/>
        <w:gridCol w:w="910"/>
        <w:gridCol w:w="1054"/>
        <w:gridCol w:w="880"/>
        <w:gridCol w:w="1060"/>
        <w:gridCol w:w="766"/>
        <w:gridCol w:w="780"/>
        <w:gridCol w:w="500"/>
        <w:gridCol w:w="436"/>
      </w:tblGrid>
      <w:tr>
        <w:tblPrEx>
          <w:tblCellMar>
            <w:top w:w="0" w:type="dxa"/>
            <w:left w:w="108" w:type="dxa"/>
            <w:bottom w:w="0" w:type="dxa"/>
            <w:right w:w="108" w:type="dxa"/>
          </w:tblCellMar>
        </w:tblPrEx>
        <w:trPr>
          <w:trHeight w:val="300" w:hRule="atLeast"/>
        </w:trPr>
        <w:tc>
          <w:tcPr>
            <w:tcW w:w="4293" w:type="dxa"/>
            <w:gridSpan w:val="2"/>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政府采购项目来源</w:t>
            </w:r>
          </w:p>
        </w:tc>
        <w:tc>
          <w:tcPr>
            <w:tcW w:w="223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采购物品名称</w:t>
            </w:r>
          </w:p>
        </w:tc>
        <w:tc>
          <w:tcPr>
            <w:tcW w:w="142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政府采购目录序号</w:t>
            </w:r>
          </w:p>
        </w:tc>
        <w:tc>
          <w:tcPr>
            <w:tcW w:w="4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计量单位</w:t>
            </w:r>
          </w:p>
        </w:tc>
        <w:tc>
          <w:tcPr>
            <w:tcW w:w="91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单价</w:t>
            </w:r>
          </w:p>
        </w:tc>
        <w:tc>
          <w:tcPr>
            <w:tcW w:w="105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数量</w:t>
            </w:r>
          </w:p>
        </w:tc>
        <w:tc>
          <w:tcPr>
            <w:tcW w:w="4422" w:type="dxa"/>
            <w:gridSpan w:val="6"/>
            <w:tcBorders>
              <w:top w:val="single" w:color="auto" w:sz="4" w:space="0"/>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政府采购金额（当年部门预算安排资金）</w:t>
            </w:r>
          </w:p>
        </w:tc>
      </w:tr>
      <w:tr>
        <w:tblPrEx>
          <w:tblCellMar>
            <w:top w:w="0" w:type="dxa"/>
            <w:left w:w="108" w:type="dxa"/>
            <w:bottom w:w="0" w:type="dxa"/>
            <w:right w:w="108" w:type="dxa"/>
          </w:tblCellMar>
        </w:tblPrEx>
        <w:trPr>
          <w:trHeight w:val="312" w:hRule="atLeast"/>
        </w:trPr>
        <w:tc>
          <w:tcPr>
            <w:tcW w:w="4293" w:type="dxa"/>
            <w:gridSpan w:val="2"/>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仿宋" w:hAnsi="仿宋" w:eastAsia="仿宋" w:cs="宋体"/>
                <w:kern w:val="0"/>
                <w:sz w:val="22"/>
              </w:rPr>
            </w:pPr>
          </w:p>
        </w:tc>
        <w:tc>
          <w:tcPr>
            <w:tcW w:w="22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4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4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91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05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8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合计</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一般公共预算拨款</w:t>
            </w:r>
          </w:p>
        </w:tc>
        <w:tc>
          <w:tcPr>
            <w:tcW w:w="76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基金预算拨款</w:t>
            </w:r>
          </w:p>
        </w:tc>
        <w:tc>
          <w:tcPr>
            <w:tcW w:w="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国有资本经营预算拨款</w:t>
            </w:r>
          </w:p>
        </w:tc>
        <w:tc>
          <w:tcPr>
            <w:tcW w:w="5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财政专户拨款</w:t>
            </w:r>
          </w:p>
        </w:tc>
        <w:tc>
          <w:tcPr>
            <w:tcW w:w="43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其他来源收入</w:t>
            </w:r>
          </w:p>
        </w:tc>
      </w:tr>
      <w:tr>
        <w:tblPrEx>
          <w:tblCellMar>
            <w:top w:w="0" w:type="dxa"/>
            <w:left w:w="108" w:type="dxa"/>
            <w:bottom w:w="0" w:type="dxa"/>
            <w:right w:w="108" w:type="dxa"/>
          </w:tblCellMar>
        </w:tblPrEx>
        <w:trPr>
          <w:trHeight w:val="312" w:hRule="atLeast"/>
        </w:trPr>
        <w:tc>
          <w:tcPr>
            <w:tcW w:w="341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项目名称</w:t>
            </w:r>
          </w:p>
        </w:tc>
        <w:tc>
          <w:tcPr>
            <w:tcW w:w="876"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预算资金</w:t>
            </w:r>
          </w:p>
        </w:tc>
        <w:tc>
          <w:tcPr>
            <w:tcW w:w="22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4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4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91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05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8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766"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500"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436"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r>
      <w:tr>
        <w:tblPrEx>
          <w:tblCellMar>
            <w:top w:w="0" w:type="dxa"/>
            <w:left w:w="108" w:type="dxa"/>
            <w:bottom w:w="0" w:type="dxa"/>
            <w:right w:w="108" w:type="dxa"/>
          </w:tblCellMar>
        </w:tblPrEx>
        <w:trPr>
          <w:trHeight w:val="312" w:hRule="atLeast"/>
        </w:trPr>
        <w:tc>
          <w:tcPr>
            <w:tcW w:w="3417"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876" w:type="dxa"/>
            <w:vMerge w:val="continue"/>
            <w:tcBorders>
              <w:top w:val="nil"/>
              <w:left w:val="single" w:color="auto" w:sz="4" w:space="0"/>
              <w:bottom w:val="single" w:color="000000" w:sz="4" w:space="0"/>
              <w:right w:val="single" w:color="auto" w:sz="4" w:space="0"/>
            </w:tcBorders>
            <w:vAlign w:val="center"/>
          </w:tcPr>
          <w:p>
            <w:pPr>
              <w:widowControl/>
              <w:jc w:val="left"/>
              <w:rPr>
                <w:rFonts w:ascii="仿宋" w:hAnsi="仿宋" w:eastAsia="仿宋" w:cs="宋体"/>
                <w:kern w:val="0"/>
                <w:sz w:val="22"/>
              </w:rPr>
            </w:pPr>
          </w:p>
        </w:tc>
        <w:tc>
          <w:tcPr>
            <w:tcW w:w="22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4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4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91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05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8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766"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500"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436"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r>
      <w:tr>
        <w:tblPrEx>
          <w:tblCellMar>
            <w:top w:w="0" w:type="dxa"/>
            <w:left w:w="108" w:type="dxa"/>
            <w:bottom w:w="0" w:type="dxa"/>
            <w:right w:w="108" w:type="dxa"/>
          </w:tblCellMar>
        </w:tblPrEx>
        <w:trPr>
          <w:trHeight w:val="312" w:hRule="atLeast"/>
        </w:trPr>
        <w:tc>
          <w:tcPr>
            <w:tcW w:w="3417"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876" w:type="dxa"/>
            <w:vMerge w:val="continue"/>
            <w:tcBorders>
              <w:top w:val="nil"/>
              <w:left w:val="single" w:color="auto" w:sz="4" w:space="0"/>
              <w:bottom w:val="single" w:color="000000" w:sz="4" w:space="0"/>
              <w:right w:val="single" w:color="auto" w:sz="4" w:space="0"/>
            </w:tcBorders>
            <w:vAlign w:val="center"/>
          </w:tcPr>
          <w:p>
            <w:pPr>
              <w:widowControl/>
              <w:jc w:val="left"/>
              <w:rPr>
                <w:rFonts w:ascii="仿宋" w:hAnsi="仿宋" w:eastAsia="仿宋" w:cs="宋体"/>
                <w:kern w:val="0"/>
                <w:sz w:val="22"/>
              </w:rPr>
            </w:pPr>
          </w:p>
        </w:tc>
        <w:tc>
          <w:tcPr>
            <w:tcW w:w="22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4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4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91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05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8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766"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780"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500"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c>
          <w:tcPr>
            <w:tcW w:w="436"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2"/>
              </w:rPr>
            </w:pPr>
          </w:p>
        </w:tc>
      </w:tr>
      <w:tr>
        <w:tblPrEx>
          <w:tblCellMar>
            <w:top w:w="0" w:type="dxa"/>
            <w:left w:w="108" w:type="dxa"/>
            <w:bottom w:w="0" w:type="dxa"/>
            <w:right w:w="108" w:type="dxa"/>
          </w:tblCellMar>
        </w:tblPrEx>
        <w:trPr>
          <w:trHeight w:val="300" w:hRule="atLeast"/>
        </w:trPr>
        <w:tc>
          <w:tcPr>
            <w:tcW w:w="3417" w:type="dxa"/>
            <w:tcBorders>
              <w:top w:val="nil"/>
              <w:left w:val="single" w:color="auto" w:sz="4" w:space="0"/>
              <w:bottom w:val="nil"/>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合计</w:t>
            </w:r>
          </w:p>
        </w:tc>
        <w:tc>
          <w:tcPr>
            <w:tcW w:w="876" w:type="dxa"/>
            <w:tcBorders>
              <w:top w:val="nil"/>
              <w:left w:val="nil"/>
              <w:bottom w:val="nil"/>
              <w:right w:val="single" w:color="auto" w:sz="4" w:space="0"/>
            </w:tcBorders>
            <w:shd w:val="clear" w:color="auto" w:fill="auto"/>
            <w:vAlign w:val="center"/>
          </w:tcPr>
          <w:p>
            <w:pPr>
              <w:widowControl/>
              <w:jc w:val="center"/>
              <w:rPr>
                <w:rFonts w:ascii="仿宋" w:hAnsi="仿宋" w:eastAsia="仿宋" w:cs="宋体"/>
                <w:kern w:val="0"/>
                <w:sz w:val="22"/>
              </w:rPr>
            </w:pPr>
            <w:r>
              <w:rPr>
                <w:rFonts w:hint="eastAsia" w:ascii="仿宋" w:hAnsi="仿宋" w:eastAsia="仿宋" w:cs="宋体"/>
                <w:kern w:val="0"/>
                <w:sz w:val="22"/>
              </w:rPr>
              <w:t>　</w:t>
            </w:r>
          </w:p>
        </w:tc>
        <w:tc>
          <w:tcPr>
            <w:tcW w:w="2230"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1426"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80"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910"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105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880" w:type="dxa"/>
            <w:tcBorders>
              <w:top w:val="nil"/>
              <w:left w:val="nil"/>
              <w:bottom w:val="nil"/>
              <w:right w:val="nil"/>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274.43</w:t>
            </w:r>
          </w:p>
        </w:tc>
        <w:tc>
          <w:tcPr>
            <w:tcW w:w="1060"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仿宋" w:hAnsi="仿宋" w:eastAsia="仿宋" w:cs="宋体"/>
                <w:kern w:val="0"/>
                <w:sz w:val="22"/>
              </w:rPr>
            </w:pPr>
            <w:r>
              <w:rPr>
                <w:rFonts w:hint="eastAsia" w:ascii="仿宋" w:hAnsi="仿宋" w:eastAsia="仿宋" w:cs="宋体"/>
                <w:kern w:val="0"/>
                <w:sz w:val="22"/>
              </w:rPr>
              <w:t xml:space="preserve">212.43 </w:t>
            </w:r>
          </w:p>
        </w:tc>
        <w:tc>
          <w:tcPr>
            <w:tcW w:w="766" w:type="dxa"/>
            <w:tcBorders>
              <w:top w:val="nil"/>
              <w:left w:val="nil"/>
              <w:bottom w:val="single" w:color="auto" w:sz="4" w:space="0"/>
              <w:right w:val="single" w:color="auto" w:sz="4" w:space="0"/>
            </w:tcBorders>
            <w:shd w:val="clear" w:color="auto" w:fill="auto"/>
            <w:vAlign w:val="center"/>
          </w:tcPr>
          <w:p>
            <w:pPr>
              <w:widowControl/>
              <w:jc w:val="right"/>
              <w:rPr>
                <w:rFonts w:ascii="仿宋" w:hAnsi="仿宋" w:eastAsia="仿宋" w:cs="宋体"/>
                <w:kern w:val="0"/>
                <w:sz w:val="22"/>
              </w:rPr>
            </w:pPr>
            <w:r>
              <w:rPr>
                <w:rFonts w:hint="eastAsia" w:ascii="仿宋" w:hAnsi="仿宋" w:eastAsia="仿宋" w:cs="宋体"/>
                <w:kern w:val="0"/>
                <w:sz w:val="22"/>
              </w:rPr>
              <w:t xml:space="preserve">62.00 </w:t>
            </w:r>
          </w:p>
        </w:tc>
        <w:tc>
          <w:tcPr>
            <w:tcW w:w="780"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96" w:hRule="atLeast"/>
        </w:trPr>
        <w:tc>
          <w:tcPr>
            <w:tcW w:w="341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日常公用办公费</w:t>
            </w:r>
          </w:p>
        </w:tc>
        <w:tc>
          <w:tcPr>
            <w:tcW w:w="8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146100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其他文教用品</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A090499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个</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1.60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1.60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1.60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688"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日常公用印刷费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146100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其他印刷品</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A080299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个</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0.12</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5.00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870" w:hRule="atLeast"/>
        </w:trPr>
        <w:tc>
          <w:tcPr>
            <w:tcW w:w="341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冀财教[2019]118号/提前下达2020年中央补助地方免费开放补助资金/文化馆</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其他电信和信息传输服务</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C0399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1037" w:hRule="atLeast"/>
        </w:trPr>
        <w:tc>
          <w:tcPr>
            <w:tcW w:w="34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冀财教[2019]118号/提前下达2020年中央补助地方免费开放补助资金/文化馆</w:t>
            </w:r>
          </w:p>
        </w:tc>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其他显示器</w:t>
            </w:r>
          </w:p>
        </w:tc>
        <w:tc>
          <w:tcPr>
            <w:tcW w:w="14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A0201060499</w:t>
            </w:r>
          </w:p>
        </w:tc>
        <w:tc>
          <w:tcPr>
            <w:tcW w:w="4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0.28</w:t>
            </w:r>
          </w:p>
        </w:tc>
        <w:tc>
          <w:tcPr>
            <w:tcW w:w="105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0.28</w:t>
            </w:r>
          </w:p>
        </w:tc>
        <w:tc>
          <w:tcPr>
            <w:tcW w:w="10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0.28</w:t>
            </w:r>
          </w:p>
        </w:tc>
        <w:tc>
          <w:tcPr>
            <w:tcW w:w="76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1123" w:hRule="atLeast"/>
        </w:trPr>
        <w:tc>
          <w:tcPr>
            <w:tcW w:w="34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冀财教[2019]118号/提前下达2020年中央补助地方免费开放补助资金/文化馆</w:t>
            </w:r>
          </w:p>
        </w:tc>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投影仪</w:t>
            </w:r>
          </w:p>
        </w:tc>
        <w:tc>
          <w:tcPr>
            <w:tcW w:w="14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A020202</w:t>
            </w:r>
          </w:p>
        </w:tc>
        <w:tc>
          <w:tcPr>
            <w:tcW w:w="4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台</w:t>
            </w:r>
          </w:p>
        </w:tc>
        <w:tc>
          <w:tcPr>
            <w:tcW w:w="91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0.55</w:t>
            </w:r>
          </w:p>
        </w:tc>
        <w:tc>
          <w:tcPr>
            <w:tcW w:w="105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0.55</w:t>
            </w:r>
          </w:p>
        </w:tc>
        <w:tc>
          <w:tcPr>
            <w:tcW w:w="10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0.55</w:t>
            </w:r>
          </w:p>
        </w:tc>
        <w:tc>
          <w:tcPr>
            <w:tcW w:w="76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570" w:hRule="atLeast"/>
        </w:trPr>
        <w:tc>
          <w:tcPr>
            <w:tcW w:w="34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冀财教[2019]118号/提前下达2020年中央补助地方免费开放补助资金/文化馆</w:t>
            </w:r>
          </w:p>
        </w:tc>
        <w:tc>
          <w:tcPr>
            <w:tcW w:w="8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其他安全设备</w:t>
            </w:r>
          </w:p>
        </w:tc>
        <w:tc>
          <w:tcPr>
            <w:tcW w:w="1426"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A02010399</w:t>
            </w:r>
          </w:p>
        </w:tc>
        <w:tc>
          <w:tcPr>
            <w:tcW w:w="48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1.60</w:t>
            </w:r>
          </w:p>
        </w:tc>
        <w:tc>
          <w:tcPr>
            <w:tcW w:w="1054"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1.60</w:t>
            </w:r>
          </w:p>
        </w:tc>
        <w:tc>
          <w:tcPr>
            <w:tcW w:w="106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1.60</w:t>
            </w:r>
          </w:p>
        </w:tc>
        <w:tc>
          <w:tcPr>
            <w:tcW w:w="766"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570" w:hRule="atLeast"/>
        </w:trPr>
        <w:tc>
          <w:tcPr>
            <w:tcW w:w="341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冀财教[2019]118号/提前下达2020年中央补助地方免费开放补助资金/文化馆</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木质柜类</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A060501</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555" w:hRule="atLeast"/>
        </w:trPr>
        <w:tc>
          <w:tcPr>
            <w:tcW w:w="341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冀财教[2019]118号/提前下达2020年中央补助地方免费开放补助资金/文化馆</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木质架类</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A060601</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0.10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0.10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0.10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570" w:hRule="atLeast"/>
        </w:trPr>
        <w:tc>
          <w:tcPr>
            <w:tcW w:w="341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冀财教[2019]118号/提前下达2020年中央补助地方免费开放补助资金/文化馆</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木制床类</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A060104</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张</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0.05</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0.15</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0.15</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690" w:hRule="atLeast"/>
        </w:trPr>
        <w:tc>
          <w:tcPr>
            <w:tcW w:w="341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冀财教[2019]118号/提前下达2020年中央补助地方免费开放补助资金/文化馆</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木制台、桌类</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A060205</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张</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0.03</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20.00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585" w:hRule="atLeast"/>
        </w:trPr>
        <w:tc>
          <w:tcPr>
            <w:tcW w:w="341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冀财教[2019]118号/提前下达2020年中央补助地方免费开放补助资金/文化馆</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其他打印设备</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A0201060199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台</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0.22</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0.22</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0.22</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795" w:hRule="atLeast"/>
        </w:trPr>
        <w:tc>
          <w:tcPr>
            <w:tcW w:w="34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[冀财教[2019]118号/提前下达2020年中央补助地方免费开放补助资金/12个文化站]</w:t>
            </w:r>
          </w:p>
        </w:tc>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300000</w:t>
            </w:r>
          </w:p>
        </w:tc>
        <w:tc>
          <w:tcPr>
            <w:tcW w:w="22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其他印刷服务</w:t>
            </w:r>
          </w:p>
        </w:tc>
        <w:tc>
          <w:tcPr>
            <w:tcW w:w="14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C08140199</w:t>
            </w:r>
          </w:p>
        </w:tc>
        <w:tc>
          <w:tcPr>
            <w:tcW w:w="4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8.40</w:t>
            </w:r>
          </w:p>
        </w:tc>
        <w:tc>
          <w:tcPr>
            <w:tcW w:w="105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8.40</w:t>
            </w:r>
          </w:p>
        </w:tc>
        <w:tc>
          <w:tcPr>
            <w:tcW w:w="10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8.40</w:t>
            </w:r>
          </w:p>
        </w:tc>
        <w:tc>
          <w:tcPr>
            <w:tcW w:w="76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570" w:hRule="atLeast"/>
        </w:trPr>
        <w:tc>
          <w:tcPr>
            <w:tcW w:w="34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冀财教[2019]141号/提前下达2020年省级“三馆一站”免费开放补助资金/图书馆</w:t>
            </w:r>
          </w:p>
        </w:tc>
        <w:tc>
          <w:tcPr>
            <w:tcW w:w="8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60000</w:t>
            </w:r>
          </w:p>
        </w:tc>
        <w:tc>
          <w:tcPr>
            <w:tcW w:w="223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其他计算机设备</w:t>
            </w:r>
          </w:p>
        </w:tc>
        <w:tc>
          <w:tcPr>
            <w:tcW w:w="1426"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A02010199</w:t>
            </w:r>
          </w:p>
        </w:tc>
        <w:tc>
          <w:tcPr>
            <w:tcW w:w="48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1.50</w:t>
            </w:r>
          </w:p>
        </w:tc>
        <w:tc>
          <w:tcPr>
            <w:tcW w:w="1054"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1.50</w:t>
            </w:r>
          </w:p>
        </w:tc>
        <w:tc>
          <w:tcPr>
            <w:tcW w:w="106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1.50</w:t>
            </w:r>
          </w:p>
        </w:tc>
        <w:tc>
          <w:tcPr>
            <w:tcW w:w="766"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540" w:hRule="atLeast"/>
        </w:trPr>
        <w:tc>
          <w:tcPr>
            <w:tcW w:w="34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[冀财教[2019]141号/提前下达2020年省级“三馆一站”免费开放补助资金/图书馆</w:t>
            </w:r>
          </w:p>
        </w:tc>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60000</w:t>
            </w:r>
          </w:p>
        </w:tc>
        <w:tc>
          <w:tcPr>
            <w:tcW w:w="22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空调机</w:t>
            </w:r>
          </w:p>
        </w:tc>
        <w:tc>
          <w:tcPr>
            <w:tcW w:w="14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A0206180203</w:t>
            </w:r>
          </w:p>
        </w:tc>
        <w:tc>
          <w:tcPr>
            <w:tcW w:w="4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0.75</w:t>
            </w:r>
          </w:p>
        </w:tc>
        <w:tc>
          <w:tcPr>
            <w:tcW w:w="105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2.00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1.50</w:t>
            </w:r>
          </w:p>
        </w:tc>
        <w:tc>
          <w:tcPr>
            <w:tcW w:w="10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1.50</w:t>
            </w:r>
          </w:p>
        </w:tc>
        <w:tc>
          <w:tcPr>
            <w:tcW w:w="76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600" w:hRule="atLeast"/>
        </w:trPr>
        <w:tc>
          <w:tcPr>
            <w:tcW w:w="34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冀财教[2019]141号/提前下达2020年省级“三馆一站”免费开放补助资金/图书馆</w:t>
            </w:r>
          </w:p>
        </w:tc>
        <w:tc>
          <w:tcPr>
            <w:tcW w:w="8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60000</w:t>
            </w:r>
          </w:p>
        </w:tc>
        <w:tc>
          <w:tcPr>
            <w:tcW w:w="223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其他柜类</w:t>
            </w:r>
          </w:p>
        </w:tc>
        <w:tc>
          <w:tcPr>
            <w:tcW w:w="1426"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A060599</w:t>
            </w:r>
          </w:p>
        </w:tc>
        <w:tc>
          <w:tcPr>
            <w:tcW w:w="48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1.20</w:t>
            </w:r>
          </w:p>
        </w:tc>
        <w:tc>
          <w:tcPr>
            <w:tcW w:w="1054"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1.20</w:t>
            </w:r>
          </w:p>
        </w:tc>
        <w:tc>
          <w:tcPr>
            <w:tcW w:w="106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1.20</w:t>
            </w:r>
          </w:p>
        </w:tc>
        <w:tc>
          <w:tcPr>
            <w:tcW w:w="766"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570" w:hRule="atLeast"/>
        </w:trPr>
        <w:tc>
          <w:tcPr>
            <w:tcW w:w="341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冀财教[2019]134号/提前下达2020年中央补助地方公共文化服务体系建设专项资金/一般项目</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932800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本册</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A080203</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册</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0.01</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800.00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615" w:hRule="atLeast"/>
        </w:trPr>
        <w:tc>
          <w:tcPr>
            <w:tcW w:w="341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冀财教[2019]134号/提前下达2020年中央补助地方公共文化服务体系建设专项资金/一般项目</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932800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体育运动辅助设备</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A033629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套</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1.50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24.00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36.00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36.00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510" w:hRule="atLeast"/>
        </w:trPr>
        <w:tc>
          <w:tcPr>
            <w:tcW w:w="341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冀财教[2019]134号/提前下达2020年中央补助地方公共文化服务体系建设专项资金/绩效</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510000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书籍、课本</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A05010101</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册</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0.00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9200.00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23.00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23.00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1177" w:hRule="atLeast"/>
        </w:trPr>
        <w:tc>
          <w:tcPr>
            <w:tcW w:w="341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仿宋" w:hAnsi="仿宋" w:eastAsia="仿宋" w:cs="宋体"/>
                <w:kern w:val="0"/>
                <w:sz w:val="22"/>
              </w:rPr>
            </w:pPr>
            <w:r>
              <w:rPr>
                <w:rFonts w:hint="eastAsia" w:ascii="仿宋" w:hAnsi="仿宋" w:eastAsia="仿宋" w:cs="宋体"/>
                <w:kern w:val="0"/>
                <w:sz w:val="22"/>
              </w:rPr>
              <w:t>冀财教[2019]134号/提前下达2020年中央补助地方公共文化服务体系建设专项资金/数字平台</w:t>
            </w:r>
          </w:p>
        </w:tc>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100000</w:t>
            </w:r>
          </w:p>
        </w:tc>
        <w:tc>
          <w:tcPr>
            <w:tcW w:w="22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其他网络控制设备</w:t>
            </w:r>
          </w:p>
        </w:tc>
        <w:tc>
          <w:tcPr>
            <w:tcW w:w="14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A0201020699</w:t>
            </w:r>
          </w:p>
        </w:tc>
        <w:tc>
          <w:tcPr>
            <w:tcW w:w="4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10.00</w:t>
            </w:r>
          </w:p>
        </w:tc>
        <w:tc>
          <w:tcPr>
            <w:tcW w:w="105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10.00</w:t>
            </w:r>
          </w:p>
        </w:tc>
        <w:tc>
          <w:tcPr>
            <w:tcW w:w="10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10.00</w:t>
            </w:r>
          </w:p>
        </w:tc>
        <w:tc>
          <w:tcPr>
            <w:tcW w:w="76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美丽乡村农民健身工程</w:t>
            </w:r>
          </w:p>
        </w:tc>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300000</w:t>
            </w:r>
          </w:p>
        </w:tc>
        <w:tc>
          <w:tcPr>
            <w:tcW w:w="22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健身设备</w:t>
            </w:r>
          </w:p>
        </w:tc>
        <w:tc>
          <w:tcPr>
            <w:tcW w:w="14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A033626</w:t>
            </w:r>
          </w:p>
        </w:tc>
        <w:tc>
          <w:tcPr>
            <w:tcW w:w="4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套</w:t>
            </w:r>
          </w:p>
        </w:tc>
        <w:tc>
          <w:tcPr>
            <w:tcW w:w="91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1.50</w:t>
            </w:r>
          </w:p>
        </w:tc>
        <w:tc>
          <w:tcPr>
            <w:tcW w:w="105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20.00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30.00</w:t>
            </w:r>
          </w:p>
        </w:tc>
        <w:tc>
          <w:tcPr>
            <w:tcW w:w="10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　</w:t>
            </w:r>
          </w:p>
        </w:tc>
        <w:tc>
          <w:tcPr>
            <w:tcW w:w="76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30.00</w:t>
            </w:r>
          </w:p>
        </w:tc>
        <w:tc>
          <w:tcPr>
            <w:tcW w:w="78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全民健身活动中心配套设施</w:t>
            </w:r>
          </w:p>
        </w:tc>
        <w:tc>
          <w:tcPr>
            <w:tcW w:w="8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500000</w:t>
            </w:r>
          </w:p>
        </w:tc>
        <w:tc>
          <w:tcPr>
            <w:tcW w:w="223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健身设备</w:t>
            </w:r>
          </w:p>
        </w:tc>
        <w:tc>
          <w:tcPr>
            <w:tcW w:w="1426"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A033626</w:t>
            </w:r>
          </w:p>
        </w:tc>
        <w:tc>
          <w:tcPr>
            <w:tcW w:w="48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32.00</w:t>
            </w:r>
          </w:p>
        </w:tc>
        <w:tc>
          <w:tcPr>
            <w:tcW w:w="1054"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32.00</w:t>
            </w:r>
          </w:p>
        </w:tc>
        <w:tc>
          <w:tcPr>
            <w:tcW w:w="106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　</w:t>
            </w:r>
          </w:p>
        </w:tc>
        <w:tc>
          <w:tcPr>
            <w:tcW w:w="766"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32.00</w:t>
            </w:r>
          </w:p>
        </w:tc>
        <w:tc>
          <w:tcPr>
            <w:tcW w:w="78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市县体育赛事活动</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70000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其他纸制品</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A090199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0.60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市县体育赛事活动</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70000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其他印刷品</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A080299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0.80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0.80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0.80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2020年旅发大会</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800000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艺术创作和表演服务</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C200301</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72.40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72.40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72.40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文化旅游经费</w:t>
            </w:r>
          </w:p>
        </w:tc>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60000</w:t>
            </w:r>
          </w:p>
        </w:tc>
        <w:tc>
          <w:tcPr>
            <w:tcW w:w="22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鼓粉盒</w:t>
            </w:r>
          </w:p>
        </w:tc>
        <w:tc>
          <w:tcPr>
            <w:tcW w:w="14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A090201</w:t>
            </w:r>
          </w:p>
        </w:tc>
        <w:tc>
          <w:tcPr>
            <w:tcW w:w="4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0.50</w:t>
            </w:r>
          </w:p>
        </w:tc>
        <w:tc>
          <w:tcPr>
            <w:tcW w:w="105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0.50</w:t>
            </w:r>
          </w:p>
        </w:tc>
        <w:tc>
          <w:tcPr>
            <w:tcW w:w="10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0.50</w:t>
            </w:r>
          </w:p>
        </w:tc>
        <w:tc>
          <w:tcPr>
            <w:tcW w:w="76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single" w:color="auto" w:sz="4" w:space="0"/>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文化旅游经费</w:t>
            </w:r>
          </w:p>
        </w:tc>
        <w:tc>
          <w:tcPr>
            <w:tcW w:w="8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60000</w:t>
            </w:r>
          </w:p>
        </w:tc>
        <w:tc>
          <w:tcPr>
            <w:tcW w:w="223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其他印刷服务</w:t>
            </w:r>
          </w:p>
        </w:tc>
        <w:tc>
          <w:tcPr>
            <w:tcW w:w="1426"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C08140199</w:t>
            </w:r>
          </w:p>
        </w:tc>
        <w:tc>
          <w:tcPr>
            <w:tcW w:w="48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4.50</w:t>
            </w:r>
          </w:p>
        </w:tc>
        <w:tc>
          <w:tcPr>
            <w:tcW w:w="1054"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4.50</w:t>
            </w:r>
          </w:p>
        </w:tc>
        <w:tc>
          <w:tcPr>
            <w:tcW w:w="106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4.50</w:t>
            </w:r>
          </w:p>
        </w:tc>
        <w:tc>
          <w:tcPr>
            <w:tcW w:w="766"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single" w:color="auto" w:sz="4" w:space="0"/>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冰雪场馆仿真冰面建设及设备购</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300000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冰上运动设备</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A033610</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30.00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30.00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30.00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旅游服务机构运行经费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120000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复印纸</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A090101</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旅游服务机构运行经费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120000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其他电信和信息传输服务</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C0399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0.53</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0.53</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0.53</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旅游服务机构运行经费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120000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台式计算机</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A02010104</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台</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0.33</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4.00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1.30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1.30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文物保护经费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330000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鼓粉盒</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A090201</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次</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0.01</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5.00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0.06</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0.06</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文物保护经费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330000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复印纸</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A090101</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件</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0.02</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8.00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0.16</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0.16</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文物保护经费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330000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其他纸制品</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A090199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0.58</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0.58</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0.58</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文物保护经费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330000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其他印刷品</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A080299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文物保护经费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330000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其他电信和信息传输服务</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C0399</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0.70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0.70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0.70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r>
        <w:tblPrEx>
          <w:tblCellMar>
            <w:top w:w="0" w:type="dxa"/>
            <w:left w:w="108" w:type="dxa"/>
            <w:bottom w:w="0" w:type="dxa"/>
            <w:right w:w="108" w:type="dxa"/>
          </w:tblCellMar>
        </w:tblPrEx>
        <w:trPr>
          <w:trHeight w:val="402" w:hRule="atLeast"/>
        </w:trPr>
        <w:tc>
          <w:tcPr>
            <w:tcW w:w="3417"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文物保护经费</w:t>
            </w:r>
          </w:p>
        </w:tc>
        <w:tc>
          <w:tcPr>
            <w:tcW w:w="876" w:type="dxa"/>
            <w:tcBorders>
              <w:top w:val="nil"/>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2"/>
              </w:rPr>
            </w:pPr>
            <w:r>
              <w:rPr>
                <w:rFonts w:hint="eastAsia" w:ascii="仿宋" w:hAnsi="仿宋" w:eastAsia="仿宋" w:cs="宋体"/>
                <w:kern w:val="0"/>
                <w:sz w:val="22"/>
              </w:rPr>
              <w:t>330000</w:t>
            </w:r>
          </w:p>
        </w:tc>
        <w:tc>
          <w:tcPr>
            <w:tcW w:w="223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复印机</w:t>
            </w:r>
          </w:p>
        </w:tc>
        <w:tc>
          <w:tcPr>
            <w:tcW w:w="1426"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A020201</w:t>
            </w:r>
          </w:p>
        </w:tc>
        <w:tc>
          <w:tcPr>
            <w:tcW w:w="480"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kern w:val="0"/>
                <w:sz w:val="22"/>
              </w:rPr>
            </w:pPr>
            <w:r>
              <w:rPr>
                <w:rFonts w:hint="eastAsia" w:ascii="仿宋" w:hAnsi="仿宋" w:eastAsia="仿宋" w:cs="宋体"/>
                <w:kern w:val="0"/>
                <w:sz w:val="22"/>
              </w:rPr>
              <w:t>1</w:t>
            </w:r>
          </w:p>
        </w:tc>
        <w:tc>
          <w:tcPr>
            <w:tcW w:w="91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0.40</w:t>
            </w:r>
          </w:p>
        </w:tc>
        <w:tc>
          <w:tcPr>
            <w:tcW w:w="1054"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1.00</w:t>
            </w:r>
          </w:p>
        </w:tc>
        <w:tc>
          <w:tcPr>
            <w:tcW w:w="88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0.40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仿宋" w:hAnsi="仿宋" w:eastAsia="仿宋" w:cs="宋体"/>
                <w:kern w:val="0"/>
                <w:sz w:val="22"/>
              </w:rPr>
            </w:pPr>
            <w:r>
              <w:rPr>
                <w:rFonts w:hint="eastAsia" w:ascii="仿宋" w:hAnsi="仿宋" w:eastAsia="仿宋" w:cs="宋体"/>
                <w:kern w:val="0"/>
                <w:sz w:val="22"/>
              </w:rPr>
              <w:t>0.40</w:t>
            </w:r>
          </w:p>
        </w:tc>
        <w:tc>
          <w:tcPr>
            <w:tcW w:w="76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78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c>
          <w:tcPr>
            <w:tcW w:w="436" w:type="dxa"/>
            <w:tcBorders>
              <w:top w:val="nil"/>
              <w:left w:val="nil"/>
              <w:bottom w:val="single" w:color="auto" w:sz="4" w:space="0"/>
              <w:right w:val="single" w:color="auto" w:sz="4" w:space="0"/>
            </w:tcBorders>
            <w:shd w:val="clear" w:color="auto" w:fill="auto"/>
            <w:noWrap/>
          </w:tcPr>
          <w:p>
            <w:pPr>
              <w:widowControl/>
              <w:jc w:val="left"/>
              <w:rPr>
                <w:rFonts w:ascii="仿宋" w:hAnsi="仿宋" w:eastAsia="仿宋" w:cs="宋体"/>
                <w:kern w:val="0"/>
                <w:sz w:val="22"/>
              </w:rPr>
            </w:pPr>
            <w:r>
              <w:rPr>
                <w:rFonts w:hint="eastAsia" w:ascii="仿宋" w:hAnsi="仿宋" w:eastAsia="仿宋" w:cs="宋体"/>
                <w:kern w:val="0"/>
                <w:sz w:val="22"/>
              </w:rPr>
              <w:t>　</w:t>
            </w:r>
          </w:p>
        </w:tc>
      </w:tr>
    </w:tbl>
    <w:p>
      <w:pPr>
        <w:ind w:firstLine="640" w:firstLineChars="200"/>
        <w:outlineLvl w:val="0"/>
        <w:rPr>
          <w:rFonts w:ascii="仿宋" w:hAnsi="仿宋" w:eastAsia="仿宋" w:cs="Times New Roman"/>
          <w:sz w:val="32"/>
          <w:szCs w:val="24"/>
        </w:rPr>
      </w:pPr>
    </w:p>
    <w:p>
      <w:pPr>
        <w:ind w:firstLine="640" w:firstLineChars="200"/>
        <w:outlineLvl w:val="0"/>
        <w:rPr>
          <w:rFonts w:ascii="仿宋" w:hAnsi="仿宋"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隆尧县文化广电体育和旅游局2019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 xml:space="preserve"> 786.15</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总额为105.66</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rPr>
        <w:t>图书、健身器材、</w:t>
      </w:r>
      <w:r>
        <w:rPr>
          <w:rFonts w:ascii="Times New Roman" w:hAnsi="Times New Roman" w:eastAsia="仿宋" w:cs="Times New Roman"/>
          <w:color w:val="000000"/>
          <w:sz w:val="32"/>
          <w:szCs w:val="32"/>
        </w:rPr>
        <w:t>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隆尧县文化广电体育和旅游局固定资产占用情况表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县文化广电体育和旅游局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rPr>
              <w:t>19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786.15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233.8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12221.29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233.8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552.35</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00"/>
    <w:family w:val="auto"/>
    <w:pitch w:val="default"/>
    <w:sig w:usb0="00000000" w:usb1="00000000" w:usb2="00000000"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22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VlM2QyOTRlOGRlYzFkYjQ0YTE2NDNlMjhhZmE0YzMifQ=="/>
  </w:docVars>
  <w:rsids>
    <w:rsidRoot w:val="00EE71BA"/>
    <w:rsid w:val="00000C13"/>
    <w:rsid w:val="00004C68"/>
    <w:rsid w:val="0005389F"/>
    <w:rsid w:val="00055CF2"/>
    <w:rsid w:val="000613AE"/>
    <w:rsid w:val="000C7140"/>
    <w:rsid w:val="00143A53"/>
    <w:rsid w:val="001C39C8"/>
    <w:rsid w:val="001E7B45"/>
    <w:rsid w:val="00261CA5"/>
    <w:rsid w:val="002C2973"/>
    <w:rsid w:val="002C5350"/>
    <w:rsid w:val="002F5B50"/>
    <w:rsid w:val="003016EE"/>
    <w:rsid w:val="003217D9"/>
    <w:rsid w:val="00323B29"/>
    <w:rsid w:val="00351734"/>
    <w:rsid w:val="00352B09"/>
    <w:rsid w:val="0039059E"/>
    <w:rsid w:val="003B04C3"/>
    <w:rsid w:val="003B10FE"/>
    <w:rsid w:val="003E3F6E"/>
    <w:rsid w:val="004336D3"/>
    <w:rsid w:val="004D34B5"/>
    <w:rsid w:val="004D373C"/>
    <w:rsid w:val="00515154"/>
    <w:rsid w:val="00554D54"/>
    <w:rsid w:val="00571421"/>
    <w:rsid w:val="00593A3E"/>
    <w:rsid w:val="005C15C5"/>
    <w:rsid w:val="005F604A"/>
    <w:rsid w:val="0063225A"/>
    <w:rsid w:val="00634AA0"/>
    <w:rsid w:val="006B01DB"/>
    <w:rsid w:val="006D5F66"/>
    <w:rsid w:val="007050F9"/>
    <w:rsid w:val="00705412"/>
    <w:rsid w:val="00723F56"/>
    <w:rsid w:val="0076122D"/>
    <w:rsid w:val="00783B27"/>
    <w:rsid w:val="007A4718"/>
    <w:rsid w:val="007C4505"/>
    <w:rsid w:val="007F0341"/>
    <w:rsid w:val="00803134"/>
    <w:rsid w:val="0084454A"/>
    <w:rsid w:val="0086432D"/>
    <w:rsid w:val="008947E4"/>
    <w:rsid w:val="008B78C2"/>
    <w:rsid w:val="00936666"/>
    <w:rsid w:val="0095719F"/>
    <w:rsid w:val="00975CE9"/>
    <w:rsid w:val="00986D77"/>
    <w:rsid w:val="009A521C"/>
    <w:rsid w:val="009D7124"/>
    <w:rsid w:val="009E49C0"/>
    <w:rsid w:val="00A117EC"/>
    <w:rsid w:val="00A74809"/>
    <w:rsid w:val="00A87352"/>
    <w:rsid w:val="00AA3FFF"/>
    <w:rsid w:val="00AD3E38"/>
    <w:rsid w:val="00AF7253"/>
    <w:rsid w:val="00B26D91"/>
    <w:rsid w:val="00B320CB"/>
    <w:rsid w:val="00B34542"/>
    <w:rsid w:val="00B4383F"/>
    <w:rsid w:val="00B51263"/>
    <w:rsid w:val="00B6444E"/>
    <w:rsid w:val="00B671E3"/>
    <w:rsid w:val="00B75617"/>
    <w:rsid w:val="00BA42E0"/>
    <w:rsid w:val="00BA7F37"/>
    <w:rsid w:val="00BB7B1B"/>
    <w:rsid w:val="00BE537A"/>
    <w:rsid w:val="00BF7CDF"/>
    <w:rsid w:val="00C80F57"/>
    <w:rsid w:val="00C86B29"/>
    <w:rsid w:val="00C9716A"/>
    <w:rsid w:val="00CA5760"/>
    <w:rsid w:val="00CC713C"/>
    <w:rsid w:val="00CD6C81"/>
    <w:rsid w:val="00CE0F0A"/>
    <w:rsid w:val="00CF2645"/>
    <w:rsid w:val="00D518F0"/>
    <w:rsid w:val="00D607DA"/>
    <w:rsid w:val="00DB220B"/>
    <w:rsid w:val="00DC6EE5"/>
    <w:rsid w:val="00DD7A02"/>
    <w:rsid w:val="00DF0A68"/>
    <w:rsid w:val="00E24978"/>
    <w:rsid w:val="00E54986"/>
    <w:rsid w:val="00E7529E"/>
    <w:rsid w:val="00EB53C8"/>
    <w:rsid w:val="00EE71BA"/>
    <w:rsid w:val="00EF6388"/>
    <w:rsid w:val="00EF65F7"/>
    <w:rsid w:val="00F16CCF"/>
    <w:rsid w:val="00F22DC3"/>
    <w:rsid w:val="00F2479C"/>
    <w:rsid w:val="00F314B6"/>
    <w:rsid w:val="00F41500"/>
    <w:rsid w:val="00F4784F"/>
    <w:rsid w:val="00F600EE"/>
    <w:rsid w:val="00F867E4"/>
    <w:rsid w:val="00FA4733"/>
    <w:rsid w:val="00FC3EA0"/>
    <w:rsid w:val="00FD1900"/>
    <w:rsid w:val="00FD5280"/>
    <w:rsid w:val="00FD6E6B"/>
    <w:rsid w:val="00FF51F7"/>
    <w:rsid w:val="0B8A6107"/>
    <w:rsid w:val="103D29AD"/>
    <w:rsid w:val="1FFD6CD7"/>
    <w:rsid w:val="209054C8"/>
    <w:rsid w:val="22316E51"/>
    <w:rsid w:val="2329517E"/>
    <w:rsid w:val="29214D22"/>
    <w:rsid w:val="33BB1EE6"/>
    <w:rsid w:val="436237B4"/>
    <w:rsid w:val="45542A21"/>
    <w:rsid w:val="473351AD"/>
    <w:rsid w:val="4963382A"/>
    <w:rsid w:val="51DF5D2C"/>
    <w:rsid w:val="602018C5"/>
    <w:rsid w:val="624A4D1C"/>
    <w:rsid w:val="655A3A24"/>
    <w:rsid w:val="6D832250"/>
    <w:rsid w:val="76380DB4"/>
    <w:rsid w:val="79432040"/>
    <w:rsid w:val="7C135940"/>
    <w:rsid w:val="7F5F158D"/>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4"/>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autoRedefine/>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autoRedefine/>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table" w:styleId="8">
    <w:name w:val="Table Grid"/>
    <w:basedOn w:val="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basedOn w:val="9"/>
    <w:autoRedefine/>
    <w:semiHidden/>
    <w:unhideWhenUsed/>
    <w:qFormat/>
    <w:uiPriority w:val="99"/>
    <w:rPr>
      <w:color w:val="0000FF"/>
      <w:u w:val="single"/>
    </w:rPr>
  </w:style>
  <w:style w:type="character" w:styleId="11">
    <w:name w:val="footnote reference"/>
    <w:autoRedefin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autoRedefine/>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57</Pages>
  <Words>2679</Words>
  <Characters>15275</Characters>
  <Lines>127</Lines>
  <Paragraphs>35</Paragraphs>
  <TotalTime>9</TotalTime>
  <ScaleCrop>false</ScaleCrop>
  <LinksUpToDate>false</LinksUpToDate>
  <CharactersWithSpaces>17919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zrx</cp:lastModifiedBy>
  <cp:lastPrinted>2020-01-10T15:53:00Z</cp:lastPrinted>
  <dcterms:modified xsi:type="dcterms:W3CDTF">2024-04-25T08:42:26Z</dcterms:modified>
  <cp:revision>78</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D56462C01EE644A8BAD2A103822B2398</vt:lpwstr>
  </property>
</Properties>
</file>