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0" w:name="_GoBack"/>
      <w:bookmarkEnd w:id="20"/>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72.30</w:t>
            </w:r>
          </w:p>
        </w:tc>
        <w:tc>
          <w:tcPr>
            <w:tcW w:w="4535" w:type="dxa"/>
            <w:vAlign w:val="center"/>
          </w:tcPr>
          <w:p>
            <w:pPr>
              <w:pStyle w:val="10"/>
            </w:pPr>
            <w:r>
              <w:t>一、一般公共服务支出</w:t>
            </w:r>
          </w:p>
        </w:tc>
        <w:tc>
          <w:tcPr>
            <w:tcW w:w="2126" w:type="dxa"/>
            <w:vAlign w:val="center"/>
          </w:tcPr>
          <w:p>
            <w:pPr>
              <w:pStyle w:val="9"/>
            </w:pPr>
            <w:r>
              <w:t>60.22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72.30</w:t>
            </w:r>
          </w:p>
        </w:tc>
        <w:tc>
          <w:tcPr>
            <w:tcW w:w="4535" w:type="dxa"/>
            <w:vAlign w:val="center"/>
          </w:tcPr>
          <w:p>
            <w:pPr>
              <w:pStyle w:val="12"/>
            </w:pPr>
            <w:r>
              <w:t>本年支出合计</w:t>
            </w:r>
          </w:p>
        </w:tc>
        <w:tc>
          <w:tcPr>
            <w:tcW w:w="2126" w:type="dxa"/>
            <w:vAlign w:val="center"/>
          </w:tcPr>
          <w:p>
            <w:pPr>
              <w:pStyle w:val="13"/>
            </w:pPr>
            <w:r>
              <w:t>72.30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72.30</w:t>
            </w:r>
          </w:p>
        </w:tc>
        <w:tc>
          <w:tcPr>
            <w:tcW w:w="4535" w:type="dxa"/>
            <w:vAlign w:val="center"/>
          </w:tcPr>
          <w:p>
            <w:pPr>
              <w:pStyle w:val="12"/>
            </w:pPr>
            <w:r>
              <w:t>支出总计</w:t>
            </w:r>
          </w:p>
        </w:tc>
        <w:tc>
          <w:tcPr>
            <w:tcW w:w="2126" w:type="dxa"/>
            <w:vAlign w:val="center"/>
          </w:tcPr>
          <w:p>
            <w:pPr>
              <w:pStyle w:val="13"/>
            </w:pPr>
            <w:r>
              <w:t>72.30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72.30</w:t>
            </w:r>
          </w:p>
        </w:tc>
        <w:tc>
          <w:tcPr>
            <w:tcW w:w="1134" w:type="dxa"/>
            <w:vAlign w:val="center"/>
          </w:tcPr>
          <w:p>
            <w:pPr>
              <w:pStyle w:val="13"/>
            </w:pPr>
            <w:r>
              <w:t>72.30</w:t>
            </w:r>
          </w:p>
        </w:tc>
        <w:tc>
          <w:tcPr>
            <w:tcW w:w="1134" w:type="dxa"/>
            <w:vAlign w:val="center"/>
          </w:tcPr>
          <w:p>
            <w:pPr>
              <w:pStyle w:val="13"/>
            </w:pPr>
            <w:r>
              <w:t>72.30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20129</w:t>
            </w:r>
          </w:p>
        </w:tc>
        <w:tc>
          <w:tcPr>
            <w:tcW w:w="1559" w:type="dxa"/>
            <w:vAlign w:val="center"/>
          </w:tcPr>
          <w:p>
            <w:pPr>
              <w:pStyle w:val="10"/>
            </w:pPr>
            <w:r>
              <w:t>群众团体事务</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2012901</w:t>
            </w:r>
          </w:p>
        </w:tc>
        <w:tc>
          <w:tcPr>
            <w:tcW w:w="1559" w:type="dxa"/>
            <w:vAlign w:val="center"/>
          </w:tcPr>
          <w:p>
            <w:pPr>
              <w:pStyle w:val="10"/>
            </w:pPr>
            <w:r>
              <w:t>行政运行</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72.30</w:t>
            </w:r>
          </w:p>
        </w:tc>
        <w:tc>
          <w:tcPr>
            <w:tcW w:w="1361" w:type="dxa"/>
            <w:vAlign w:val="center"/>
          </w:tcPr>
          <w:p>
            <w:pPr>
              <w:pStyle w:val="13"/>
            </w:pPr>
            <w:r>
              <w:t>56.54</w:t>
            </w:r>
          </w:p>
        </w:tc>
        <w:tc>
          <w:tcPr>
            <w:tcW w:w="1361" w:type="dxa"/>
            <w:vAlign w:val="center"/>
          </w:tcPr>
          <w:p>
            <w:pPr>
              <w:pStyle w:val="13"/>
            </w:pPr>
            <w:r>
              <w:t>15.77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60.22</w:t>
            </w:r>
          </w:p>
        </w:tc>
        <w:tc>
          <w:tcPr>
            <w:tcW w:w="1361" w:type="dxa"/>
            <w:vAlign w:val="center"/>
          </w:tcPr>
          <w:p>
            <w:pPr>
              <w:pStyle w:val="9"/>
            </w:pPr>
            <w:r>
              <w:t>44.45</w:t>
            </w:r>
          </w:p>
        </w:tc>
        <w:tc>
          <w:tcPr>
            <w:tcW w:w="1361" w:type="dxa"/>
            <w:vAlign w:val="center"/>
          </w:tcPr>
          <w:p>
            <w:pPr>
              <w:pStyle w:val="9"/>
            </w:pPr>
            <w:r>
              <w:t>15.77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20129</w:t>
            </w:r>
          </w:p>
        </w:tc>
        <w:tc>
          <w:tcPr>
            <w:tcW w:w="4535" w:type="dxa"/>
            <w:vAlign w:val="center"/>
          </w:tcPr>
          <w:p>
            <w:pPr>
              <w:pStyle w:val="10"/>
            </w:pPr>
            <w:r>
              <w:t>群众团体事务</w:t>
            </w:r>
          </w:p>
        </w:tc>
        <w:tc>
          <w:tcPr>
            <w:tcW w:w="1361" w:type="dxa"/>
            <w:vAlign w:val="center"/>
          </w:tcPr>
          <w:p>
            <w:pPr>
              <w:pStyle w:val="9"/>
            </w:pPr>
            <w:r>
              <w:t>60.22</w:t>
            </w:r>
          </w:p>
        </w:tc>
        <w:tc>
          <w:tcPr>
            <w:tcW w:w="1361" w:type="dxa"/>
            <w:vAlign w:val="center"/>
          </w:tcPr>
          <w:p>
            <w:pPr>
              <w:pStyle w:val="9"/>
            </w:pPr>
            <w:r>
              <w:t>44.45</w:t>
            </w:r>
          </w:p>
        </w:tc>
        <w:tc>
          <w:tcPr>
            <w:tcW w:w="1361" w:type="dxa"/>
            <w:vAlign w:val="center"/>
          </w:tcPr>
          <w:p>
            <w:pPr>
              <w:pStyle w:val="9"/>
            </w:pPr>
            <w:r>
              <w:t>15.77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2012901</w:t>
            </w:r>
          </w:p>
        </w:tc>
        <w:tc>
          <w:tcPr>
            <w:tcW w:w="4535" w:type="dxa"/>
            <w:vAlign w:val="center"/>
          </w:tcPr>
          <w:p>
            <w:pPr>
              <w:pStyle w:val="10"/>
            </w:pPr>
            <w:r>
              <w:t>行政运行</w:t>
            </w:r>
          </w:p>
        </w:tc>
        <w:tc>
          <w:tcPr>
            <w:tcW w:w="1361" w:type="dxa"/>
            <w:vAlign w:val="center"/>
          </w:tcPr>
          <w:p>
            <w:pPr>
              <w:pStyle w:val="9"/>
            </w:pPr>
            <w:r>
              <w:t>60.22</w:t>
            </w:r>
          </w:p>
        </w:tc>
        <w:tc>
          <w:tcPr>
            <w:tcW w:w="1361" w:type="dxa"/>
            <w:vAlign w:val="center"/>
          </w:tcPr>
          <w:p>
            <w:pPr>
              <w:pStyle w:val="9"/>
            </w:pPr>
            <w:r>
              <w:t>44.45</w:t>
            </w:r>
          </w:p>
        </w:tc>
        <w:tc>
          <w:tcPr>
            <w:tcW w:w="1361" w:type="dxa"/>
            <w:vAlign w:val="center"/>
          </w:tcPr>
          <w:p>
            <w:pPr>
              <w:pStyle w:val="9"/>
            </w:pPr>
            <w:r>
              <w:t>15.77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5.30</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5.30</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5.30</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2.45</w:t>
            </w:r>
          </w:p>
        </w:tc>
        <w:tc>
          <w:tcPr>
            <w:tcW w:w="1361" w:type="dxa"/>
            <w:vAlign w:val="center"/>
          </w:tcPr>
          <w:p>
            <w:pPr>
              <w:pStyle w:val="9"/>
            </w:pPr>
            <w:r>
              <w:t>2.45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2.45</w:t>
            </w:r>
          </w:p>
        </w:tc>
        <w:tc>
          <w:tcPr>
            <w:tcW w:w="1361" w:type="dxa"/>
            <w:vAlign w:val="center"/>
          </w:tcPr>
          <w:p>
            <w:pPr>
              <w:pStyle w:val="9"/>
            </w:pPr>
            <w:r>
              <w:t>2.45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2.45</w:t>
            </w:r>
          </w:p>
        </w:tc>
        <w:tc>
          <w:tcPr>
            <w:tcW w:w="1361" w:type="dxa"/>
            <w:vAlign w:val="center"/>
          </w:tcPr>
          <w:p>
            <w:pPr>
              <w:pStyle w:val="9"/>
            </w:pPr>
            <w:r>
              <w:t>2.45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4.34</w:t>
            </w:r>
          </w:p>
        </w:tc>
        <w:tc>
          <w:tcPr>
            <w:tcW w:w="1361" w:type="dxa"/>
            <w:vAlign w:val="center"/>
          </w:tcPr>
          <w:p>
            <w:pPr>
              <w:pStyle w:val="9"/>
            </w:pPr>
            <w:r>
              <w:t>4.34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4.34</w:t>
            </w:r>
          </w:p>
        </w:tc>
        <w:tc>
          <w:tcPr>
            <w:tcW w:w="1361" w:type="dxa"/>
            <w:vAlign w:val="center"/>
          </w:tcPr>
          <w:p>
            <w:pPr>
              <w:pStyle w:val="9"/>
            </w:pPr>
            <w:r>
              <w:t>4.34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4.34</w:t>
            </w:r>
          </w:p>
        </w:tc>
        <w:tc>
          <w:tcPr>
            <w:tcW w:w="1361" w:type="dxa"/>
            <w:vAlign w:val="center"/>
          </w:tcPr>
          <w:p>
            <w:pPr>
              <w:pStyle w:val="9"/>
            </w:pPr>
            <w:r>
              <w:t>4.34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72.30</w:t>
            </w:r>
          </w:p>
        </w:tc>
        <w:tc>
          <w:tcPr>
            <w:tcW w:w="3402" w:type="dxa"/>
            <w:vAlign w:val="center"/>
          </w:tcPr>
          <w:p>
            <w:pPr>
              <w:pStyle w:val="10"/>
            </w:pPr>
            <w:r>
              <w:t>一、一般公共服务支出</w:t>
            </w:r>
          </w:p>
        </w:tc>
        <w:tc>
          <w:tcPr>
            <w:tcW w:w="1474" w:type="dxa"/>
            <w:vAlign w:val="center"/>
          </w:tcPr>
          <w:p>
            <w:pPr>
              <w:pStyle w:val="9"/>
            </w:pPr>
            <w:r>
              <w:t>60.22</w:t>
            </w:r>
          </w:p>
        </w:tc>
        <w:tc>
          <w:tcPr>
            <w:tcW w:w="1474" w:type="dxa"/>
            <w:vAlign w:val="center"/>
          </w:tcPr>
          <w:p>
            <w:pPr>
              <w:pStyle w:val="9"/>
            </w:pPr>
            <w:r>
              <w:t>60.22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5.30</w:t>
            </w:r>
          </w:p>
        </w:tc>
        <w:tc>
          <w:tcPr>
            <w:tcW w:w="1474" w:type="dxa"/>
            <w:vAlign w:val="center"/>
          </w:tcPr>
          <w:p>
            <w:pPr>
              <w:pStyle w:val="9"/>
            </w:pPr>
            <w:r>
              <w:t>5.30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2.45</w:t>
            </w:r>
          </w:p>
        </w:tc>
        <w:tc>
          <w:tcPr>
            <w:tcW w:w="1474" w:type="dxa"/>
            <w:vAlign w:val="center"/>
          </w:tcPr>
          <w:p>
            <w:pPr>
              <w:pStyle w:val="9"/>
            </w:pPr>
            <w:r>
              <w:t>2.45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4.34</w:t>
            </w:r>
          </w:p>
        </w:tc>
        <w:tc>
          <w:tcPr>
            <w:tcW w:w="1474" w:type="dxa"/>
            <w:vAlign w:val="center"/>
          </w:tcPr>
          <w:p>
            <w:pPr>
              <w:pStyle w:val="9"/>
            </w:pPr>
            <w:r>
              <w:t>4.34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72.30</w:t>
            </w:r>
          </w:p>
        </w:tc>
        <w:tc>
          <w:tcPr>
            <w:tcW w:w="3402" w:type="dxa"/>
            <w:vAlign w:val="center"/>
          </w:tcPr>
          <w:p>
            <w:pPr>
              <w:pStyle w:val="12"/>
            </w:pPr>
            <w:r>
              <w:t>本年支出合计</w:t>
            </w:r>
          </w:p>
        </w:tc>
        <w:tc>
          <w:tcPr>
            <w:tcW w:w="1474" w:type="dxa"/>
            <w:vAlign w:val="center"/>
          </w:tcPr>
          <w:p>
            <w:pPr>
              <w:pStyle w:val="13"/>
            </w:pPr>
            <w:r>
              <w:t>72.30</w:t>
            </w:r>
          </w:p>
        </w:tc>
        <w:tc>
          <w:tcPr>
            <w:tcW w:w="1474" w:type="dxa"/>
            <w:vAlign w:val="center"/>
          </w:tcPr>
          <w:p>
            <w:pPr>
              <w:pStyle w:val="13"/>
            </w:pPr>
            <w:r>
              <w:t>72.30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72.30</w:t>
            </w:r>
          </w:p>
        </w:tc>
        <w:tc>
          <w:tcPr>
            <w:tcW w:w="3402" w:type="dxa"/>
            <w:vAlign w:val="center"/>
          </w:tcPr>
          <w:p>
            <w:pPr>
              <w:pStyle w:val="12"/>
            </w:pPr>
            <w:r>
              <w:t>支出总计</w:t>
            </w:r>
          </w:p>
        </w:tc>
        <w:tc>
          <w:tcPr>
            <w:tcW w:w="1474" w:type="dxa"/>
            <w:vAlign w:val="center"/>
          </w:tcPr>
          <w:p>
            <w:pPr>
              <w:pStyle w:val="13"/>
            </w:pPr>
            <w:r>
              <w:t>72.30</w:t>
            </w:r>
          </w:p>
        </w:tc>
        <w:tc>
          <w:tcPr>
            <w:tcW w:w="1474" w:type="dxa"/>
            <w:vAlign w:val="center"/>
          </w:tcPr>
          <w:p>
            <w:pPr>
              <w:pStyle w:val="13"/>
            </w:pPr>
            <w:r>
              <w:t>72.30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72.30</w:t>
            </w:r>
          </w:p>
        </w:tc>
        <w:tc>
          <w:tcPr>
            <w:tcW w:w="2551" w:type="dxa"/>
            <w:vAlign w:val="center"/>
          </w:tcPr>
          <w:p>
            <w:pPr>
              <w:pStyle w:val="13"/>
            </w:pPr>
            <w:r>
              <w:t>56.54</w:t>
            </w:r>
          </w:p>
        </w:tc>
        <w:tc>
          <w:tcPr>
            <w:tcW w:w="2551" w:type="dxa"/>
            <w:vAlign w:val="center"/>
          </w:tcPr>
          <w:p>
            <w:pPr>
              <w:pStyle w:val="13"/>
            </w:pPr>
            <w:r>
              <w:t>15.77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60.22</w:t>
            </w:r>
          </w:p>
        </w:tc>
        <w:tc>
          <w:tcPr>
            <w:tcW w:w="2551" w:type="dxa"/>
            <w:vAlign w:val="center"/>
          </w:tcPr>
          <w:p>
            <w:pPr>
              <w:pStyle w:val="9"/>
            </w:pPr>
            <w:r>
              <w:t>44.45</w:t>
            </w:r>
          </w:p>
        </w:tc>
        <w:tc>
          <w:tcPr>
            <w:tcW w:w="2551" w:type="dxa"/>
            <w:vAlign w:val="center"/>
          </w:tcPr>
          <w:p>
            <w:pPr>
              <w:pStyle w:val="9"/>
            </w:pPr>
            <w:r>
              <w:t>15.77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20129</w:t>
            </w:r>
          </w:p>
        </w:tc>
        <w:tc>
          <w:tcPr>
            <w:tcW w:w="4535" w:type="dxa"/>
            <w:vAlign w:val="center"/>
          </w:tcPr>
          <w:p>
            <w:pPr>
              <w:pStyle w:val="10"/>
            </w:pPr>
            <w:r>
              <w:t>群众团体事务</w:t>
            </w:r>
          </w:p>
        </w:tc>
        <w:tc>
          <w:tcPr>
            <w:tcW w:w="2551" w:type="dxa"/>
            <w:vAlign w:val="center"/>
          </w:tcPr>
          <w:p>
            <w:pPr>
              <w:pStyle w:val="9"/>
            </w:pPr>
            <w:r>
              <w:t>60.22</w:t>
            </w:r>
          </w:p>
        </w:tc>
        <w:tc>
          <w:tcPr>
            <w:tcW w:w="2551" w:type="dxa"/>
            <w:vAlign w:val="center"/>
          </w:tcPr>
          <w:p>
            <w:pPr>
              <w:pStyle w:val="9"/>
            </w:pPr>
            <w:r>
              <w:t>44.45</w:t>
            </w:r>
          </w:p>
        </w:tc>
        <w:tc>
          <w:tcPr>
            <w:tcW w:w="2551" w:type="dxa"/>
            <w:vAlign w:val="center"/>
          </w:tcPr>
          <w:p>
            <w:pPr>
              <w:pStyle w:val="9"/>
            </w:pPr>
            <w:r>
              <w:t>15.77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2012901</w:t>
            </w:r>
          </w:p>
        </w:tc>
        <w:tc>
          <w:tcPr>
            <w:tcW w:w="4535" w:type="dxa"/>
            <w:vAlign w:val="center"/>
          </w:tcPr>
          <w:p>
            <w:pPr>
              <w:pStyle w:val="10"/>
            </w:pPr>
            <w:r>
              <w:t>行政运行</w:t>
            </w:r>
          </w:p>
        </w:tc>
        <w:tc>
          <w:tcPr>
            <w:tcW w:w="2551" w:type="dxa"/>
            <w:vAlign w:val="center"/>
          </w:tcPr>
          <w:p>
            <w:pPr>
              <w:pStyle w:val="9"/>
            </w:pPr>
            <w:r>
              <w:t>60.22</w:t>
            </w:r>
          </w:p>
        </w:tc>
        <w:tc>
          <w:tcPr>
            <w:tcW w:w="2551" w:type="dxa"/>
            <w:vAlign w:val="center"/>
          </w:tcPr>
          <w:p>
            <w:pPr>
              <w:pStyle w:val="9"/>
            </w:pPr>
            <w:r>
              <w:t>44.45</w:t>
            </w:r>
          </w:p>
        </w:tc>
        <w:tc>
          <w:tcPr>
            <w:tcW w:w="2551" w:type="dxa"/>
            <w:vAlign w:val="center"/>
          </w:tcPr>
          <w:p>
            <w:pPr>
              <w:pStyle w:val="9"/>
            </w:pPr>
            <w:r>
              <w:t>15.77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2.45</w:t>
            </w:r>
          </w:p>
        </w:tc>
        <w:tc>
          <w:tcPr>
            <w:tcW w:w="2551" w:type="dxa"/>
            <w:vAlign w:val="center"/>
          </w:tcPr>
          <w:p>
            <w:pPr>
              <w:pStyle w:val="9"/>
            </w:pPr>
            <w:r>
              <w:t>2.45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2.45</w:t>
            </w:r>
          </w:p>
        </w:tc>
        <w:tc>
          <w:tcPr>
            <w:tcW w:w="2551" w:type="dxa"/>
            <w:vAlign w:val="center"/>
          </w:tcPr>
          <w:p>
            <w:pPr>
              <w:pStyle w:val="9"/>
            </w:pPr>
            <w:r>
              <w:t>2.45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2.45</w:t>
            </w:r>
          </w:p>
        </w:tc>
        <w:tc>
          <w:tcPr>
            <w:tcW w:w="2551" w:type="dxa"/>
            <w:vAlign w:val="center"/>
          </w:tcPr>
          <w:p>
            <w:pPr>
              <w:pStyle w:val="9"/>
            </w:pPr>
            <w:r>
              <w:t>2.45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4.34</w:t>
            </w:r>
          </w:p>
        </w:tc>
        <w:tc>
          <w:tcPr>
            <w:tcW w:w="2551" w:type="dxa"/>
            <w:vAlign w:val="center"/>
          </w:tcPr>
          <w:p>
            <w:pPr>
              <w:pStyle w:val="9"/>
            </w:pPr>
            <w:r>
              <w:t>4.34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4.34</w:t>
            </w:r>
          </w:p>
        </w:tc>
        <w:tc>
          <w:tcPr>
            <w:tcW w:w="2551" w:type="dxa"/>
            <w:vAlign w:val="center"/>
          </w:tcPr>
          <w:p>
            <w:pPr>
              <w:pStyle w:val="9"/>
            </w:pPr>
            <w:r>
              <w:t>4.34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4.34</w:t>
            </w:r>
          </w:p>
        </w:tc>
        <w:tc>
          <w:tcPr>
            <w:tcW w:w="2551" w:type="dxa"/>
            <w:vAlign w:val="center"/>
          </w:tcPr>
          <w:p>
            <w:pPr>
              <w:pStyle w:val="9"/>
            </w:pPr>
            <w:r>
              <w:t>4.34</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56.54</w:t>
            </w:r>
          </w:p>
        </w:tc>
        <w:tc>
          <w:tcPr>
            <w:tcW w:w="2551" w:type="dxa"/>
            <w:vAlign w:val="center"/>
          </w:tcPr>
          <w:p>
            <w:pPr>
              <w:pStyle w:val="13"/>
            </w:pPr>
            <w:r>
              <w:t>52.03</w:t>
            </w:r>
          </w:p>
        </w:tc>
        <w:tc>
          <w:tcPr>
            <w:tcW w:w="2551" w:type="dxa"/>
            <w:vAlign w:val="center"/>
          </w:tcPr>
          <w:p>
            <w:pPr>
              <w:pStyle w:val="13"/>
            </w:pPr>
            <w: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49.85</w:t>
            </w:r>
          </w:p>
        </w:tc>
        <w:tc>
          <w:tcPr>
            <w:tcW w:w="2551" w:type="dxa"/>
            <w:vAlign w:val="center"/>
          </w:tcPr>
          <w:p>
            <w:pPr>
              <w:pStyle w:val="9"/>
            </w:pPr>
            <w:r>
              <w:t>49.85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20.48</w:t>
            </w:r>
          </w:p>
        </w:tc>
        <w:tc>
          <w:tcPr>
            <w:tcW w:w="2551" w:type="dxa"/>
            <w:vAlign w:val="center"/>
          </w:tcPr>
          <w:p>
            <w:pPr>
              <w:pStyle w:val="9"/>
            </w:pPr>
            <w:r>
              <w:t>20.48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8.21</w:t>
            </w:r>
          </w:p>
        </w:tc>
        <w:tc>
          <w:tcPr>
            <w:tcW w:w="2551" w:type="dxa"/>
            <w:vAlign w:val="center"/>
          </w:tcPr>
          <w:p>
            <w:pPr>
              <w:pStyle w:val="9"/>
            </w:pPr>
            <w:r>
              <w:t>8.21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8.49</w:t>
            </w:r>
          </w:p>
        </w:tc>
        <w:tc>
          <w:tcPr>
            <w:tcW w:w="2551" w:type="dxa"/>
            <w:vAlign w:val="center"/>
          </w:tcPr>
          <w:p>
            <w:pPr>
              <w:pStyle w:val="9"/>
            </w:pPr>
            <w:r>
              <w:t>8.49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2.45</w:t>
            </w:r>
          </w:p>
        </w:tc>
        <w:tc>
          <w:tcPr>
            <w:tcW w:w="2551" w:type="dxa"/>
            <w:vAlign w:val="center"/>
          </w:tcPr>
          <w:p>
            <w:pPr>
              <w:pStyle w:val="9"/>
            </w:pPr>
            <w:r>
              <w:t>2.45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0.59</w:t>
            </w:r>
          </w:p>
        </w:tc>
        <w:tc>
          <w:tcPr>
            <w:tcW w:w="2551" w:type="dxa"/>
            <w:vAlign w:val="center"/>
          </w:tcPr>
          <w:p>
            <w:pPr>
              <w:pStyle w:val="9"/>
            </w:pPr>
            <w:r>
              <w:t>0.59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4.34</w:t>
            </w:r>
          </w:p>
        </w:tc>
        <w:tc>
          <w:tcPr>
            <w:tcW w:w="2551" w:type="dxa"/>
            <w:vAlign w:val="center"/>
          </w:tcPr>
          <w:p>
            <w:pPr>
              <w:pStyle w:val="9"/>
            </w:pPr>
            <w:r>
              <w:t>4.34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4.51</w:t>
            </w:r>
          </w:p>
        </w:tc>
        <w:tc>
          <w:tcPr>
            <w:tcW w:w="2551" w:type="dxa"/>
            <w:vAlign w:val="center"/>
          </w:tcPr>
          <w:p>
            <w:pPr>
              <w:pStyle w:val="9"/>
            </w:pPr>
          </w:p>
        </w:tc>
        <w:tc>
          <w:tcPr>
            <w:tcW w:w="2551" w:type="dxa"/>
            <w:vAlign w:val="center"/>
          </w:tcPr>
          <w:p>
            <w:pPr>
              <w:pStyle w:val="9"/>
            </w:pPr>
            <w: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1.47</w:t>
            </w:r>
          </w:p>
        </w:tc>
        <w:tc>
          <w:tcPr>
            <w:tcW w:w="2551" w:type="dxa"/>
            <w:vAlign w:val="center"/>
          </w:tcPr>
          <w:p>
            <w:pPr>
              <w:pStyle w:val="9"/>
            </w:pPr>
          </w:p>
        </w:tc>
        <w:tc>
          <w:tcPr>
            <w:tcW w:w="2551" w:type="dxa"/>
            <w:vAlign w:val="center"/>
          </w:tcPr>
          <w:p>
            <w:pPr>
              <w:pStyle w:val="9"/>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0.20</w:t>
            </w:r>
          </w:p>
        </w:tc>
        <w:tc>
          <w:tcPr>
            <w:tcW w:w="2551" w:type="dxa"/>
            <w:vAlign w:val="center"/>
          </w:tcPr>
          <w:p>
            <w:pPr>
              <w:pStyle w:val="9"/>
            </w:pPr>
          </w:p>
        </w:tc>
        <w:tc>
          <w:tcPr>
            <w:tcW w:w="2551" w:type="dxa"/>
            <w:vAlign w:val="center"/>
          </w:tcPr>
          <w:p>
            <w:pPr>
              <w:pStyle w:val="9"/>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0.10</w:t>
            </w:r>
          </w:p>
        </w:tc>
        <w:tc>
          <w:tcPr>
            <w:tcW w:w="2551" w:type="dxa"/>
            <w:vAlign w:val="center"/>
          </w:tcPr>
          <w:p>
            <w:pPr>
              <w:pStyle w:val="9"/>
            </w:pPr>
          </w:p>
        </w:tc>
        <w:tc>
          <w:tcPr>
            <w:tcW w:w="2551" w:type="dxa"/>
            <w:vAlign w:val="center"/>
          </w:tcPr>
          <w:p>
            <w:pPr>
              <w:pStyle w:val="9"/>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0.20</w:t>
            </w:r>
          </w:p>
        </w:tc>
        <w:tc>
          <w:tcPr>
            <w:tcW w:w="2551" w:type="dxa"/>
            <w:vAlign w:val="center"/>
          </w:tcPr>
          <w:p>
            <w:pPr>
              <w:pStyle w:val="9"/>
            </w:pPr>
          </w:p>
        </w:tc>
        <w:tc>
          <w:tcPr>
            <w:tcW w:w="2551" w:type="dxa"/>
            <w:vAlign w:val="center"/>
          </w:tcPr>
          <w:p>
            <w:pPr>
              <w:pStyle w:val="9"/>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2.46</w:t>
            </w:r>
          </w:p>
        </w:tc>
        <w:tc>
          <w:tcPr>
            <w:tcW w:w="2551" w:type="dxa"/>
            <w:vAlign w:val="center"/>
          </w:tcPr>
          <w:p>
            <w:pPr>
              <w:pStyle w:val="9"/>
            </w:pPr>
          </w:p>
        </w:tc>
        <w:tc>
          <w:tcPr>
            <w:tcW w:w="2551" w:type="dxa"/>
            <w:vAlign w:val="center"/>
          </w:tcPr>
          <w:p>
            <w:pPr>
              <w:pStyle w:val="9"/>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0.08</w:t>
            </w:r>
          </w:p>
        </w:tc>
        <w:tc>
          <w:tcPr>
            <w:tcW w:w="2551" w:type="dxa"/>
            <w:vAlign w:val="center"/>
          </w:tcPr>
          <w:p>
            <w:pPr>
              <w:pStyle w:val="9"/>
            </w:pPr>
          </w:p>
        </w:tc>
        <w:tc>
          <w:tcPr>
            <w:tcW w:w="2551" w:type="dxa"/>
            <w:vAlign w:val="center"/>
          </w:tcPr>
          <w:p>
            <w:pPr>
              <w:pStyle w:val="9"/>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2.18</w:t>
            </w:r>
          </w:p>
        </w:tc>
        <w:tc>
          <w:tcPr>
            <w:tcW w:w="2551" w:type="dxa"/>
            <w:vAlign w:val="center"/>
          </w:tcPr>
          <w:p>
            <w:pPr>
              <w:pStyle w:val="9"/>
            </w:pPr>
            <w:r>
              <w:t>2.18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2.18</w:t>
            </w:r>
          </w:p>
        </w:tc>
        <w:tc>
          <w:tcPr>
            <w:tcW w:w="2551" w:type="dxa"/>
            <w:vAlign w:val="center"/>
          </w:tcPr>
          <w:p>
            <w:pPr>
              <w:pStyle w:val="9"/>
            </w:pPr>
            <w:r>
              <w:t>2.18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隆尧县工业经济联合会秘书处2024年部门预算信息公开情况说明</w:t>
      </w:r>
    </w:p>
    <w:p>
      <w:pPr>
        <w:jc w:val="center"/>
      </w:pPr>
      <w:r>
        <w:rPr>
          <w:rFonts w:ascii="方正小标宋_GBK" w:hAnsi="方正小标宋_GBK" w:eastAsia="方正小标宋_GBK" w:cs="方正小标宋_GBK"/>
          <w:color w:val="000000"/>
          <w:sz w:val="44"/>
        </w:rPr>
        <w:t>隆尧县工业经济联合会秘书处2024年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按照《中华人民共和国预算法》、《地方预决算公开操作规程》和《关于进一步推进预算公开工作的实施意见》规定，现将隆尧县工业经济联合会秘书处2024年</w:t>
      </w:r>
      <w:r>
        <w:rPr>
          <w:rFonts w:hint="eastAsia" w:eastAsia="方正仿宋_GBK"/>
          <w:color w:val="000000"/>
          <w:sz w:val="28"/>
          <w:lang w:eastAsia="zh-CN"/>
        </w:rPr>
        <w:t>单位</w:t>
      </w:r>
      <w:r>
        <w:rPr>
          <w:rFonts w:eastAsia="方正仿宋_GBK"/>
          <w:color w:val="000000"/>
          <w:sz w:val="28"/>
        </w:rPr>
        <w:t>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6"/>
      </w:pPr>
      <w:r>
        <w:t>(1)贯彻执行党和国家的路线、方针和政策，加强和完善对会员单位的思想政治工作，围绕</w:t>
      </w:r>
      <w:r>
        <w:rPr>
          <w:rFonts w:hint="eastAsia"/>
          <w:lang w:eastAsia="zh-CN"/>
        </w:rPr>
        <w:t>县委、县政府</w:t>
      </w:r>
      <w:r>
        <w:t>的中心工作开展各项活动，保证协会组织的社会主义方向。</w:t>
      </w:r>
    </w:p>
    <w:p>
      <w:pPr>
        <w:pStyle w:val="26"/>
      </w:pPr>
      <w:r>
        <w:t>(2)对全县工业、基建、交通、邮电等行业和企业发展战略、体制创新、技术创新和机构调整等重大问题进行调查研究，为县政府及有关部门决策提供建议，为行业、企业经济发展提供咨询、信息和调研成果等方面的服务。</w:t>
      </w:r>
    </w:p>
    <w:p>
      <w:pPr>
        <w:pStyle w:val="26"/>
      </w:pPr>
      <w:r>
        <w:t>(3)研究行业协会建设和加强自律性行业管理等问题，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pPr>
        <w:pStyle w:val="26"/>
      </w:pPr>
      <w:r>
        <w:t>(4)反映会员要求，协调会员关系，维护会员的合法权益。</w:t>
      </w:r>
    </w:p>
    <w:p>
      <w:pPr>
        <w:pStyle w:val="26"/>
      </w:pPr>
      <w:r>
        <w:t>(5)开展经济理论研究和学术交流活动，编辑出版经济类刊物，培训经济管理人才。</w:t>
      </w:r>
    </w:p>
    <w:p>
      <w:pPr>
        <w:pStyle w:val="26"/>
      </w:pPr>
      <w:r>
        <w:t>(6)发展与境内外社会经济团体的联系，促进地区、行业、企业间开展多种形式经济协作与交流，为企业加强对外经济技术交流服务。</w:t>
      </w:r>
    </w:p>
    <w:p>
      <w:pPr>
        <w:pStyle w:val="26"/>
      </w:pPr>
      <w:r>
        <w:t>(7)参与全县工建交邮经济领域的重大活动。</w:t>
      </w:r>
    </w:p>
    <w:p>
      <w:pPr>
        <w:pStyle w:val="26"/>
      </w:pPr>
      <w:r>
        <w:t>(8)承办</w:t>
      </w:r>
      <w:r>
        <w:rPr>
          <w:rFonts w:hint="eastAsia"/>
          <w:lang w:eastAsia="zh-CN"/>
        </w:rPr>
        <w:t>县委、县政府</w:t>
      </w:r>
      <w:r>
        <w:t>交办的其他事项。</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隆尧县工业经济联合会秘书处本级</w:t>
            </w:r>
          </w:p>
        </w:tc>
        <w:tc>
          <w:tcPr>
            <w:tcW w:w="1843" w:type="dxa"/>
            <w:vAlign w:val="center"/>
          </w:tcPr>
          <w:p>
            <w:pPr>
              <w:pStyle w:val="11"/>
            </w:pPr>
            <w:r>
              <w:rPr>
                <w:rFonts w:hint="eastAsia"/>
                <w:lang w:eastAsia="zh-CN"/>
              </w:rPr>
              <w:t>参公</w:t>
            </w:r>
            <w:r>
              <w:t>事业</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16"/>
      </w:pPr>
      <w:r>
        <w:t>按照预算管理有关规定，目前我县</w:t>
      </w:r>
      <w:r>
        <w:rPr>
          <w:rFonts w:hint="eastAsia"/>
          <w:lang w:eastAsia="zh-CN"/>
        </w:rPr>
        <w:t>单位</w:t>
      </w:r>
      <w:r>
        <w:t>预算的编制实行综合预算管理，即全部收入和支出都反映在预算中。</w:t>
      </w:r>
    </w:p>
    <w:p>
      <w:pPr>
        <w:pStyle w:val="16"/>
      </w:pPr>
      <w:r>
        <w:t>1、收入说明</w:t>
      </w:r>
    </w:p>
    <w:p>
      <w:pPr>
        <w:pStyle w:val="16"/>
      </w:pPr>
      <w:r>
        <w:t>反映本</w:t>
      </w:r>
      <w:r>
        <w:rPr>
          <w:rFonts w:hint="eastAsia"/>
          <w:lang w:eastAsia="zh-CN"/>
        </w:rPr>
        <w:t>单位</w:t>
      </w:r>
      <w:r>
        <w:t>当年全部收入。2024年预算收入72.30万元，其中：一般公共预算收入72.30万元，基金预算收入0万元，国有资本经营预算收入0万元，财政专户核拨收入0万元，单位资金收入0万元，上年结转结余0万元。</w:t>
      </w:r>
    </w:p>
    <w:p>
      <w:pPr>
        <w:pStyle w:val="16"/>
      </w:pPr>
      <w:r>
        <w:t>2、支出说明</w:t>
      </w:r>
    </w:p>
    <w:p>
      <w:pPr>
        <w:pStyle w:val="16"/>
      </w:pPr>
      <w:r>
        <w:t>收支预算总表支出栏、基本支出表、项目支出表按经济分类和支出功能分类科目编制，反映隆尧县工业经济联合会秘书处年度</w:t>
      </w:r>
      <w:r>
        <w:rPr>
          <w:rFonts w:hint="eastAsia"/>
          <w:lang w:eastAsia="zh-CN"/>
        </w:rPr>
        <w:t>单位</w:t>
      </w:r>
      <w:r>
        <w:t>预算中支出预算的总体情况。2024年</w:t>
      </w:r>
      <w:r>
        <w:rPr>
          <w:rFonts w:hint="eastAsia"/>
          <w:lang w:eastAsia="zh-CN"/>
        </w:rPr>
        <w:t>单位</w:t>
      </w:r>
      <w:r>
        <w:t>支出预算为72.30万元，其中基本支出56.54万元，包括人员经费52.03万元和日常公用经费4.51万元；项目支出15.77万元，主要是工经联事务工作经费。</w:t>
      </w:r>
    </w:p>
    <w:p>
      <w:pPr>
        <w:pStyle w:val="16"/>
      </w:pPr>
      <w:r>
        <w:t>3、比上年增减情况</w:t>
      </w:r>
    </w:p>
    <w:p>
      <w:pPr>
        <w:pStyle w:val="16"/>
      </w:pPr>
      <w:r>
        <w:t>2024年</w:t>
      </w:r>
      <w:r>
        <w:rPr>
          <w:rFonts w:hint="eastAsia"/>
          <w:lang w:eastAsia="zh-CN"/>
        </w:rPr>
        <w:t>单位</w:t>
      </w:r>
      <w:r>
        <w:t>预算收支安排72.30万元，较2023年减少5.48万元，其中：基本支出减少11.47万元，主要为减少人员经费和日常公用经费支出；项目支出增加6万元，主要为工经联事务工作经费增加。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keepNext w:val="0"/>
        <w:keepLines w:val="0"/>
        <w:pageBreakBefore w:val="0"/>
        <w:widowControl w:val="0"/>
        <w:kinsoku/>
        <w:wordWrap/>
        <w:overflowPunct/>
        <w:topLinePunct w:val="0"/>
        <w:autoSpaceDE/>
        <w:autoSpaceDN/>
        <w:bidi w:val="0"/>
        <w:adjustRightInd/>
        <w:snapToGrid/>
        <w:ind w:firstLine="561"/>
        <w:textAlignment w:val="auto"/>
      </w:pPr>
      <w:r>
        <w:t>2024年，我</w:t>
      </w:r>
      <w:r>
        <w:rPr>
          <w:rFonts w:hint="eastAsia"/>
          <w:lang w:eastAsia="zh-CN"/>
        </w:rPr>
        <w:t>单位</w:t>
      </w:r>
      <w:r>
        <w:t>机关运行经费共计安排4.51万元，主要用于保证机关正常运转的办公费、工会经费、福利费、其他交通费用等日常运行支出。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2024年，我</w:t>
      </w:r>
      <w:r>
        <w:rPr>
          <w:rFonts w:hint="eastAsia"/>
          <w:lang w:eastAsia="zh-CN"/>
        </w:rPr>
        <w:t>单位</w:t>
      </w:r>
      <w:r>
        <w:t>财政拨款“三公”经费预算安排0万元，其中：会议费0万元；因公出国（境）费0万元；公务用车购置及运维费0万元（其中：公务用车购置费0万元，公务用车运行维护费0万元)；公务接待费0万元。“三公”经费与上年相比无增减变化。</w:t>
      </w:r>
    </w:p>
    <w:p>
      <w:pPr>
        <w:spacing w:before="10" w:after="10" w:line="360" w:lineRule="auto"/>
        <w:ind w:firstLine="640"/>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line="500" w:lineRule="exact"/>
        <w:ind w:firstLine="560"/>
      </w:pPr>
      <w:r>
        <w:rPr>
          <w:rFonts w:eastAsia="方正仿宋_GBK"/>
          <w:color w:val="000000"/>
          <w:sz w:val="28"/>
        </w:rPr>
        <w:t>（一）总体绩效目标</w:t>
      </w:r>
    </w:p>
    <w:p>
      <w:pPr>
        <w:pStyle w:val="19"/>
      </w:pPr>
      <w:r>
        <w:t>在</w:t>
      </w:r>
      <w:r>
        <w:rPr>
          <w:rFonts w:hint="eastAsia"/>
          <w:lang w:eastAsia="zh-CN"/>
        </w:rPr>
        <w:t>县委、县政府</w:t>
      </w:r>
      <w:r>
        <w:t>的正确领导下，高举习近平新时代中国特色社会主义思想伟大旗帜，以服务隆尧社会经济发展为主线，坚持服务政府当好助手、服务企业当好帮手、服务协会当好推手、服务社会当好抓手的工作宗旨，深入企业走访调研，着力破解企业发展中的重点难点问题，全力发挥工经联的参谋助手和桥梁纽带作用，以良好的精神状态扎实开展工作，不断推动工经联工作迈上新台阶，为隆尧经济社会高质量发展贡献力量。</w:t>
      </w:r>
    </w:p>
    <w:p>
      <w:pPr>
        <w:spacing w:line="500" w:lineRule="exact"/>
        <w:ind w:firstLine="560"/>
      </w:pPr>
      <w:r>
        <w:rPr>
          <w:rFonts w:eastAsia="方正仿宋_GBK"/>
          <w:color w:val="000000"/>
          <w:sz w:val="28"/>
        </w:rPr>
        <w:t>（二）分项绩效目标</w:t>
      </w:r>
    </w:p>
    <w:p>
      <w:pPr>
        <w:pStyle w:val="20"/>
      </w:pPr>
      <w:r>
        <w:t>1、加强政治理论学习，提高思想政治素质。</w:t>
      </w:r>
    </w:p>
    <w:p>
      <w:pPr>
        <w:pStyle w:val="20"/>
      </w:pPr>
      <w:r>
        <w:t>2、深入企业进行调研，了解企业发展中的困难和问题，帮助企业建言献策，协调解决问题。</w:t>
      </w:r>
    </w:p>
    <w:p>
      <w:pPr>
        <w:pStyle w:val="20"/>
      </w:pPr>
      <w:r>
        <w:t>3、加强对县域内企业和行业协会开展各类培训工作。</w:t>
      </w:r>
    </w:p>
    <w:p>
      <w:pPr>
        <w:pStyle w:val="20"/>
      </w:pPr>
      <w:r>
        <w:t>4、承办县委、政府交办的其他事项。</w:t>
      </w:r>
    </w:p>
    <w:p>
      <w:pPr>
        <w:spacing w:line="500" w:lineRule="exact"/>
        <w:ind w:firstLine="560"/>
      </w:pPr>
      <w:r>
        <w:rPr>
          <w:rFonts w:eastAsia="方正仿宋_GBK"/>
          <w:color w:val="000000"/>
          <w:sz w:val="28"/>
        </w:rPr>
        <w:t>（三）工作保障措施</w:t>
      </w:r>
    </w:p>
    <w:p>
      <w:pPr>
        <w:pStyle w:val="21"/>
      </w:pPr>
      <w:r>
        <w:t>1、加强政治理论学习，完善机关规章制度。继续紧跟形势发展，增强政治敏感性和责任意识，集中深入地学习党的二十届历次全会精神和习近平新时代中国特色社会主义思想，召开专门学习研讨会，撰写学习心得体会。</w:t>
      </w:r>
    </w:p>
    <w:p>
      <w:pPr>
        <w:pStyle w:val="21"/>
      </w:pPr>
      <w:r>
        <w:t>2、深入企业开展调研，助力民营经济发展。发展与境内外社会经济团体的联系，促进地区、行业、企业间开展多种形式经济协作与交流。</w:t>
      </w:r>
    </w:p>
    <w:p>
      <w:pPr>
        <w:pStyle w:val="21"/>
      </w:pPr>
      <w:r>
        <w:t>3、积极参加全市工经联系统各项重要活动，主动对接市工经联，联合邢台日报社等主流媒体对我县骨干企业进行采访、对接，完成一系列专栏的策划、采编等工作，积极推介、宣传我县知名企业，提高我县企业的知名度、美誉度。</w:t>
      </w:r>
    </w:p>
    <w:p>
      <w:pPr>
        <w:pStyle w:val="21"/>
      </w:pPr>
      <w:r>
        <w:t>4、加强对县域内企业和行业协会开展各类培训工作。</w:t>
      </w:r>
    </w:p>
    <w:p>
      <w:pPr>
        <w:pStyle w:val="21"/>
      </w:pPr>
      <w:r>
        <w:t>5、认真完成</w:t>
      </w:r>
      <w:r>
        <w:rPr>
          <w:rFonts w:hint="eastAsia"/>
          <w:lang w:eastAsia="zh-CN"/>
        </w:rPr>
        <w:t>县委、县政府</w:t>
      </w:r>
      <w:r>
        <w:t>交办的其他事项。</w:t>
      </w:r>
    </w:p>
    <w:p>
      <w:pPr>
        <w:pStyle w:val="21"/>
      </w:pPr>
    </w:p>
    <w:p>
      <w:pPr>
        <w:keepNext w:val="0"/>
        <w:keepLines w:val="0"/>
        <w:pageBreakBefore w:val="0"/>
        <w:widowControl w:val="0"/>
        <w:kinsoku/>
        <w:wordWrap/>
        <w:overflowPunct/>
        <w:topLinePunct w:val="0"/>
        <w:autoSpaceDE/>
        <w:autoSpaceDN/>
        <w:bidi w:val="0"/>
        <w:adjustRightInd/>
        <w:snapToGrid/>
        <w:spacing w:before="10" w:after="10" w:line="360" w:lineRule="auto"/>
        <w:ind w:firstLine="641"/>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pPr>
        <w:spacing w:before="10" w:after="10" w:line="360" w:lineRule="auto"/>
        <w:ind w:firstLine="640"/>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pPr>
        <w:ind w:firstLine="560"/>
      </w:pPr>
      <w:r>
        <w:rPr>
          <w:rFonts w:ascii="方正仿宋_GBK" w:hAnsi="方正仿宋_GBK" w:eastAsia="方正仿宋_GBK" w:cs="方正仿宋_GBK"/>
          <w:color w:val="000000"/>
          <w:sz w:val="28"/>
        </w:rPr>
        <w:t>1、工经联事务工作经费绩效目标表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13052524P000010103411</w:t>
            </w:r>
          </w:p>
        </w:tc>
        <w:tc>
          <w:tcPr>
            <w:tcW w:w="2835" w:type="dxa"/>
            <w:vAlign w:val="center"/>
          </w:tcPr>
          <w:p>
            <w:pPr>
              <w:pStyle w:val="8"/>
            </w:pPr>
            <w:r>
              <w:t>项目名称</w:t>
            </w:r>
          </w:p>
        </w:tc>
        <w:tc>
          <w:tcPr>
            <w:tcW w:w="6094" w:type="dxa"/>
            <w:gridSpan w:val="3"/>
            <w:vAlign w:val="center"/>
          </w:tcPr>
          <w:p>
            <w:pPr>
              <w:pStyle w:val="10"/>
            </w:pPr>
            <w:r>
              <w:t>工经联事务工作经费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15.77</w:t>
            </w:r>
          </w:p>
        </w:tc>
        <w:tc>
          <w:tcPr>
            <w:tcW w:w="2835" w:type="dxa"/>
            <w:vAlign w:val="center"/>
          </w:tcPr>
          <w:p>
            <w:pPr>
              <w:pStyle w:val="8"/>
            </w:pPr>
            <w:r>
              <w:t>其中：财政    资金</w:t>
            </w:r>
          </w:p>
        </w:tc>
        <w:tc>
          <w:tcPr>
            <w:tcW w:w="2551" w:type="dxa"/>
            <w:vAlign w:val="center"/>
          </w:tcPr>
          <w:p>
            <w:pPr>
              <w:pStyle w:val="10"/>
            </w:pPr>
            <w:r>
              <w:t>15.77</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确保工经联各项工作正常开展，服务企业发展。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r>
              <w:rPr>
                <w:rFonts w:hint="eastAsia"/>
                <w:lang w:eastAsia="zh-CN"/>
              </w:rPr>
              <w:t>万元</w:t>
            </w:r>
            <w:r>
              <w:t>）</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3.94</w:t>
            </w:r>
          </w:p>
        </w:tc>
        <w:tc>
          <w:tcPr>
            <w:tcW w:w="2835" w:type="dxa"/>
            <w:vAlign w:val="center"/>
          </w:tcPr>
          <w:p>
            <w:pPr>
              <w:pStyle w:val="11"/>
            </w:pPr>
            <w:r>
              <w:t>7.88</w:t>
            </w:r>
          </w:p>
        </w:tc>
        <w:tc>
          <w:tcPr>
            <w:tcW w:w="2551" w:type="dxa"/>
            <w:vAlign w:val="center"/>
          </w:tcPr>
          <w:p>
            <w:pPr>
              <w:pStyle w:val="11"/>
            </w:pPr>
            <w:r>
              <w:t>13.14</w:t>
            </w:r>
          </w:p>
        </w:tc>
        <w:tc>
          <w:tcPr>
            <w:tcW w:w="3543" w:type="dxa"/>
            <w:gridSpan w:val="2"/>
            <w:vAlign w:val="center"/>
          </w:tcPr>
          <w:p>
            <w:pPr>
              <w:pStyle w:val="11"/>
            </w:pPr>
            <w:r>
              <w:t>15.77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1.确保工经联各项工作正常开展，服务企业发展。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走访企业数</w:t>
            </w:r>
          </w:p>
        </w:tc>
        <w:tc>
          <w:tcPr>
            <w:tcW w:w="5386" w:type="dxa"/>
            <w:vAlign w:val="center"/>
          </w:tcPr>
          <w:p>
            <w:pPr>
              <w:pStyle w:val="10"/>
            </w:pPr>
            <w:r>
              <w:t>深入企业走访调研次数</w:t>
            </w:r>
          </w:p>
        </w:tc>
        <w:tc>
          <w:tcPr>
            <w:tcW w:w="2268" w:type="dxa"/>
            <w:vAlign w:val="center"/>
          </w:tcPr>
          <w:p>
            <w:pPr>
              <w:pStyle w:val="10"/>
            </w:pPr>
            <w:r>
              <w:t>10次</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各项支付工作完成率</w:t>
            </w:r>
          </w:p>
        </w:tc>
        <w:tc>
          <w:tcPr>
            <w:tcW w:w="5386" w:type="dxa"/>
            <w:vAlign w:val="center"/>
          </w:tcPr>
          <w:p>
            <w:pPr>
              <w:pStyle w:val="10"/>
            </w:pPr>
            <w:r>
              <w:t>各项支付工作完成情况</w:t>
            </w:r>
          </w:p>
        </w:tc>
        <w:tc>
          <w:tcPr>
            <w:tcW w:w="2268" w:type="dxa"/>
            <w:vAlign w:val="center"/>
          </w:tcPr>
          <w:p>
            <w:pPr>
              <w:pStyle w:val="10"/>
            </w:pPr>
            <w:r>
              <w:t>≥95百分比</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5386" w:type="dxa"/>
            <w:vAlign w:val="center"/>
          </w:tcPr>
          <w:p>
            <w:pPr>
              <w:pStyle w:val="10"/>
            </w:pPr>
            <w:r>
              <w:t>按时完成工作数占工作总数的比例</w:t>
            </w:r>
          </w:p>
        </w:tc>
        <w:tc>
          <w:tcPr>
            <w:tcW w:w="2268" w:type="dxa"/>
            <w:vAlign w:val="center"/>
          </w:tcPr>
          <w:p>
            <w:pPr>
              <w:pStyle w:val="10"/>
            </w:pPr>
            <w:r>
              <w:t>≥95百分比</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5386" w:type="dxa"/>
            <w:vAlign w:val="center"/>
          </w:tcPr>
          <w:p>
            <w:pPr>
              <w:pStyle w:val="10"/>
            </w:pPr>
            <w:r>
              <w:t>工经联事务工作经费项目总成本</w:t>
            </w:r>
          </w:p>
        </w:tc>
        <w:tc>
          <w:tcPr>
            <w:tcW w:w="2268" w:type="dxa"/>
            <w:vAlign w:val="center"/>
          </w:tcPr>
          <w:p>
            <w:pPr>
              <w:pStyle w:val="10"/>
            </w:pPr>
            <w:r>
              <w:t>157650元</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服务企业发展</w:t>
            </w:r>
          </w:p>
        </w:tc>
        <w:tc>
          <w:tcPr>
            <w:tcW w:w="5386" w:type="dxa"/>
            <w:vAlign w:val="center"/>
          </w:tcPr>
          <w:p>
            <w:pPr>
              <w:pStyle w:val="10"/>
            </w:pPr>
            <w:r>
              <w:t>召开银企对接会，力争为6家以上企业与银行达成合作</w:t>
            </w:r>
          </w:p>
        </w:tc>
        <w:tc>
          <w:tcPr>
            <w:tcW w:w="2268" w:type="dxa"/>
            <w:vAlign w:val="center"/>
          </w:tcPr>
          <w:p>
            <w:pPr>
              <w:pStyle w:val="10"/>
            </w:pPr>
            <w:r>
              <w:t>6家</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企业满意度</w:t>
            </w:r>
          </w:p>
        </w:tc>
        <w:tc>
          <w:tcPr>
            <w:tcW w:w="5386" w:type="dxa"/>
            <w:vAlign w:val="center"/>
          </w:tcPr>
          <w:p>
            <w:pPr>
              <w:pStyle w:val="10"/>
            </w:pPr>
            <w:r>
              <w:t>满意的企业数占调查企业总数的比例</w:t>
            </w:r>
          </w:p>
        </w:tc>
        <w:tc>
          <w:tcPr>
            <w:tcW w:w="2268" w:type="dxa"/>
            <w:vAlign w:val="center"/>
          </w:tcPr>
          <w:p>
            <w:pPr>
              <w:pStyle w:val="10"/>
            </w:pPr>
            <w:r>
              <w:t>≥90百分比</w:t>
            </w:r>
          </w:p>
        </w:tc>
        <w:tc>
          <w:tcPr>
            <w:tcW w:w="1276" w:type="dxa"/>
            <w:vAlign w:val="center"/>
          </w:tcPr>
          <w:p>
            <w:pPr>
              <w:pStyle w:val="10"/>
            </w:pPr>
            <w:r>
              <w:t>年初工作计划安排</w:t>
            </w:r>
          </w:p>
        </w:tc>
      </w:tr>
    </w:tbl>
    <w:p>
      <w:pPr>
        <w:sectPr>
          <w:type w:val="continuous"/>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2"/>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884"/>
        <w:gridCol w:w="1140"/>
        <w:gridCol w:w="1208"/>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7712"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85" w:type="dxa"/>
            <w:gridSpan w:val="2"/>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政府采购项目来源</w:t>
            </w:r>
          </w:p>
        </w:tc>
        <w:tc>
          <w:tcPr>
            <w:tcW w:w="1140"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采购物品名称</w:t>
            </w:r>
          </w:p>
        </w:tc>
        <w:tc>
          <w:tcPr>
            <w:tcW w:w="1208"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政府采购目录序号</w:t>
            </w:r>
          </w:p>
        </w:tc>
        <w:tc>
          <w:tcPr>
            <w:tcW w:w="709"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计量  单位</w:t>
            </w:r>
          </w:p>
        </w:tc>
        <w:tc>
          <w:tcPr>
            <w:tcW w:w="850"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数量</w:t>
            </w:r>
          </w:p>
        </w:tc>
        <w:tc>
          <w:tcPr>
            <w:tcW w:w="850"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单价</w:t>
            </w:r>
          </w:p>
        </w:tc>
        <w:tc>
          <w:tcPr>
            <w:tcW w:w="6748" w:type="dxa"/>
            <w:gridSpan w:val="7"/>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政府采购金额（当年部门预算安排资金）</w:t>
            </w:r>
          </w:p>
        </w:tc>
        <w:tc>
          <w:tcPr>
            <w:tcW w:w="964"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项目名称</w:t>
            </w:r>
          </w:p>
        </w:tc>
        <w:tc>
          <w:tcPr>
            <w:tcW w:w="88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预算    资金</w:t>
            </w:r>
          </w:p>
        </w:tc>
        <w:tc>
          <w:tcPr>
            <w:tcW w:w="1140"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1208"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709"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850"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850"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合计</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一般公共预算拨款</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基金预算拨款</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国有资本经营预算拨款</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财政专户核拨</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单位    资金</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上年结转结余</w:t>
            </w:r>
          </w:p>
        </w:tc>
        <w:tc>
          <w:tcPr>
            <w:tcW w:w="964"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合  计</w:t>
            </w:r>
          </w:p>
        </w:tc>
        <w:tc>
          <w:tcPr>
            <w:tcW w:w="884" w:type="dxa"/>
            <w:vAlign w:val="center"/>
          </w:tcPr>
          <w:p>
            <w:pPr>
              <w:pStyle w:val="13"/>
            </w:pPr>
          </w:p>
        </w:tc>
        <w:tc>
          <w:tcPr>
            <w:tcW w:w="1140" w:type="dxa"/>
            <w:vAlign w:val="center"/>
          </w:tcPr>
          <w:p>
            <w:pPr>
              <w:pStyle w:val="14"/>
            </w:pPr>
          </w:p>
        </w:tc>
        <w:tc>
          <w:tcPr>
            <w:tcW w:w="1208"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1.10</w:t>
            </w:r>
          </w:p>
        </w:tc>
        <w:tc>
          <w:tcPr>
            <w:tcW w:w="964" w:type="dxa"/>
            <w:vAlign w:val="center"/>
          </w:tcPr>
          <w:p>
            <w:pPr>
              <w:pStyle w:val="13"/>
            </w:pPr>
            <w:r>
              <w:t>1.10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隆尧县工业经济联合会秘书处本级小计</w:t>
            </w:r>
          </w:p>
        </w:tc>
        <w:tc>
          <w:tcPr>
            <w:tcW w:w="884" w:type="dxa"/>
            <w:vAlign w:val="center"/>
          </w:tcPr>
          <w:p>
            <w:pPr>
              <w:pStyle w:val="13"/>
            </w:pPr>
          </w:p>
        </w:tc>
        <w:tc>
          <w:tcPr>
            <w:tcW w:w="1140" w:type="dxa"/>
            <w:vAlign w:val="center"/>
          </w:tcPr>
          <w:p>
            <w:pPr>
              <w:pStyle w:val="14"/>
            </w:pPr>
          </w:p>
        </w:tc>
        <w:tc>
          <w:tcPr>
            <w:tcW w:w="1208"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1.10</w:t>
            </w:r>
          </w:p>
        </w:tc>
        <w:tc>
          <w:tcPr>
            <w:tcW w:w="964" w:type="dxa"/>
            <w:vAlign w:val="center"/>
          </w:tcPr>
          <w:p>
            <w:pPr>
              <w:pStyle w:val="13"/>
            </w:pPr>
            <w:r>
              <w:t>1.10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keepNext w:val="0"/>
              <w:keepLines w:val="0"/>
              <w:pageBreakBefore w:val="0"/>
              <w:widowControl/>
              <w:kinsoku/>
              <w:wordWrap/>
              <w:overflowPunct/>
              <w:topLinePunct w:val="0"/>
              <w:autoSpaceDE/>
              <w:autoSpaceDN/>
              <w:bidi w:val="0"/>
              <w:adjustRightInd/>
              <w:snapToGrid/>
              <w:spacing w:line="400" w:lineRule="exact"/>
              <w:textAlignment w:val="auto"/>
            </w:pPr>
            <w:r>
              <w:t>工经联事务工作经费</w:t>
            </w:r>
          </w:p>
        </w:tc>
        <w:tc>
          <w:tcPr>
            <w:tcW w:w="884" w:type="dxa"/>
            <w:vAlign w:val="center"/>
          </w:tcPr>
          <w:p>
            <w:pPr>
              <w:pStyle w:val="9"/>
            </w:pPr>
            <w:r>
              <w:t>15.77</w:t>
            </w:r>
          </w:p>
        </w:tc>
        <w:tc>
          <w:tcPr>
            <w:tcW w:w="1140" w:type="dxa"/>
            <w:vAlign w:val="center"/>
          </w:tcPr>
          <w:p>
            <w:pPr>
              <w:pStyle w:val="10"/>
            </w:pPr>
            <w:r>
              <w:t>碎纸机</w:t>
            </w:r>
          </w:p>
        </w:tc>
        <w:tc>
          <w:tcPr>
            <w:tcW w:w="1208" w:type="dxa"/>
            <w:vAlign w:val="center"/>
          </w:tcPr>
          <w:p>
            <w:pPr>
              <w:pStyle w:val="10"/>
            </w:pPr>
            <w:r>
              <w:t>A02021301</w:t>
            </w:r>
          </w:p>
        </w:tc>
        <w:tc>
          <w:tcPr>
            <w:tcW w:w="709" w:type="dxa"/>
            <w:vAlign w:val="center"/>
          </w:tcPr>
          <w:p>
            <w:pPr>
              <w:pStyle w:val="11"/>
            </w:pPr>
            <w:r>
              <w:t>台</w:t>
            </w:r>
          </w:p>
        </w:tc>
        <w:tc>
          <w:tcPr>
            <w:tcW w:w="850" w:type="dxa"/>
            <w:vAlign w:val="center"/>
          </w:tcPr>
          <w:p>
            <w:pPr>
              <w:pStyle w:val="9"/>
            </w:pPr>
            <w:r>
              <w:t>2</w:t>
            </w:r>
          </w:p>
        </w:tc>
        <w:tc>
          <w:tcPr>
            <w:tcW w:w="850" w:type="dxa"/>
            <w:vAlign w:val="center"/>
          </w:tcPr>
          <w:p>
            <w:pPr>
              <w:pStyle w:val="9"/>
            </w:pPr>
            <w:r>
              <w:t>0.12</w:t>
            </w:r>
          </w:p>
        </w:tc>
        <w:tc>
          <w:tcPr>
            <w:tcW w:w="964" w:type="dxa"/>
            <w:vAlign w:val="center"/>
          </w:tcPr>
          <w:p>
            <w:pPr>
              <w:pStyle w:val="9"/>
            </w:pPr>
            <w:r>
              <w:t>0.24</w:t>
            </w:r>
          </w:p>
        </w:tc>
        <w:tc>
          <w:tcPr>
            <w:tcW w:w="964" w:type="dxa"/>
            <w:vAlign w:val="center"/>
          </w:tcPr>
          <w:p>
            <w:pPr>
              <w:pStyle w:val="9"/>
            </w:pPr>
            <w:r>
              <w:t>0.24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keepNext w:val="0"/>
              <w:keepLines w:val="0"/>
              <w:pageBreakBefore w:val="0"/>
              <w:widowControl/>
              <w:kinsoku/>
              <w:wordWrap/>
              <w:overflowPunct/>
              <w:topLinePunct w:val="0"/>
              <w:autoSpaceDE/>
              <w:autoSpaceDN/>
              <w:bidi w:val="0"/>
              <w:adjustRightInd/>
              <w:snapToGrid/>
              <w:spacing w:line="400" w:lineRule="exact"/>
              <w:textAlignment w:val="auto"/>
            </w:pPr>
            <w:r>
              <w:t>工经联事务工作经费</w:t>
            </w:r>
          </w:p>
        </w:tc>
        <w:tc>
          <w:tcPr>
            <w:tcW w:w="884" w:type="dxa"/>
            <w:vAlign w:val="center"/>
          </w:tcPr>
          <w:p>
            <w:pPr>
              <w:pStyle w:val="9"/>
            </w:pPr>
            <w:r>
              <w:t>15.77</w:t>
            </w:r>
          </w:p>
        </w:tc>
        <w:tc>
          <w:tcPr>
            <w:tcW w:w="1140" w:type="dxa"/>
            <w:vAlign w:val="center"/>
          </w:tcPr>
          <w:p>
            <w:pPr>
              <w:pStyle w:val="10"/>
              <w:keepNext w:val="0"/>
              <w:keepLines w:val="0"/>
              <w:pageBreakBefore w:val="0"/>
              <w:widowControl/>
              <w:kinsoku/>
              <w:wordWrap/>
              <w:overflowPunct/>
              <w:topLinePunct w:val="0"/>
              <w:autoSpaceDE/>
              <w:autoSpaceDN/>
              <w:bidi w:val="0"/>
              <w:adjustRightInd/>
              <w:snapToGrid/>
              <w:spacing w:line="400" w:lineRule="exact"/>
              <w:textAlignment w:val="auto"/>
            </w:pPr>
            <w:r>
              <w:t>其他沙发类</w:t>
            </w:r>
          </w:p>
        </w:tc>
        <w:tc>
          <w:tcPr>
            <w:tcW w:w="1208" w:type="dxa"/>
            <w:vAlign w:val="center"/>
          </w:tcPr>
          <w:p>
            <w:pPr>
              <w:pStyle w:val="10"/>
            </w:pPr>
            <w:r>
              <w:t>A05010499</w:t>
            </w:r>
          </w:p>
        </w:tc>
        <w:tc>
          <w:tcPr>
            <w:tcW w:w="709" w:type="dxa"/>
            <w:vAlign w:val="center"/>
          </w:tcPr>
          <w:p>
            <w:pPr>
              <w:pStyle w:val="11"/>
            </w:pPr>
            <w:r>
              <w:t>套</w:t>
            </w:r>
          </w:p>
        </w:tc>
        <w:tc>
          <w:tcPr>
            <w:tcW w:w="850" w:type="dxa"/>
            <w:vAlign w:val="center"/>
          </w:tcPr>
          <w:p>
            <w:pPr>
              <w:pStyle w:val="9"/>
            </w:pPr>
            <w:r>
              <w:t>1</w:t>
            </w:r>
          </w:p>
        </w:tc>
        <w:tc>
          <w:tcPr>
            <w:tcW w:w="850" w:type="dxa"/>
            <w:vAlign w:val="center"/>
          </w:tcPr>
          <w:p>
            <w:pPr>
              <w:pStyle w:val="9"/>
            </w:pPr>
            <w:r>
              <w:t>0.86</w:t>
            </w:r>
          </w:p>
        </w:tc>
        <w:tc>
          <w:tcPr>
            <w:tcW w:w="964" w:type="dxa"/>
            <w:vAlign w:val="center"/>
          </w:tcPr>
          <w:p>
            <w:pPr>
              <w:pStyle w:val="9"/>
            </w:pPr>
            <w:r>
              <w:t>0.86</w:t>
            </w:r>
          </w:p>
        </w:tc>
        <w:tc>
          <w:tcPr>
            <w:tcW w:w="964" w:type="dxa"/>
            <w:vAlign w:val="center"/>
          </w:tcPr>
          <w:p>
            <w:pPr>
              <w:pStyle w:val="9"/>
            </w:pPr>
            <w:r>
              <w:t>0.86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0.86</w:t>
            </w:r>
          </w:p>
        </w:tc>
      </w:tr>
    </w:tbl>
    <w:p>
      <w:pPr>
        <w:spacing w:line="500" w:lineRule="exact"/>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line="500" w:lineRule="exact"/>
        <w:ind w:firstLine="420"/>
        <w:rPr>
          <w:rFonts w:ascii="方正书宋_GBK" w:hAnsi="方正书宋_GBK" w:eastAsia="方正书宋_GBK" w:cs="方正书宋_GBK"/>
          <w:color w:val="000000"/>
          <w:sz w:val="21"/>
        </w:rPr>
      </w:pPr>
    </w:p>
    <w:p>
      <w:pPr>
        <w:spacing w:line="500" w:lineRule="exact"/>
        <w:ind w:firstLine="420"/>
        <w:rPr>
          <w:rFonts w:ascii="方正书宋_GBK" w:hAnsi="方正书宋_GBK" w:eastAsia="方正书宋_GBK" w:cs="方正书宋_GBK"/>
          <w:color w:val="000000"/>
          <w:sz w:val="21"/>
        </w:rPr>
      </w:pP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隆尧县工业经济联合会秘书处（含所属单位）上年末固定资产金额为9.95万元（详见下表）。本年度拟购置固定资产总额为1.10万元，已按要求列入政府采购预算，详见政府采购预算表。</w:t>
      </w: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rPr>
                <w:rFonts w:hint="eastAsia"/>
                <w:lang w:eastAsia="zh-CN"/>
              </w:rPr>
              <w:t>766001隆尧县工业经济联合会秘书处本级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42</w:t>
            </w:r>
          </w:p>
        </w:tc>
        <w:tc>
          <w:tcPr>
            <w:tcW w:w="2835" w:type="dxa"/>
            <w:vAlign w:val="center"/>
          </w:tcPr>
          <w:p>
            <w:pPr>
              <w:pStyle w:val="9"/>
            </w:pPr>
            <w:r>
              <w:t>9.95</w:t>
            </w:r>
          </w:p>
        </w:tc>
      </w:tr>
    </w:tbl>
    <w:p>
      <w:pPr>
        <w:ind w:firstLine="640"/>
      </w:pPr>
      <w:r>
        <w:rPr>
          <w:rFonts w:eastAsia="方正仿宋_GBK"/>
          <w:color w:val="000000"/>
          <w:sz w:val="32"/>
        </w:rPr>
        <w:t xml:space="preserve"> </w:t>
      </w:r>
    </w:p>
    <w:p>
      <w:pPr>
        <w:rPr>
          <w:rFonts w:ascii="黑体" w:hAnsi="黑体" w:eastAsia="黑体" w:cs="黑体"/>
          <w:color w:val="000000"/>
          <w:sz w:val="32"/>
        </w:rPr>
      </w:pPr>
      <w:bookmarkStart w:id="18" w:name="_Toc_3_3_0000000019"/>
      <w:r>
        <w:rPr>
          <w:rFonts w:ascii="黑体" w:hAnsi="黑体" w:eastAsia="黑体" w:cs="黑体"/>
          <w:color w:val="000000"/>
          <w:sz w:val="32"/>
        </w:rPr>
        <w:br w:type="page"/>
      </w:r>
    </w:p>
    <w:p>
      <w:pPr>
        <w:spacing w:before="10" w:after="10"/>
        <w:ind w:firstLine="640"/>
        <w:outlineLvl w:val="2"/>
      </w:pPr>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dmOGQ5MDZlMWY1YTYxNmRkNzMyZDc1OGFmODQ5ODIifQ=="/>
  </w:docVars>
  <w:rsids>
    <w:rsidRoot w:val="00973A4F"/>
    <w:rsid w:val="006263F4"/>
    <w:rsid w:val="00973A4F"/>
    <w:rsid w:val="17EE4D55"/>
    <w:rsid w:val="471277F9"/>
    <w:rsid w:val="49A070F0"/>
    <w:rsid w:val="4FEC524E"/>
    <w:rsid w:val="54F71DA5"/>
    <w:rsid w:val="667513F1"/>
    <w:rsid w:val="DF7562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23</Pages>
  <Words>1521</Words>
  <Characters>8671</Characters>
  <Lines>72</Lines>
  <Paragraphs>20</Paragraphs>
  <TotalTime>17</TotalTime>
  <ScaleCrop>false</ScaleCrop>
  <LinksUpToDate>false</LinksUpToDate>
  <CharactersWithSpaces>10172</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2024-02-05T10:32:00Z</dcterms:created>
  <dc:creator>Administrator</dc:creator>
  <cp:lastModifiedBy>work</cp:lastModifiedBy>
  <dcterms:modified xsi:type="dcterms:W3CDTF">2024-04-25T16:23:37Z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DB8EE220903090B909132A660DFAEF8C</vt:lpwstr>
  </property>
</Properties>
</file>