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bookmarkStart w:id="12" w:name="_GoBack"/>
      <w:bookmarkEnd w:id="12"/>
    </w:p>
    <w:p>
      <w:pPr>
        <w:jc w:val="center"/>
        <w:rPr>
          <w:rFonts w:ascii="Times New Roman" w:hAnsi="Times New Roman" w:eastAsia="方正小标宋_GBK" w:cs="Times New Roman"/>
          <w:sz w:val="44"/>
          <w:szCs w:val="44"/>
        </w:rPr>
      </w:pPr>
      <w:r>
        <w:rPr>
          <w:rFonts w:hint="eastAsia" w:ascii="Times New Roman" w:hAnsi="Times New Roman" w:eastAsia="方正小标宋_GBK" w:cs="方正小标宋_GBK"/>
          <w:sz w:val="44"/>
          <w:szCs w:val="44"/>
        </w:rPr>
        <w:t>隆尧县纪委</w:t>
      </w:r>
      <w:r>
        <w:rPr>
          <w:rFonts w:hint="eastAsia" w:ascii="Times New Roman" w:hAnsi="Times New Roman" w:eastAsia="方正小标宋_GBK" w:cs="Times New Roman"/>
          <w:sz w:val="44"/>
          <w:szCs w:val="44"/>
          <w:lang w:eastAsia="zh-CN"/>
        </w:rPr>
        <w:t>2020</w:t>
      </w:r>
      <w:r>
        <w:rPr>
          <w:rFonts w:hint="eastAsia" w:ascii="Times New Roman" w:hAnsi="Times New Roman" w:eastAsia="方正小标宋_GBK" w:cs="方正小标宋_GBK"/>
          <w:sz w:val="44"/>
          <w:szCs w:val="44"/>
        </w:rPr>
        <w:t>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仿宋"/>
          <w:sz w:val="32"/>
          <w:szCs w:val="32"/>
        </w:rPr>
        <w:t>按照《预算法》、《地方预决算公开操作规程》等规定，现将隆尧县纪委</w:t>
      </w:r>
      <w:r>
        <w:rPr>
          <w:rFonts w:hint="eastAsia" w:ascii="仿宋" w:hAnsi="仿宋" w:eastAsia="仿宋" w:cs="仿宋"/>
          <w:sz w:val="32"/>
          <w:szCs w:val="32"/>
          <w:lang w:eastAsia="zh-CN"/>
        </w:rPr>
        <w:t>2020</w:t>
      </w:r>
      <w:r>
        <w:rPr>
          <w:rFonts w:hint="eastAsia" w:ascii="仿宋" w:hAnsi="仿宋"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hint="eastAsia" w:ascii="Times New Roman" w:hAnsi="Times New Roman" w:eastAsia="仿宋" w:cs="仿宋"/>
          <w:sz w:val="32"/>
          <w:szCs w:val="32"/>
          <w:lang w:eastAsia="zh-CN"/>
        </w:rPr>
      </w:pPr>
      <w:r>
        <w:rPr>
          <w:rFonts w:hint="eastAsia" w:ascii="仿宋" w:hAnsi="仿宋" w:eastAsia="仿宋" w:cs="仿宋"/>
          <w:b/>
          <w:bCs/>
          <w:sz w:val="32"/>
          <w:szCs w:val="32"/>
        </w:rPr>
        <w:t>部门职责：</w:t>
      </w:r>
      <w:r>
        <w:rPr>
          <w:rFonts w:hint="eastAsia" w:ascii="Times New Roman" w:hAnsi="Times New Roman" w:eastAsia="仿宋" w:cs="仿宋"/>
          <w:sz w:val="32"/>
          <w:szCs w:val="32"/>
          <w:lang w:eastAsia="zh-CN"/>
        </w:rPr>
        <w:t>根据《隆尧县纪委职能配置、内设机构和人员编制规定》， 隆尧县纪委的主要职责是：</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一）负责全县党的纪律检查工作。贯彻落实党中央和省委、市委、县委关于纪律检查工作的决策部署，维护党的章程和其他党内法规，检查党的路线方针政策和决议的执行情况，协助县委推进全面从严治党、加强党风廉政建设和组织协调反腐败工作。</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二）依照党的章程和其他党内法规履行监督、执纪、问责职责。负责经常对党员进行遵守纪律的教育，作出关于维护党纪的决定；对县委工作机关、县委批准设立的党组（党委），各乡镇党委、纪委等党的组织和县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（三）支持配合巡视、巡察工作。承担巡视、巡察整改日常监督责任，做好巡视、巡察整改督查督办工作，依规依纪依法处置巡视、巡察移交的反映领导干部问题线索。</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四）负责全县监察工作。贯彻落实党中央和省委、市委、县委关于监察工作的决策部署，维护宪法法律，依法对县委管理的行使公权力的公职人员进行监察，调查职务违法和职务犯罪，开展廉政建设和反腐败工作。</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五）依照法律规定履行监督、调查、处置职责。推动开展廉政教育，对县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（六）负责组织协调全面从严治党、党风廉政建设和反腐败宣传教育工作。</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（七）负责综合分析全面从严治党、党风廉政建设和反腐败工作情况，对纪检监察工作重要理论及实践问题进行调查研究；制定或者修改全县纪检监察法规制度，参与起草有关法规和规范性文件。</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（八）负责组织协调全县反腐败追逃追赃和防逃工作，督促有关单位做好相关工作。</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九）根据干部管理权限，负责全县纪检监察系统领导班子建设、干部队伍建设和组织建设的综合规划、政策研究、制度建设和业务指导；会同县委组织部负责县委巡察办的科级干部提名、考察，报县委任免；根据干部管理权限负责县委巡察办科级及以下干部人事工作。会同有关方面做好县纪委监委派出机构、乡镇纪委领导班子建设有关工作；组织和指导全县纪检监察系统干部教育培训工作等。</w:t>
      </w:r>
    </w:p>
    <w:p>
      <w:pPr>
        <w:ind w:firstLine="640"/>
        <w:rPr>
          <w:rFonts w:hint="eastAsia" w:ascii="Times New Roman" w:hAnsi="Times New Roman" w:eastAsia="仿宋" w:cs="仿宋"/>
          <w:sz w:val="32"/>
          <w:szCs w:val="32"/>
        </w:rPr>
      </w:pPr>
      <w:r>
        <w:rPr>
          <w:rFonts w:hint="eastAsia" w:ascii="Times New Roman" w:hAnsi="Times New Roman" w:eastAsia="仿宋" w:cs="仿宋"/>
          <w:sz w:val="32"/>
          <w:szCs w:val="32"/>
        </w:rPr>
        <w:t>（十）完成市纪委、市监委、县委交办的其他任务。</w:t>
      </w:r>
    </w:p>
    <w:p>
      <w:pPr>
        <w:spacing w:line="500" w:lineRule="exact"/>
        <w:ind w:firstLine="560" w:firstLineChars="200"/>
        <w:jc w:val="left"/>
        <w:outlineLvl w:val="9"/>
        <w:rPr>
          <w:rFonts w:hint="eastAsia" w:ascii="Times New Roman" w:hAnsi="方正仿宋_GBK" w:eastAsia="方正仿宋_GBK" w:cs="方正仿宋_GBK"/>
          <w:sz w:val="28"/>
          <w:u w:val="none"/>
        </w:rPr>
      </w:pPr>
    </w:p>
    <w:p>
      <w:pPr>
        <w:spacing w:line="500" w:lineRule="exact"/>
        <w:ind w:firstLine="562" w:firstLineChars="200"/>
        <w:jc w:val="left"/>
        <w:outlineLvl w:val="9"/>
        <w:rPr>
          <w:rFonts w:hint="eastAsia" w:ascii="Times New Roman" w:hAnsi="方正仿宋_GBK" w:eastAsia="方正仿宋_GBK" w:cs="方正仿宋_GBK"/>
          <w:b/>
          <w:sz w:val="28"/>
          <w:u w:val="none"/>
          <w:lang w:eastAsia="zh-CN"/>
        </w:rPr>
        <w:sectPr>
          <w:footerReference r:id="rId3" w:type="default"/>
          <w:pgSz w:w="16838" w:h="11906" w:orient="landscape"/>
          <w:pgMar w:top="1134" w:right="1531" w:bottom="1134" w:left="1474" w:header="851" w:footer="992" w:gutter="0"/>
          <w:pgNumType w:start="1"/>
          <w:cols w:space="720" w:num="1"/>
          <w:docGrid w:type="lines" w:linePitch="312" w:charSpace="0"/>
        </w:sectPr>
      </w:pPr>
    </w:p>
    <w:p>
      <w:pPr>
        <w:ind w:firstLine="640" w:firstLineChars="200"/>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tbl>
      <w:tblPr>
        <w:tblStyle w:val="7"/>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222</w:t>
            </w:r>
            <w:r>
              <w:rPr>
                <w:rFonts w:hint="eastAsia" w:ascii="方正小标宋_GBK" w:eastAsia="方正小标宋_GBK" w:cs="方正小标宋_GBK"/>
                <w:sz w:val="24"/>
                <w:szCs w:val="24"/>
              </w:rPr>
              <w:t>隆尧县纪委</w:t>
            </w:r>
          </w:p>
        </w:tc>
        <w:tc>
          <w:tcPr>
            <w:tcW w:w="42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eastAsia="方正小标宋_GBK" w:cs="Times New Roman"/>
                <w:sz w:val="24"/>
                <w:szCs w:val="24"/>
              </w:rPr>
            </w:pPr>
            <w:r>
              <w:rPr>
                <w:rFonts w:hint="eastAsia" w:ascii="方正小标宋_GBK" w:eastAsia="方正小标宋_GBK" w:cs="方正小标宋_GBK"/>
                <w:sz w:val="24"/>
                <w:szCs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单位名称</w:t>
            </w:r>
          </w:p>
        </w:tc>
        <w:tc>
          <w:tcPr>
            <w:tcW w:w="1134"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单位性质</w:t>
            </w:r>
          </w:p>
        </w:tc>
        <w:tc>
          <w:tcPr>
            <w:tcW w:w="1276"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单位规格</w:t>
            </w:r>
          </w:p>
        </w:tc>
        <w:tc>
          <w:tcPr>
            <w:tcW w:w="2353"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经费保障形式</w:t>
            </w:r>
          </w:p>
        </w:tc>
        <w:tc>
          <w:tcPr>
            <w:tcW w:w="709"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车辆实有数</w:t>
            </w:r>
          </w:p>
        </w:tc>
        <w:tc>
          <w:tcPr>
            <w:tcW w:w="1418"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编制人数</w:t>
            </w:r>
          </w:p>
        </w:tc>
        <w:tc>
          <w:tcPr>
            <w:tcW w:w="1418"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在职人数</w:t>
            </w:r>
          </w:p>
        </w:tc>
        <w:tc>
          <w:tcPr>
            <w:tcW w:w="2127" w:type="dxa"/>
            <w:gridSpan w:val="3"/>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vAlign w:val="center"/>
          </w:tcPr>
          <w:p>
            <w:pPr>
              <w:spacing w:line="300" w:lineRule="exact"/>
              <w:jc w:val="left"/>
              <w:outlineLvl w:val="0"/>
              <w:rPr>
                <w:rFonts w:cs="Times New Roman"/>
              </w:rPr>
            </w:pPr>
          </w:p>
        </w:tc>
        <w:tc>
          <w:tcPr>
            <w:tcW w:w="1134" w:type="dxa"/>
            <w:vMerge w:val="continue"/>
            <w:vAlign w:val="center"/>
          </w:tcPr>
          <w:p>
            <w:pPr>
              <w:spacing w:line="300" w:lineRule="exact"/>
              <w:jc w:val="left"/>
              <w:outlineLvl w:val="0"/>
              <w:rPr>
                <w:rFonts w:cs="Times New Roman"/>
              </w:rPr>
            </w:pPr>
          </w:p>
        </w:tc>
        <w:tc>
          <w:tcPr>
            <w:tcW w:w="1276" w:type="dxa"/>
            <w:vMerge w:val="continue"/>
            <w:vAlign w:val="center"/>
          </w:tcPr>
          <w:p>
            <w:pPr>
              <w:spacing w:line="300" w:lineRule="exact"/>
              <w:jc w:val="left"/>
              <w:outlineLvl w:val="0"/>
              <w:rPr>
                <w:rFonts w:cs="Times New Roman"/>
              </w:rPr>
            </w:pPr>
          </w:p>
        </w:tc>
        <w:tc>
          <w:tcPr>
            <w:tcW w:w="2353" w:type="dxa"/>
            <w:vMerge w:val="continue"/>
            <w:vAlign w:val="center"/>
          </w:tcPr>
          <w:p>
            <w:pPr>
              <w:spacing w:line="300" w:lineRule="exact"/>
              <w:jc w:val="left"/>
              <w:outlineLvl w:val="0"/>
              <w:rPr>
                <w:rFonts w:cs="Times New Roman"/>
              </w:rPr>
            </w:pPr>
          </w:p>
        </w:tc>
        <w:tc>
          <w:tcPr>
            <w:tcW w:w="709" w:type="dxa"/>
            <w:vMerge w:val="continue"/>
            <w:vAlign w:val="center"/>
          </w:tcPr>
          <w:p>
            <w:pPr>
              <w:spacing w:line="300" w:lineRule="exact"/>
              <w:jc w:val="left"/>
              <w:outlineLvl w:val="0"/>
              <w:rPr>
                <w:rFonts w:cs="Times New Roman"/>
              </w:rPr>
            </w:pP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行政</w:t>
            </w: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事业</w:t>
            </w: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行政</w:t>
            </w: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事业</w:t>
            </w: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离休</w:t>
            </w: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退休</w:t>
            </w:r>
          </w:p>
        </w:tc>
        <w:tc>
          <w:tcPr>
            <w:tcW w:w="709"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w:t>
            </w:r>
            <w:r>
              <w:rPr>
                <w:rFonts w:ascii="方正书宋_GBK" w:eastAsia="方正书宋_GBK" w:cs="方正书宋_GBK"/>
                <w:b/>
                <w:bCs/>
              </w:rPr>
              <w:t xml:space="preserve">    </w:t>
            </w:r>
            <w:r>
              <w:rPr>
                <w:rFonts w:hint="eastAsia" w:ascii="方正书宋_GBK" w:eastAsia="方正书宋_GBK" w:cs="方正书宋_GBK"/>
                <w:b/>
                <w:bCs/>
              </w:rPr>
              <w:t>计</w:t>
            </w:r>
          </w:p>
        </w:tc>
        <w:tc>
          <w:tcPr>
            <w:tcW w:w="1134" w:type="dxa"/>
            <w:vAlign w:val="center"/>
          </w:tcPr>
          <w:p>
            <w:pPr>
              <w:spacing w:line="300" w:lineRule="exact"/>
              <w:jc w:val="center"/>
              <w:rPr>
                <w:rFonts w:ascii="方正书宋_GBK" w:eastAsia="方正书宋_GBK" w:cs="Times New Roman"/>
                <w:b/>
                <w:bCs/>
              </w:rPr>
            </w:pPr>
          </w:p>
        </w:tc>
        <w:tc>
          <w:tcPr>
            <w:tcW w:w="1276" w:type="dxa"/>
            <w:vAlign w:val="center"/>
          </w:tcPr>
          <w:p>
            <w:pPr>
              <w:spacing w:line="300" w:lineRule="exact"/>
              <w:jc w:val="center"/>
              <w:rPr>
                <w:rFonts w:ascii="方正书宋_GBK" w:eastAsia="方正书宋_GBK" w:cs="Times New Roman"/>
                <w:b/>
                <w:bCs/>
              </w:rPr>
            </w:pPr>
          </w:p>
        </w:tc>
        <w:tc>
          <w:tcPr>
            <w:tcW w:w="2353" w:type="dxa"/>
            <w:vAlign w:val="center"/>
          </w:tcPr>
          <w:p>
            <w:pPr>
              <w:spacing w:line="300" w:lineRule="exact"/>
              <w:jc w:val="center"/>
              <w:rPr>
                <w:rFonts w:ascii="方正书宋_GBK" w:eastAsia="方正书宋_GBK" w:cs="Times New Roman"/>
                <w:b/>
                <w:bCs/>
              </w:rPr>
            </w:pPr>
          </w:p>
        </w:tc>
        <w:tc>
          <w:tcPr>
            <w:tcW w:w="709" w:type="dxa"/>
            <w:vAlign w:val="center"/>
          </w:tcPr>
          <w:p>
            <w:pPr>
              <w:spacing w:line="300" w:lineRule="exact"/>
              <w:jc w:val="center"/>
              <w:rPr>
                <w:rFonts w:ascii="方正书宋_GBK" w:eastAsia="方正书宋_GBK" w:cs="方正书宋_GBK"/>
                <w:b/>
                <w:bCs/>
              </w:rPr>
            </w:pPr>
            <w:r>
              <w:rPr>
                <w:rFonts w:ascii="方正书宋_GBK" w:eastAsia="方正书宋_GBK" w:cs="方正书宋_GBK"/>
                <w:b/>
                <w:bCs/>
              </w:rPr>
              <w:t>10</w:t>
            </w:r>
          </w:p>
        </w:tc>
        <w:tc>
          <w:tcPr>
            <w:tcW w:w="709" w:type="dxa"/>
            <w:vAlign w:val="center"/>
          </w:tcPr>
          <w:p>
            <w:pPr>
              <w:spacing w:line="300" w:lineRule="exact"/>
              <w:jc w:val="center"/>
              <w:rPr>
                <w:rFonts w:hint="eastAsia" w:ascii="方正书宋_GBK" w:eastAsia="方正书宋_GBK" w:cs="方正书宋_GBK"/>
                <w:b/>
                <w:bCs/>
                <w:lang w:eastAsia="zh-CN"/>
              </w:rPr>
            </w:pPr>
            <w:r>
              <w:rPr>
                <w:rFonts w:hint="eastAsia" w:ascii="方正书宋_GBK" w:eastAsia="方正书宋_GBK" w:cs="方正书宋_GBK"/>
                <w:b/>
                <w:bCs/>
                <w:lang w:val="en-US" w:eastAsia="zh-CN"/>
              </w:rPr>
              <w:t>100</w:t>
            </w:r>
          </w:p>
        </w:tc>
        <w:tc>
          <w:tcPr>
            <w:tcW w:w="709" w:type="dxa"/>
            <w:vAlign w:val="center"/>
          </w:tcPr>
          <w:p>
            <w:pPr>
              <w:spacing w:line="300" w:lineRule="exact"/>
              <w:jc w:val="center"/>
              <w:rPr>
                <w:rFonts w:ascii="方正书宋_GBK" w:eastAsia="方正书宋_GBK" w:cs="方正书宋_GBK"/>
                <w:b/>
                <w:bCs/>
              </w:rPr>
            </w:pPr>
            <w:r>
              <w:rPr>
                <w:rFonts w:ascii="方正书宋_GBK" w:eastAsia="方正书宋_GBK" w:cs="方正书宋_GBK"/>
                <w:b/>
                <w:bCs/>
              </w:rPr>
              <w:t>1</w:t>
            </w:r>
            <w:r>
              <w:rPr>
                <w:rFonts w:hint="eastAsia" w:ascii="方正书宋_GBK" w:eastAsia="方正书宋_GBK" w:cs="方正书宋_GBK"/>
                <w:b/>
                <w:bCs/>
                <w:lang w:val="en-US" w:eastAsia="zh-CN"/>
              </w:rPr>
              <w:t>3</w:t>
            </w:r>
          </w:p>
        </w:tc>
        <w:tc>
          <w:tcPr>
            <w:tcW w:w="709" w:type="dxa"/>
            <w:vAlign w:val="center"/>
          </w:tcPr>
          <w:p>
            <w:pPr>
              <w:spacing w:line="300" w:lineRule="exact"/>
              <w:jc w:val="center"/>
              <w:rPr>
                <w:rFonts w:hint="eastAsia" w:ascii="方正书宋_GBK" w:eastAsia="方正书宋_GBK" w:cs="方正书宋_GBK"/>
                <w:b/>
                <w:bCs/>
                <w:lang w:eastAsia="zh-CN"/>
              </w:rPr>
            </w:pPr>
            <w:r>
              <w:rPr>
                <w:rFonts w:hint="eastAsia" w:ascii="方正书宋_GBK" w:eastAsia="方正书宋_GBK" w:cs="方正书宋_GBK"/>
                <w:b/>
                <w:bCs/>
                <w:lang w:val="en-US" w:eastAsia="zh-CN"/>
              </w:rPr>
              <w:t>79</w:t>
            </w:r>
          </w:p>
        </w:tc>
        <w:tc>
          <w:tcPr>
            <w:tcW w:w="709" w:type="dxa"/>
            <w:vAlign w:val="center"/>
          </w:tcPr>
          <w:p>
            <w:pPr>
              <w:spacing w:line="300" w:lineRule="exact"/>
              <w:jc w:val="center"/>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9</w:t>
            </w:r>
          </w:p>
        </w:tc>
        <w:tc>
          <w:tcPr>
            <w:tcW w:w="709" w:type="dxa"/>
            <w:vAlign w:val="center"/>
          </w:tcPr>
          <w:p>
            <w:pPr>
              <w:spacing w:line="300" w:lineRule="exact"/>
              <w:jc w:val="center"/>
              <w:rPr>
                <w:rFonts w:ascii="方正书宋_GBK" w:eastAsia="方正书宋_GBK" w:cs="方正书宋_GBK"/>
                <w:b/>
                <w:bCs/>
              </w:rPr>
            </w:pPr>
          </w:p>
        </w:tc>
        <w:tc>
          <w:tcPr>
            <w:tcW w:w="709" w:type="dxa"/>
            <w:vAlign w:val="center"/>
          </w:tcPr>
          <w:p>
            <w:pPr>
              <w:spacing w:line="300" w:lineRule="exact"/>
              <w:jc w:val="center"/>
              <w:rPr>
                <w:rFonts w:ascii="方正书宋_GBK" w:eastAsia="方正书宋_GBK" w:cs="方正书宋_GBK"/>
                <w:b/>
                <w:bCs/>
              </w:rPr>
            </w:pPr>
          </w:p>
        </w:tc>
        <w:tc>
          <w:tcPr>
            <w:tcW w:w="709" w:type="dxa"/>
            <w:vAlign w:val="center"/>
          </w:tcPr>
          <w:p>
            <w:pPr>
              <w:spacing w:line="300" w:lineRule="exact"/>
              <w:jc w:val="center"/>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中国共产党隆尧县纪律检查委员会</w:t>
            </w:r>
          </w:p>
        </w:tc>
        <w:tc>
          <w:tcPr>
            <w:tcW w:w="1134"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正科级</w:t>
            </w:r>
          </w:p>
        </w:tc>
        <w:tc>
          <w:tcPr>
            <w:tcW w:w="2353" w:type="dxa"/>
            <w:vAlign w:val="center"/>
          </w:tcPr>
          <w:p>
            <w:pPr>
              <w:spacing w:line="300" w:lineRule="exact"/>
              <w:jc w:val="center"/>
              <w:rPr>
                <w:rFonts w:ascii="方正书宋_GBK" w:eastAsia="方正书宋_GBK" w:cs="Times New Roman"/>
              </w:rPr>
            </w:pPr>
            <w:r>
              <w:rPr>
                <w:rFonts w:hint="eastAsia" w:ascii="方正书宋_GBK" w:eastAsia="方正书宋_GBK" w:cs="方正书宋_GBK"/>
              </w:rPr>
              <w:t>财政性资金基本保证</w:t>
            </w:r>
          </w:p>
        </w:tc>
        <w:tc>
          <w:tcPr>
            <w:tcW w:w="709" w:type="dxa"/>
            <w:vAlign w:val="center"/>
          </w:tcPr>
          <w:p>
            <w:pPr>
              <w:spacing w:line="300" w:lineRule="exact"/>
              <w:jc w:val="center"/>
              <w:rPr>
                <w:rFonts w:ascii="方正书宋_GBK" w:eastAsia="方正书宋_GBK" w:cs="方正书宋_GBK"/>
              </w:rPr>
            </w:pPr>
            <w:r>
              <w:rPr>
                <w:rFonts w:ascii="方正书宋_GBK" w:eastAsia="方正书宋_GBK" w:cs="方正书宋_GBK"/>
              </w:rPr>
              <w:t>10</w:t>
            </w:r>
          </w:p>
        </w:tc>
        <w:tc>
          <w:tcPr>
            <w:tcW w:w="709" w:type="dxa"/>
            <w:vAlign w:val="center"/>
          </w:tcPr>
          <w:p>
            <w:pPr>
              <w:spacing w:line="300" w:lineRule="exact"/>
              <w:jc w:val="center"/>
              <w:rPr>
                <w:rFonts w:hint="eastAsia" w:ascii="方正书宋_GBK" w:eastAsia="方正书宋_GBK" w:cs="方正书宋_GBK"/>
                <w:lang w:eastAsia="zh-CN"/>
              </w:rPr>
            </w:pPr>
            <w:r>
              <w:rPr>
                <w:rFonts w:hint="eastAsia" w:ascii="方正书宋_GBK" w:eastAsia="方正书宋_GBK" w:cs="方正书宋_GBK"/>
                <w:lang w:val="en-US" w:eastAsia="zh-CN"/>
              </w:rPr>
              <w:t>100</w:t>
            </w:r>
          </w:p>
        </w:tc>
        <w:tc>
          <w:tcPr>
            <w:tcW w:w="709" w:type="dxa"/>
            <w:vAlign w:val="center"/>
          </w:tcPr>
          <w:p>
            <w:pPr>
              <w:spacing w:line="300" w:lineRule="exact"/>
              <w:jc w:val="center"/>
              <w:rPr>
                <w:rFonts w:ascii="方正书宋_GBK" w:eastAsia="方正书宋_GBK" w:cs="方正书宋_GBK"/>
              </w:rPr>
            </w:pPr>
            <w:r>
              <w:rPr>
                <w:rFonts w:ascii="方正书宋_GBK" w:eastAsia="方正书宋_GBK" w:cs="方正书宋_GBK"/>
              </w:rPr>
              <w:t>1</w:t>
            </w:r>
            <w:r>
              <w:rPr>
                <w:rFonts w:hint="eastAsia" w:ascii="方正书宋_GBK" w:eastAsia="方正书宋_GBK" w:cs="方正书宋_GBK"/>
                <w:lang w:val="en-US" w:eastAsia="zh-CN"/>
              </w:rPr>
              <w:t>3</w:t>
            </w:r>
          </w:p>
        </w:tc>
        <w:tc>
          <w:tcPr>
            <w:tcW w:w="709" w:type="dxa"/>
            <w:vAlign w:val="center"/>
          </w:tcPr>
          <w:p>
            <w:pPr>
              <w:spacing w:line="300" w:lineRule="exact"/>
              <w:jc w:val="center"/>
              <w:rPr>
                <w:rFonts w:hint="eastAsia" w:ascii="方正书宋_GBK" w:eastAsia="方正书宋_GBK" w:cs="方正书宋_GBK"/>
                <w:lang w:eastAsia="zh-CN"/>
              </w:rPr>
            </w:pPr>
            <w:r>
              <w:rPr>
                <w:rFonts w:hint="eastAsia" w:ascii="方正书宋_GBK" w:eastAsia="方正书宋_GBK" w:cs="方正书宋_GBK"/>
                <w:lang w:val="en-US" w:eastAsia="zh-CN"/>
              </w:rPr>
              <w:t>79</w:t>
            </w:r>
          </w:p>
        </w:tc>
        <w:tc>
          <w:tcPr>
            <w:tcW w:w="709" w:type="dxa"/>
            <w:vAlign w:val="center"/>
          </w:tcPr>
          <w:p>
            <w:pPr>
              <w:spacing w:line="300" w:lineRule="exact"/>
              <w:jc w:val="center"/>
              <w:rPr>
                <w:rFonts w:hint="eastAsia" w:ascii="方正书宋_GBK" w:eastAsia="方正书宋_GBK" w:cs="方正书宋_GBK"/>
                <w:lang w:val="en-US" w:eastAsia="zh-CN"/>
              </w:rPr>
            </w:pPr>
            <w:r>
              <w:rPr>
                <w:rFonts w:hint="eastAsia" w:ascii="方正书宋_GBK" w:eastAsia="方正书宋_GBK" w:cs="方正书宋_GBK"/>
                <w:lang w:val="en-US" w:eastAsia="zh-CN"/>
              </w:rPr>
              <w:t>9</w:t>
            </w:r>
          </w:p>
        </w:tc>
        <w:tc>
          <w:tcPr>
            <w:tcW w:w="709" w:type="dxa"/>
            <w:vAlign w:val="center"/>
          </w:tcPr>
          <w:p>
            <w:pPr>
              <w:spacing w:line="300" w:lineRule="exact"/>
              <w:jc w:val="center"/>
              <w:rPr>
                <w:rFonts w:ascii="方正书宋_GBK" w:eastAsia="方正书宋_GBK" w:cs="方正书宋_GBK"/>
              </w:rPr>
            </w:pPr>
          </w:p>
        </w:tc>
        <w:tc>
          <w:tcPr>
            <w:tcW w:w="709" w:type="dxa"/>
            <w:vAlign w:val="center"/>
          </w:tcPr>
          <w:p>
            <w:pPr>
              <w:spacing w:line="300" w:lineRule="exact"/>
              <w:jc w:val="center"/>
              <w:rPr>
                <w:rFonts w:ascii="方正书宋_GBK" w:eastAsia="方正书宋_GBK" w:cs="方正书宋_GBK"/>
              </w:rPr>
            </w:pPr>
          </w:p>
        </w:tc>
        <w:tc>
          <w:tcPr>
            <w:tcW w:w="709" w:type="dxa"/>
            <w:vAlign w:val="center"/>
          </w:tcPr>
          <w:p>
            <w:pPr>
              <w:spacing w:line="300" w:lineRule="exact"/>
              <w:jc w:val="center"/>
              <w:rPr>
                <w:rFonts w:ascii="方正书宋_GBK" w:eastAsia="方正书宋_GBK" w:cs="方正书宋_GBK"/>
              </w:rPr>
            </w:pPr>
          </w:p>
        </w:tc>
      </w:tr>
    </w:tbl>
    <w:p>
      <w:pPr>
        <w:ind w:firstLine="640"/>
        <w:rPr>
          <w:rFonts w:ascii="黑体" w:hAnsi="黑体" w:eastAsia="黑体" w:cs="Times New Roman"/>
          <w:sz w:val="32"/>
          <w:szCs w:val="32"/>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hint="eastAsia" w:ascii="Times New Roman" w:hAnsi="Times New Roman" w:eastAsia="仿宋" w:cs="Times New Roman"/>
          <w:sz w:val="32"/>
          <w:szCs w:val="32"/>
          <w:lang w:eastAsia="zh-CN"/>
        </w:rPr>
        <w:t>2020</w:t>
      </w:r>
      <w:r>
        <w:rPr>
          <w:rFonts w:hint="eastAsia" w:ascii="Times New Roman" w:hAnsi="Times New Roman" w:eastAsia="仿宋" w:cs="仿宋"/>
          <w:sz w:val="32"/>
          <w:szCs w:val="32"/>
        </w:rPr>
        <w:t>年预算收入</w:t>
      </w:r>
      <w:r>
        <w:rPr>
          <w:rFonts w:hint="eastAsia" w:ascii="Times New Roman" w:hAnsi="Times New Roman" w:eastAsia="仿宋" w:cs="Times New Roman"/>
          <w:sz w:val="32"/>
          <w:szCs w:val="32"/>
          <w:lang w:val="en-US" w:eastAsia="zh-CN"/>
        </w:rPr>
        <w:t>1141.7</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lang w:val="en-US" w:eastAsia="zh-CN"/>
        </w:rPr>
        <w:t>1141.7</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收支预算总表支出栏、基本支出表、项目支出表按经济分类和支出功能分类科目编制，反映隆尧县纪委年度部门预算中支出预算的总体情况。</w:t>
      </w:r>
      <w:r>
        <w:rPr>
          <w:rFonts w:hint="eastAsia" w:ascii="Times New Roman" w:hAnsi="Times New Roman" w:eastAsia="仿宋" w:cs="Times New Roman"/>
          <w:sz w:val="32"/>
          <w:szCs w:val="32"/>
          <w:lang w:eastAsia="zh-CN"/>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lang w:val="en-US" w:eastAsia="zh-CN"/>
        </w:rPr>
        <w:t>1141.7</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lang w:val="en-US" w:eastAsia="zh-CN"/>
        </w:rPr>
        <w:t>756.7</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lang w:val="en-US" w:eastAsia="zh-CN"/>
        </w:rPr>
        <w:t>531.2</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lang w:val="en-US" w:eastAsia="zh-CN"/>
        </w:rPr>
        <w:t>225.5</w:t>
      </w:r>
      <w:r>
        <w:rPr>
          <w:rFonts w:hint="eastAsia" w:ascii="Times New Roman" w:hAnsi="Times New Roman" w:eastAsia="仿宋" w:cs="仿宋"/>
          <w:sz w:val="32"/>
          <w:szCs w:val="32"/>
        </w:rPr>
        <w:t>万元；项目支出</w:t>
      </w:r>
      <w:r>
        <w:rPr>
          <w:rFonts w:hint="eastAsia" w:ascii="Times New Roman" w:hAnsi="Times New Roman" w:eastAsia="仿宋" w:cs="Times New Roman"/>
          <w:sz w:val="32"/>
          <w:szCs w:val="32"/>
          <w:lang w:val="en-US" w:eastAsia="zh-CN"/>
        </w:rPr>
        <w:t>384.9</w:t>
      </w:r>
      <w:r>
        <w:rPr>
          <w:rFonts w:hint="eastAsia" w:ascii="Times New Roman" w:hAnsi="Times New Roman" w:eastAsia="仿宋" w:cs="仿宋"/>
          <w:sz w:val="32"/>
          <w:szCs w:val="32"/>
        </w:rPr>
        <w:t>万元，主要为乡镇纪委工作保障经费</w:t>
      </w:r>
      <w:r>
        <w:rPr>
          <w:rFonts w:hint="eastAsia" w:ascii="Times New Roman" w:hAnsi="Times New Roman" w:eastAsia="仿宋" w:cs="Times New Roman"/>
          <w:sz w:val="32"/>
          <w:szCs w:val="32"/>
          <w:lang w:val="en-US" w:eastAsia="zh-CN"/>
        </w:rPr>
        <w:t>24</w:t>
      </w:r>
      <w:r>
        <w:rPr>
          <w:rFonts w:hint="eastAsia" w:ascii="Times New Roman" w:hAnsi="Times New Roman" w:eastAsia="仿宋" w:cs="仿宋"/>
          <w:sz w:val="32"/>
          <w:szCs w:val="32"/>
        </w:rPr>
        <w:t>万、办案补助</w:t>
      </w:r>
      <w:r>
        <w:rPr>
          <w:rFonts w:ascii="Times New Roman" w:hAnsi="Times New Roman" w:eastAsia="仿宋" w:cs="Times New Roman"/>
          <w:sz w:val="32"/>
          <w:szCs w:val="32"/>
        </w:rPr>
        <w:t>/</w:t>
      </w:r>
      <w:r>
        <w:rPr>
          <w:rFonts w:hint="eastAsia" w:ascii="Times New Roman" w:hAnsi="Times New Roman" w:eastAsia="仿宋" w:cs="仿宋"/>
          <w:sz w:val="32"/>
          <w:szCs w:val="32"/>
        </w:rPr>
        <w:t>执法经费</w:t>
      </w:r>
      <w:r>
        <w:rPr>
          <w:rFonts w:hint="eastAsia" w:ascii="Times New Roman" w:hAnsi="Times New Roman" w:eastAsia="仿宋" w:cs="Times New Roman"/>
          <w:sz w:val="32"/>
          <w:szCs w:val="32"/>
          <w:lang w:val="en-US" w:eastAsia="zh-CN"/>
        </w:rPr>
        <w:t>155</w:t>
      </w:r>
      <w:r>
        <w:rPr>
          <w:rFonts w:hint="eastAsia" w:ascii="Times New Roman" w:hAnsi="Times New Roman" w:eastAsia="仿宋" w:cs="仿宋"/>
          <w:sz w:val="32"/>
          <w:szCs w:val="32"/>
        </w:rPr>
        <w:t>万、隆尧县廉政教育展厅建设</w:t>
      </w:r>
      <w:r>
        <w:rPr>
          <w:rFonts w:hint="eastAsia" w:ascii="Times New Roman" w:hAnsi="Times New Roman" w:eastAsia="仿宋" w:cs="Times New Roman"/>
          <w:sz w:val="32"/>
          <w:szCs w:val="32"/>
          <w:lang w:val="en-US" w:eastAsia="zh-CN"/>
        </w:rPr>
        <w:t>73.9</w:t>
      </w:r>
      <w:r>
        <w:rPr>
          <w:rFonts w:hint="eastAsia" w:ascii="Times New Roman" w:hAnsi="Times New Roman" w:eastAsia="仿宋" w:cs="仿宋"/>
          <w:sz w:val="32"/>
          <w:szCs w:val="32"/>
        </w:rPr>
        <w:t>万、县委巡察办日常保障经费</w:t>
      </w:r>
      <w:r>
        <w:rPr>
          <w:rFonts w:hint="eastAsia" w:ascii="Times New Roman" w:hAnsi="Times New Roman" w:eastAsia="仿宋" w:cs="Times New Roman"/>
          <w:sz w:val="32"/>
          <w:szCs w:val="32"/>
          <w:lang w:val="en-US" w:eastAsia="zh-CN"/>
        </w:rPr>
        <w:t>55</w:t>
      </w:r>
      <w:r>
        <w:rPr>
          <w:rFonts w:hint="eastAsia" w:ascii="Times New Roman" w:hAnsi="Times New Roman" w:eastAsia="仿宋" w:cs="仿宋"/>
          <w:sz w:val="32"/>
          <w:szCs w:val="32"/>
        </w:rPr>
        <w:t>万</w:t>
      </w:r>
      <w:r>
        <w:rPr>
          <w:rFonts w:hint="eastAsia" w:ascii="Times New Roman" w:hAnsi="Times New Roman" w:eastAsia="仿宋" w:cs="仿宋"/>
          <w:sz w:val="32"/>
          <w:szCs w:val="32"/>
          <w:lang w:eastAsia="zh-CN"/>
        </w:rPr>
        <w:t>、搬迁经费</w:t>
      </w:r>
      <w:r>
        <w:rPr>
          <w:rFonts w:hint="eastAsia" w:ascii="Times New Roman" w:hAnsi="Times New Roman" w:eastAsia="仿宋" w:cs="仿宋"/>
          <w:sz w:val="32"/>
          <w:szCs w:val="32"/>
          <w:lang w:val="en-US" w:eastAsia="zh-CN"/>
        </w:rPr>
        <w:t>30万</w:t>
      </w:r>
      <w:r>
        <w:rPr>
          <w:rFonts w:hint="eastAsia" w:ascii="Times New Roman" w:hAnsi="Times New Roman" w:eastAsia="仿宋" w:cs="仿宋"/>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lang w:eastAsia="zh-CN"/>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lang w:val="en-US" w:eastAsia="zh-CN"/>
        </w:rPr>
        <w:t>1141.7</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w:t>
      </w:r>
      <w:r>
        <w:rPr>
          <w:rFonts w:hint="eastAsia" w:ascii="Times New Roman" w:hAnsi="Times New Roman" w:eastAsia="仿宋" w:cs="Times New Roman"/>
          <w:sz w:val="32"/>
          <w:szCs w:val="32"/>
          <w:lang w:val="en-US" w:eastAsia="zh-CN"/>
        </w:rPr>
        <w:t>9</w:t>
      </w:r>
      <w:r>
        <w:rPr>
          <w:rFonts w:hint="eastAsia" w:ascii="Times New Roman" w:hAnsi="Times New Roman" w:eastAsia="仿宋" w:cs="仿宋"/>
          <w:sz w:val="32"/>
          <w:szCs w:val="32"/>
        </w:rPr>
        <w:t>年</w:t>
      </w:r>
      <w:r>
        <w:rPr>
          <w:rFonts w:hint="eastAsia" w:ascii="Times New Roman" w:hAnsi="Times New Roman" w:eastAsia="仿宋" w:cs="仿宋"/>
          <w:sz w:val="32"/>
          <w:szCs w:val="32"/>
          <w:lang w:eastAsia="zh-CN"/>
        </w:rPr>
        <w:t>减少</w:t>
      </w:r>
      <w:r>
        <w:rPr>
          <w:rFonts w:hint="eastAsia" w:ascii="Times New Roman" w:hAnsi="Times New Roman" w:eastAsia="仿宋" w:cs="Times New Roman"/>
          <w:sz w:val="32"/>
          <w:szCs w:val="32"/>
          <w:lang w:val="en-US" w:eastAsia="zh-CN"/>
        </w:rPr>
        <w:t>226.1</w:t>
      </w:r>
      <w:r>
        <w:rPr>
          <w:rFonts w:hint="eastAsia" w:ascii="Times New Roman" w:hAnsi="Times New Roman" w:eastAsia="仿宋" w:cs="仿宋"/>
          <w:sz w:val="32"/>
          <w:szCs w:val="32"/>
        </w:rPr>
        <w:t>万元，其中：基本支出增长</w:t>
      </w:r>
      <w:r>
        <w:rPr>
          <w:rFonts w:ascii="Times New Roman" w:hAnsi="Times New Roman" w:eastAsia="仿宋" w:cs="Times New Roman"/>
          <w:sz w:val="32"/>
          <w:szCs w:val="32"/>
        </w:rPr>
        <w:t>14</w:t>
      </w:r>
      <w:r>
        <w:rPr>
          <w:rFonts w:hint="eastAsia" w:ascii="Times New Roman" w:hAnsi="Times New Roman" w:eastAsia="仿宋" w:cs="Times New Roman"/>
          <w:sz w:val="32"/>
          <w:szCs w:val="32"/>
          <w:lang w:val="en-US" w:eastAsia="zh-CN"/>
        </w:rPr>
        <w:t>7.6</w:t>
      </w:r>
      <w:r>
        <w:rPr>
          <w:rFonts w:hint="eastAsia" w:ascii="Times New Roman" w:hAnsi="Times New Roman" w:eastAsia="仿宋" w:cs="仿宋"/>
          <w:sz w:val="32"/>
          <w:szCs w:val="32"/>
        </w:rPr>
        <w:t>万元，主要是</w:t>
      </w:r>
      <w:r>
        <w:rPr>
          <w:rFonts w:hint="eastAsia" w:ascii="Times New Roman" w:hAnsi="Times New Roman" w:eastAsia="仿宋" w:cs="仿宋"/>
          <w:sz w:val="32"/>
          <w:szCs w:val="32"/>
          <w:lang w:eastAsia="zh-CN"/>
        </w:rPr>
        <w:t>人员增加，保障经费增加</w:t>
      </w:r>
      <w:r>
        <w:rPr>
          <w:rFonts w:hint="eastAsia" w:ascii="Times New Roman" w:hAnsi="Times New Roman" w:eastAsia="仿宋" w:cs="仿宋"/>
          <w:sz w:val="32"/>
          <w:szCs w:val="32"/>
        </w:rPr>
        <w:t>；项目支出</w:t>
      </w:r>
      <w:r>
        <w:rPr>
          <w:rFonts w:hint="eastAsia" w:ascii="Times New Roman" w:hAnsi="Times New Roman" w:eastAsia="仿宋" w:cs="仿宋"/>
          <w:sz w:val="32"/>
          <w:szCs w:val="32"/>
          <w:lang w:eastAsia="zh-CN"/>
        </w:rPr>
        <w:t>减少</w:t>
      </w:r>
      <w:r>
        <w:rPr>
          <w:rFonts w:hint="eastAsia" w:ascii="Times New Roman" w:hAnsi="Times New Roman" w:eastAsia="仿宋" w:cs="Times New Roman"/>
          <w:sz w:val="32"/>
          <w:szCs w:val="32"/>
          <w:lang w:val="en-US" w:eastAsia="zh-CN"/>
        </w:rPr>
        <w:t>373.7</w:t>
      </w:r>
      <w:r>
        <w:rPr>
          <w:rFonts w:hint="eastAsia" w:ascii="Times New Roman" w:hAnsi="Times New Roman" w:eastAsia="仿宋" w:cs="仿宋"/>
          <w:sz w:val="32"/>
          <w:szCs w:val="32"/>
        </w:rPr>
        <w:t>万元，主要</w:t>
      </w:r>
      <w:r>
        <w:rPr>
          <w:rFonts w:hint="eastAsia" w:ascii="Times New Roman" w:hAnsi="Times New Roman" w:eastAsia="仿宋" w:cs="仿宋"/>
          <w:sz w:val="32"/>
          <w:szCs w:val="32"/>
          <w:lang w:val="en-US" w:eastAsia="zh-CN"/>
        </w:rPr>
        <w:t>因为项目较去年有所减少</w:t>
      </w:r>
      <w:r>
        <w:rPr>
          <w:rFonts w:hint="eastAsia" w:ascii="Times New Roman" w:hAnsi="Times New Roman" w:eastAsia="仿宋" w:cs="仿宋"/>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lang w:val="en-US" w:eastAsia="zh-CN"/>
        </w:rPr>
        <w:t>225.5</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lang w:eastAsia="zh-CN"/>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lang w:val="en-US" w:eastAsia="zh-CN"/>
        </w:rPr>
        <w:t>3</w:t>
      </w:r>
      <w:r>
        <w:rPr>
          <w:rFonts w:hint="eastAsia" w:ascii="Times New Roman" w:hAnsi="Times New Roman" w:eastAsia="仿宋" w:cs="仿宋"/>
          <w:sz w:val="32"/>
          <w:szCs w:val="32"/>
        </w:rPr>
        <w:t>万元，其中：因公出国（境）费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lang w:val="en-US" w:eastAsia="zh-CN"/>
        </w:rPr>
        <w:t>与上年持平，无增减变化</w:t>
      </w:r>
      <w:r>
        <w:rPr>
          <w:rFonts w:hint="eastAsia" w:ascii="Times New Roman" w:hAnsi="Times New Roman" w:eastAsia="仿宋" w:cs="仿宋"/>
          <w:sz w:val="32"/>
          <w:szCs w:val="32"/>
        </w:rPr>
        <w:t>；公务用车购置及运维费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Times New Roman"/>
          <w:sz w:val="32"/>
          <w:szCs w:val="32"/>
          <w:lang w:eastAsia="zh-CN"/>
        </w:rPr>
        <w:t>，</w:t>
      </w:r>
      <w:r>
        <w:rPr>
          <w:rFonts w:hint="eastAsia" w:ascii="Times New Roman" w:hAnsi="Times New Roman" w:eastAsia="仿宋" w:cs="仿宋"/>
          <w:sz w:val="32"/>
          <w:szCs w:val="32"/>
          <w:lang w:val="en-US" w:eastAsia="zh-CN"/>
        </w:rPr>
        <w:t>与上年持平，无增减变化</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lang w:val="en-US" w:eastAsia="zh-CN"/>
        </w:rPr>
        <w:t>3</w:t>
      </w:r>
      <w:r>
        <w:rPr>
          <w:rFonts w:hint="eastAsia" w:ascii="Times New Roman" w:hAnsi="Times New Roman" w:eastAsia="仿宋" w:cs="仿宋"/>
          <w:sz w:val="32"/>
          <w:szCs w:val="32"/>
        </w:rPr>
        <w:t>万元</w:t>
      </w:r>
      <w:r>
        <w:rPr>
          <w:rFonts w:hint="eastAsia" w:ascii="Times New Roman" w:hAnsi="Times New Roman" w:eastAsia="仿宋" w:cs="仿宋"/>
          <w:sz w:val="32"/>
          <w:szCs w:val="32"/>
          <w:lang w:eastAsia="zh-CN"/>
        </w:rPr>
        <w:t>，较上年减少</w:t>
      </w:r>
      <w:r>
        <w:rPr>
          <w:rFonts w:hint="eastAsia" w:ascii="Times New Roman" w:hAnsi="Times New Roman" w:eastAsia="仿宋" w:cs="仿宋"/>
          <w:sz w:val="32"/>
          <w:szCs w:val="32"/>
          <w:lang w:val="en-US" w:eastAsia="zh-CN"/>
        </w:rPr>
        <w:t>52.5万元,主要原因是</w:t>
      </w:r>
      <w:r>
        <w:rPr>
          <w:rStyle w:val="9"/>
          <w:rFonts w:ascii="仿宋_gb2312" w:hAnsi="仿宋_gb2312" w:eastAsia="仿宋_gb2312" w:cs="仿宋_gb2312"/>
          <w:sz w:val="30"/>
          <w:szCs w:val="30"/>
          <w:rtl w:val="0"/>
        </w:rPr>
        <w:t>认真贯彻落实中央八项规定精神和厉行节约要求，从严控制“三公”经费开支，全年实际支出比预算有所节约</w:t>
      </w:r>
      <w:r>
        <w:rPr>
          <w:rFonts w:hint="eastAsia" w:ascii="Times New Roman" w:hAnsi="Times New Roman" w:eastAsia="仿宋" w:cs="仿宋"/>
          <w:sz w:val="32"/>
          <w:szCs w:val="32"/>
        </w:rPr>
        <w:t>。</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autoSpaceDE w:val="0"/>
        <w:autoSpaceDN w:val="0"/>
        <w:adjustRightInd w:val="0"/>
        <w:ind w:left="198" w:firstLine="560" w:firstLineChars="200"/>
        <w:jc w:val="left"/>
        <w:rPr>
          <w:rFonts w:hint="eastAsia" w:ascii="Times New Roman" w:hAnsi="Times New Roman" w:eastAsia="仿宋" w:cs="仿宋"/>
          <w:sz w:val="32"/>
          <w:szCs w:val="32"/>
          <w:lang w:eastAsia="zh-CN"/>
        </w:rPr>
      </w:pPr>
      <w:bookmarkStart w:id="0" w:name="_Toc471398463"/>
      <w:r>
        <w:rPr>
          <w:rFonts w:hint="eastAsia" w:ascii="方正仿宋_GBK" w:eastAsia="方正仿宋_GBK" w:cs="方正仿宋_GBK"/>
          <w:sz w:val="28"/>
          <w:szCs w:val="28"/>
        </w:rPr>
        <w:t>　</w:t>
      </w:r>
      <w:r>
        <w:rPr>
          <w:rFonts w:hint="eastAsia" w:ascii="Times New Roman" w:hAnsi="Times New Roman" w:eastAsia="仿宋" w:cs="仿宋"/>
          <w:sz w:val="32"/>
          <w:szCs w:val="32"/>
          <w:lang w:val="en-US" w:eastAsia="zh-CN"/>
        </w:rPr>
        <w:t>1</w:t>
      </w:r>
      <w:r>
        <w:rPr>
          <w:rFonts w:hint="eastAsia" w:ascii="Times New Roman" w:hAnsi="Times New Roman" w:eastAsia="仿宋" w:cs="仿宋"/>
          <w:sz w:val="32"/>
          <w:szCs w:val="32"/>
          <w:lang w:eastAsia="zh-CN"/>
        </w:rPr>
        <w:t>、总体绩效目标</w:t>
      </w:r>
      <w:bookmarkStart w:id="1" w:name="_Toc18782"/>
      <w:bookmarkStart w:id="2" w:name="_Toc23079"/>
      <w:r>
        <w:rPr>
          <w:rFonts w:hint="eastAsia" w:ascii="Times New Roman" w:hAnsi="Times New Roman" w:eastAsia="仿宋" w:cs="仿宋"/>
          <w:sz w:val="32"/>
          <w:szCs w:val="32"/>
        </w:rPr>
        <w:fldChar w:fldCharType="begin"/>
      </w:r>
      <w:r>
        <w:rPr>
          <w:rFonts w:hint="eastAsia" w:ascii="Times New Roman" w:hAnsi="Times New Roman" w:eastAsia="仿宋" w:cs="仿宋"/>
          <w:sz w:val="32"/>
          <w:szCs w:val="32"/>
          <w:lang w:eastAsia="zh-CN"/>
        </w:rPr>
        <w:instrText xml:space="preserve"> TC 总体绩效目标 \f A \l 1 </w:instrText>
      </w:r>
      <w:r>
        <w:rPr>
          <w:rFonts w:hint="eastAsia" w:ascii="Times New Roman" w:hAnsi="Times New Roman" w:eastAsia="仿宋" w:cs="仿宋"/>
          <w:sz w:val="32"/>
          <w:szCs w:val="32"/>
          <w:lang w:eastAsia="zh-CN"/>
        </w:rPr>
        <w:fldChar w:fldCharType="end"/>
      </w:r>
      <w:bookmarkEnd w:id="1"/>
      <w:bookmarkEnd w:id="2"/>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按照中央、省、市纪委全会统一安排部署，县纪委监委领导班子带领全县纪检监察干部忠实履行党章和宪法赋予的职责，树牢“四个意识”,坚定“四个自信”,做到“两个维护”，协助县委推进全面从严治党，坚持纪严于法、纪在法前，纪法贯通、法法衔接，巩固发展反腐败斗争压倒性胜利，为建设经济强县、幸福隆尧提供了纪律保障。</w:t>
      </w:r>
    </w:p>
    <w:p>
      <w:pPr>
        <w:autoSpaceDE w:val="0"/>
        <w:autoSpaceDN w:val="0"/>
        <w:adjustRightInd w:val="0"/>
        <w:ind w:left="198" w:firstLine="640" w:firstLineChars="200"/>
        <w:jc w:val="left"/>
        <w:rPr>
          <w:rFonts w:hint="eastAsia" w:ascii="Times New Roman" w:hAnsi="Times New Roman" w:eastAsia="仿宋" w:cs="仿宋"/>
          <w:sz w:val="32"/>
          <w:szCs w:val="32"/>
          <w:lang w:eastAsia="zh-CN"/>
        </w:rPr>
      </w:pPr>
      <w:r>
        <w:rPr>
          <w:rFonts w:hint="eastAsia" w:ascii="Times New Roman" w:hAnsi="Times New Roman" w:eastAsia="仿宋" w:cs="仿宋"/>
          <w:sz w:val="32"/>
          <w:szCs w:val="32"/>
          <w:lang w:val="en-US" w:eastAsia="zh-CN"/>
        </w:rPr>
        <w:t>2</w:t>
      </w:r>
      <w:r>
        <w:rPr>
          <w:rFonts w:hint="eastAsia" w:ascii="Times New Roman" w:hAnsi="Times New Roman" w:eastAsia="仿宋" w:cs="仿宋"/>
          <w:sz w:val="32"/>
          <w:szCs w:val="32"/>
          <w:lang w:eastAsia="zh-CN"/>
        </w:rPr>
        <w:t>、分项绩效目标</w:t>
      </w:r>
      <w:bookmarkStart w:id="3" w:name="_Toc31612"/>
      <w:bookmarkStart w:id="4" w:name="_Toc6478"/>
      <w:r>
        <w:rPr>
          <w:rFonts w:hint="eastAsia" w:ascii="Times New Roman" w:hAnsi="Times New Roman" w:eastAsia="仿宋" w:cs="仿宋"/>
          <w:sz w:val="32"/>
          <w:szCs w:val="32"/>
        </w:rPr>
        <w:fldChar w:fldCharType="begin"/>
      </w:r>
      <w:r>
        <w:rPr>
          <w:rFonts w:hint="eastAsia" w:ascii="Times New Roman" w:hAnsi="Times New Roman" w:eastAsia="仿宋" w:cs="仿宋"/>
          <w:sz w:val="32"/>
          <w:szCs w:val="32"/>
          <w:lang w:eastAsia="zh-CN"/>
        </w:rPr>
        <w:instrText xml:space="preserve"> TC 分项绩效目标 \f A \l 1 </w:instrText>
      </w:r>
      <w:r>
        <w:rPr>
          <w:rFonts w:hint="eastAsia" w:ascii="Times New Roman" w:hAnsi="Times New Roman" w:eastAsia="仿宋" w:cs="仿宋"/>
          <w:sz w:val="32"/>
          <w:szCs w:val="32"/>
          <w:lang w:eastAsia="zh-CN"/>
        </w:rPr>
        <w:fldChar w:fldCharType="end"/>
      </w:r>
      <w:bookmarkEnd w:id="3"/>
      <w:bookmarkEnd w:id="4"/>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着力坚持党建引领，扎实开展主题教育活动</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坚持以政治建设为统领，以开展“不忘初心、牢记使命”主题教育为契机，着力提高政治素养，通过“周五大讲堂”“每日夜校”强化政治理论学习，进一步锤炼工作作风。一是提升政治站位，补足精神之钙。组织机关干部系统学习《中国共产党章程》《习近平关于“不忘初心、牢记使命”论述摘编》等篇目，通过领导班子成员带头领学、开展专题党课、召开组织生活会等形式，教育引导纪检监察干部提升政治站位，坚定理想信念，把好“忠诚”之舵。同时，组织机关党员干部观看爱国主题电影，赴市廉政教育中心、内丘县李保国纪念馆开展先进典型教育和警示教育活动，回溯初心使命，增强政治认同。二是严肃政治生活，夯实组织基础。把强化党的意识和组织观念摆在突出位置，严格落实“三会一课”、民主评议党员等制度，严肃党内政治生活，进一步发挥基层党组织战斗堡垒作用，开展书记讲党课活动10次，主题党日活动12次。充分利用“两谈一会”加强教育提醒，领导班子成员和各科室负责人，逐层逐级开展提醒谈话90余人次。三是深化作风建设，增强斗争本领。坚持刀刃向内、刮骨疗毒，针对纪检监察干部队伍中存在的问题，结合“不忘初心、牢记使命”主题教育，集中两个月时间，深入开展机关干部纪律作风集中整顿，共开展各类学习活动40余次，通过集中学习、专题辅导、警示教育、组织生活会等多种形式，严明纪律、改进作风，引导纪检监察干部增强斗争本领，永葆斗争精神，切实加强队伍建设。</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着力强化政治纪律，集中整治形式主义、官僚主义</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围绕中央和省、市、县委重大决策部署开展监督检查，着力解决执行上级决策部署走形式、走过场、有令不行、有禁不止问题，确保政令畅通、令行禁止。一是围绕重大决策部署加强监督检查。根据县委关于“狠抓落实年”的工作部署，制定《隆尧县“狠抓落实年”问责工作方案》，明确7种问责情形；开展扶贫领域腐败和作风问题专项治理，督促相关部门加快扶贫领域案件办理进度，进一步巩固治理成效；持续强化生态环境监督执纪问责，通过实地察看、随机走访、查阅台账、调研督导和听取群众意见建议等方式，全面监督检查生态环保领域各项决策部署的落实情况，严肃查处违规违纪行为。二是围绕省委巡视抓好整改落实。采取全员办案、定期调度等方式，及时解决巡视移交问题线索办理；抓好问题线索整改落实和立行立改问题办理，督促相关单位党组织严格落实整改责任，建立四批问题台账，形成监督制度8项。制发《省委巡视反馈意见整改和“1＋N”重点工作监督方案》，明确4方面监督重点，组织开展督导检查，加大重点工作推进力度。三是围绕“两个责任”健全工作机制。协助县委制发《中共隆尧县委关于深化</w:t>
      </w:r>
      <w:r>
        <w:rPr>
          <w:rFonts w:hint="eastAsia" w:ascii="Times New Roman" w:hAnsi="Times New Roman" w:eastAsia="仿宋" w:cs="仿宋"/>
          <w:sz w:val="32"/>
          <w:szCs w:val="32"/>
          <w:lang w:eastAsia="zh-CN"/>
        </w:rPr>
        <w:t>落实全面从严治党</w:t>
      </w:r>
      <w:r>
        <w:rPr>
          <w:rFonts w:hint="eastAsia" w:ascii="Times New Roman" w:hAnsi="Times New Roman" w:eastAsia="仿宋" w:cs="仿宋"/>
          <w:sz w:val="32"/>
          <w:szCs w:val="32"/>
        </w:rPr>
        <w:t>主体责任和监督责任的工作意见》，健全以上率下、履责清单、提醒约谈、问责通报4项机制，层层传导压力，进一步推动主体责任落实。就落实从严治党主体责任情况逐级开展“一对一”谈话，有效推进“一岗双责”落到实处。协助县委完善《关于进一步激励干部担当作为健全容错纠错机制的实施办法(试行）》，进一步激励广大干部新时代新担当新作为。四是紧盯“关键少数”，强化警示教育。发挥头雁效应，通过召开警示教育大会、公开通报违纪违法典型案例、签订廉政承诺书、开展廉政谈话等方式，时刻以案为鉴、自我警醒。推动警示教育常态化，组织县四大班子成员赴内丘县李保国纪念馆、全市廉政教育中心开展先进典型教育、政治性警示教育；实施“家庭助廉工程”，组织50余名乡镇和县直单位“一把手”家属，到隆尧监狱开展“廉洁齐家 与爱同行”家庭助廉活动，引导干部家属当好‘廉内助’，守住家庭廉洁底线。</w:t>
      </w:r>
    </w:p>
    <w:p>
      <w:pPr>
        <w:autoSpaceDE w:val="0"/>
        <w:autoSpaceDN w:val="0"/>
        <w:adjustRightInd w:val="0"/>
        <w:ind w:left="198" w:firstLine="640" w:firstLineChars="200"/>
        <w:jc w:val="left"/>
        <w:rPr>
          <w:rFonts w:hint="eastAsia" w:ascii="Times New Roman" w:hAnsi="Times New Roman" w:eastAsia="仿宋" w:cs="仿宋"/>
          <w:sz w:val="32"/>
          <w:szCs w:val="32"/>
        </w:rPr>
      </w:pPr>
      <w:r>
        <w:rPr>
          <w:rFonts w:hint="eastAsia" w:ascii="Times New Roman" w:hAnsi="Times New Roman" w:eastAsia="仿宋" w:cs="仿宋"/>
          <w:sz w:val="32"/>
          <w:szCs w:val="32"/>
        </w:rPr>
        <w:t>着力落实监督首责，做细做实日常监督</w:t>
      </w:r>
      <w:r>
        <w:rPr>
          <w:rFonts w:hint="eastAsia" w:ascii="Times New Roman" w:hAnsi="Times New Roman" w:eastAsia="仿宋" w:cs="仿宋"/>
          <w:sz w:val="32"/>
          <w:szCs w:val="32"/>
          <w:lang w:eastAsia="zh-CN"/>
        </w:rPr>
        <w:t>。</w:t>
      </w:r>
      <w:r>
        <w:rPr>
          <w:rFonts w:hint="eastAsia" w:ascii="Times New Roman" w:hAnsi="Times New Roman" w:eastAsia="仿宋" w:cs="仿宋"/>
          <w:sz w:val="32"/>
          <w:szCs w:val="32"/>
        </w:rPr>
        <w:t>认真履行监督第一职责，构建纪律监督、监察监督、派驻监督、巡察监督“四位一体”大监督工作机制，扎实推进包联监督，实行班子成员分包，逐一分解责任，提升监督质效。一是构建“1+4+7+12”大监督格局。由县纪委监委党风室牵头，具体负责对日常监督工作的研究部署、统筹协调、监督检查、分析研判，4个监督检查室、7个派驻纪检监察组和12个乡镇纪委分为4个协作监督办案区，具体实施监督工作，构建了上下联动的大监督格局。二是创新监督方式方法。启动党风廉政“大数据”监督平台建设，设立廉政档案、日常监督、扶贫领域三大板块、15个子项，组织各部门上报监察对象基本信息，将全县所有监察对象统一纳入大数据平台。开通微信二维码“随手拍”监督举报渠道，进一步畅通社会各界对作风纪律等问题的监督。三是围绕贯彻落实中央八项规定精神强化监督检查，确保党风政风持续好转。紧盯重要节点，制发工作方案，采取委领导“轮班”带队督查、明察暗访，建立县纪委监委监督检查室、县直单位纪检委员、乡镇纪委联动监督工作机制，全面强化违反中央八项规定精神和四风问题监督检查。</w:t>
      </w:r>
    </w:p>
    <w:p>
      <w:pPr>
        <w:spacing w:line="500" w:lineRule="exact"/>
        <w:rPr>
          <w:rFonts w:ascii="方正仿宋_GBK" w:eastAsia="方正仿宋_GBK" w:cs="Times New Roman"/>
          <w:sz w:val="28"/>
          <w:szCs w:val="28"/>
        </w:rPr>
      </w:pPr>
    </w:p>
    <w:p>
      <w:pPr>
        <w:autoSpaceDE w:val="0"/>
        <w:autoSpaceDN w:val="0"/>
        <w:adjustRightInd w:val="0"/>
        <w:ind w:left="198" w:firstLine="643" w:firstLineChars="200"/>
        <w:jc w:val="left"/>
        <w:rPr>
          <w:rFonts w:hint="eastAsia" w:ascii="Times New Roman" w:hAnsi="宋体" w:eastAsia="宋体" w:cs="宋体"/>
          <w:b/>
          <w:sz w:val="28"/>
          <w:u w:val="none"/>
          <w:lang w:eastAsia="zh-CN"/>
        </w:rPr>
      </w:pPr>
      <w:r>
        <w:rPr>
          <w:rFonts w:hint="eastAsia" w:ascii="Times New Roman" w:hAnsi="Times New Roman" w:eastAsia="仿宋" w:cs="仿宋"/>
          <w:b/>
          <w:bCs/>
          <w:sz w:val="32"/>
          <w:szCs w:val="32"/>
        </w:rPr>
        <w:t>部门职责及工作活动绩效目标指标：</w:t>
      </w:r>
      <w:bookmarkEnd w:id="0"/>
      <w:bookmarkStart w:id="5" w:name="_Toc11515"/>
      <w:r>
        <w:fldChar w:fldCharType="begin"/>
      </w:r>
      <w:r>
        <w:rPr>
          <w:rFonts w:hint="eastAsia" w:ascii="方正仿宋_GBK" w:hAnsi="方正仿宋_GBK" w:eastAsia="方正仿宋_GBK" w:cs="方正仿宋_GBK"/>
          <w:b/>
          <w:sz w:val="28"/>
          <w:u w:val="none"/>
          <w:lang w:eastAsia="zh-CN"/>
        </w:rPr>
        <w:instrText xml:space="preserve"> TC 1、搬迁经费绩效目标表 \f C \l 1 </w:instrText>
      </w:r>
      <w:r>
        <w:rPr>
          <w:rFonts w:hint="eastAsia" w:ascii="方正仿宋_GBK" w:hAnsi="方正仿宋_GBK" w:eastAsia="方正仿宋_GBK" w:cs="方正仿宋_GBK"/>
          <w:b/>
          <w:sz w:val="28"/>
          <w:u w:val="none"/>
          <w:lang w:eastAsia="zh-CN"/>
        </w:rPr>
        <w:fldChar w:fldCharType="end"/>
      </w:r>
      <w:bookmarkEnd w:id="5"/>
    </w:p>
    <w:tbl>
      <w:tblPr>
        <w:tblStyle w:val="8"/>
        <w:tblW w:w="109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32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222002中国共产党隆尧县纪律检查委员会</w:t>
            </w:r>
          </w:p>
        </w:tc>
        <w:tc>
          <w:tcPr>
            <w:tcW w:w="3250"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222-0401-YXN-UIGH</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5830"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搬迁经费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300000.00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300000.00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3250"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9828"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新办公楼维修及维护。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4526"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4526"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9828"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1、按标准装修办公楼</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2、按计划完成搬迁</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109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32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3235"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完成率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6月底前完成率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100百分比</w:t>
            </w:r>
          </w:p>
        </w:tc>
        <w:tc>
          <w:tcPr>
            <w:tcW w:w="3235"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经济效益指标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7月底前完成搬迁</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搬迁量占比</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≥100百分比</w:t>
            </w:r>
          </w:p>
        </w:tc>
        <w:tc>
          <w:tcPr>
            <w:tcW w:w="3235"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职工满意度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职工满意比率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≥95百分比</w:t>
            </w:r>
          </w:p>
        </w:tc>
        <w:tc>
          <w:tcPr>
            <w:tcW w:w="3235"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调查</w:t>
            </w:r>
          </w:p>
        </w:tc>
      </w:tr>
    </w:tbl>
    <w:p>
      <w:pPr>
        <w:jc w:val="left"/>
        <w:outlineLvl w:val="1"/>
        <w:rPr>
          <w:rFonts w:hint="eastAsia" w:ascii="Times New Roman" w:hAnsi="宋体" w:eastAsia="宋体" w:cs="宋体"/>
          <w:b/>
          <w:sz w:val="28"/>
          <w:u w:val="none"/>
          <w:lang w:eastAsia="zh-CN"/>
        </w:rPr>
      </w:pPr>
      <w:bookmarkStart w:id="6" w:name="_Toc16991"/>
      <w:r>
        <w:fldChar w:fldCharType="begin"/>
      </w:r>
      <w:r>
        <w:rPr>
          <w:rFonts w:hint="eastAsia" w:ascii="方正仿宋_GBK" w:hAnsi="方正仿宋_GBK" w:eastAsia="方正仿宋_GBK" w:cs="方正仿宋_GBK"/>
          <w:b/>
          <w:sz w:val="28"/>
          <w:u w:val="none"/>
          <w:lang w:eastAsia="zh-CN"/>
        </w:rPr>
        <w:instrText xml:space="preserve"> TC 2、隆尧县监察大数据平台建设项目绩效目标表 \f C \l 1 </w:instrText>
      </w:r>
      <w:r>
        <w:rPr>
          <w:rFonts w:hint="eastAsia" w:ascii="方正仿宋_GBK" w:hAnsi="方正仿宋_GBK" w:eastAsia="方正仿宋_GBK" w:cs="方正仿宋_GBK"/>
          <w:b/>
          <w:sz w:val="28"/>
          <w:u w:val="none"/>
          <w:lang w:eastAsia="zh-CN"/>
        </w:rPr>
        <w:fldChar w:fldCharType="end"/>
      </w:r>
      <w:bookmarkEnd w:id="6"/>
    </w:p>
    <w:tbl>
      <w:tblPr>
        <w:tblStyle w:val="8"/>
        <w:tblW w:w="112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35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222002中国共产党隆尧县纪律检查委员会</w:t>
            </w:r>
          </w:p>
        </w:tc>
        <w:tc>
          <w:tcPr>
            <w:tcW w:w="3505"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222-0602-YXN-9RND</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6085"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隆尧县监察大数据平台建设项目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470000.00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470000.00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3505"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10083"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将大数据与党风廉政建设和反腐败工作有机融合，进一步提升监督实效。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4781"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c>
          <w:tcPr>
            <w:tcW w:w="4781"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10083"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1、6月底之前完成</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2、年底利用率达到60%</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1121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3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350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完成率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按照要求和计划完成研究任务的项目在所有立项项目中的比例（百分比）</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≥90比率</w:t>
            </w:r>
          </w:p>
        </w:tc>
        <w:tc>
          <w:tcPr>
            <w:tcW w:w="350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经济效益指标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大数据平台利用率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大数据平台在监督检查中利用率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≥60比率</w:t>
            </w:r>
          </w:p>
        </w:tc>
        <w:tc>
          <w:tcPr>
            <w:tcW w:w="350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工作人员的满意度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工作人员对大数据平台应用的满意度</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≥90比率</w:t>
            </w:r>
          </w:p>
        </w:tc>
        <w:tc>
          <w:tcPr>
            <w:tcW w:w="350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调查</w:t>
            </w:r>
          </w:p>
        </w:tc>
      </w:tr>
    </w:tbl>
    <w:p>
      <w:pPr>
        <w:jc w:val="left"/>
        <w:outlineLvl w:val="1"/>
        <w:rPr>
          <w:rFonts w:hint="eastAsia" w:ascii="Times New Roman" w:hAnsi="宋体" w:eastAsia="宋体" w:cs="宋体"/>
          <w:b/>
          <w:sz w:val="28"/>
          <w:u w:val="none"/>
          <w:lang w:eastAsia="zh-CN"/>
        </w:rPr>
      </w:pPr>
      <w:bookmarkStart w:id="7" w:name="_Toc11928"/>
      <w:r>
        <w:fldChar w:fldCharType="begin"/>
      </w:r>
      <w:r>
        <w:rPr>
          <w:rFonts w:hint="eastAsia" w:ascii="方正仿宋_GBK" w:hAnsi="方正仿宋_GBK" w:eastAsia="方正仿宋_GBK" w:cs="方正仿宋_GBK"/>
          <w:b/>
          <w:sz w:val="28"/>
          <w:u w:val="none"/>
          <w:lang w:eastAsia="zh-CN"/>
        </w:rPr>
        <w:instrText xml:space="preserve"> TC 3、隆尧县廉政教育展厅建设绩效目标表 \f C \l 1 </w:instrText>
      </w:r>
      <w:r>
        <w:rPr>
          <w:rFonts w:hint="eastAsia" w:ascii="方正仿宋_GBK" w:hAnsi="方正仿宋_GBK" w:eastAsia="方正仿宋_GBK" w:cs="方正仿宋_GBK"/>
          <w:b/>
          <w:sz w:val="28"/>
          <w:u w:val="none"/>
          <w:lang w:eastAsia="zh-CN"/>
        </w:rPr>
        <w:fldChar w:fldCharType="end"/>
      </w:r>
      <w:bookmarkEnd w:id="7"/>
    </w:p>
    <w:tbl>
      <w:tblPr>
        <w:tblStyle w:val="8"/>
        <w:tblW w:w="110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78"/>
        <w:gridCol w:w="1134"/>
        <w:gridCol w:w="1276"/>
        <w:gridCol w:w="1588"/>
        <w:gridCol w:w="1304"/>
        <w:gridCol w:w="1276"/>
        <w:gridCol w:w="21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856"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222002中国共产党隆尧县纪律检查委员会</w:t>
            </w:r>
          </w:p>
        </w:tc>
        <w:tc>
          <w:tcPr>
            <w:tcW w:w="2153"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222-0501-YXN-PZ6V</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733"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隆尧县廉政教育展厅建设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8"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739667.00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739667.00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2153"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8"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731"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利用廉政教育广场，教育引导广大党员干部增强廉洁自律意识。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8"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3429"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8"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c>
          <w:tcPr>
            <w:tcW w:w="3429"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278"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731"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1、按标准建好廉政教育展厅</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2、开展廉政教育不低于5次</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1100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26"/>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72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2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完成率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10月底之前完成率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2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受教育党员干部批次</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不低于5批次</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≥5次</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72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党员干部满意度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受教育党员对廉政教育的满意度</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走访调查</w:t>
            </w:r>
          </w:p>
        </w:tc>
      </w:tr>
    </w:tbl>
    <w:p>
      <w:pPr>
        <w:jc w:val="left"/>
        <w:outlineLvl w:val="1"/>
        <w:rPr>
          <w:rFonts w:hint="eastAsia" w:ascii="Times New Roman" w:hAnsi="宋体" w:eastAsia="宋体" w:cs="宋体"/>
          <w:b/>
          <w:sz w:val="28"/>
          <w:u w:val="none"/>
          <w:lang w:eastAsia="zh-CN"/>
        </w:rPr>
      </w:pPr>
      <w:bookmarkStart w:id="8" w:name="_Toc1135"/>
      <w:r>
        <w:fldChar w:fldCharType="begin"/>
      </w:r>
      <w:r>
        <w:rPr>
          <w:rFonts w:hint="eastAsia" w:ascii="方正仿宋_GBK" w:hAnsi="方正仿宋_GBK" w:eastAsia="方正仿宋_GBK" w:cs="方正仿宋_GBK"/>
          <w:b/>
          <w:sz w:val="28"/>
          <w:u w:val="none"/>
          <w:lang w:eastAsia="zh-CN"/>
        </w:rPr>
        <w:instrText xml:space="preserve"> TC 4、县委巡察办经费绩效目标表 \f C \l 1 </w:instrText>
      </w:r>
      <w:r>
        <w:rPr>
          <w:rFonts w:hint="eastAsia" w:ascii="方正仿宋_GBK" w:hAnsi="方正仿宋_GBK" w:eastAsia="方正仿宋_GBK" w:cs="方正仿宋_GBK"/>
          <w:b/>
          <w:sz w:val="28"/>
          <w:u w:val="none"/>
          <w:lang w:eastAsia="zh-CN"/>
        </w:rPr>
        <w:fldChar w:fldCharType="end"/>
      </w:r>
      <w:bookmarkEnd w:id="8"/>
    </w:p>
    <w:tbl>
      <w:tblPr>
        <w:tblStyle w:val="8"/>
        <w:tblW w:w="109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52"/>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230"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222002中国共产党隆尧县纪律检查委员会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222-0602-JXN-LDHL</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县委巡察办经费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2"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550000.00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550000.00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2"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按照《隆尧县十一届县委巡察工作五年规划》的要求，实现巡察全覆盖，让巡察利剑高悬，震慑常在。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2"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2"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80.00</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52"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1、实现县本级巡察既定目标</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2、市委统筹巡察3轮</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109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46"/>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64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64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数量指标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市委统筹巡察保障数量</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最少开展3次</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≥3次</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64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县委巡察办完成本年度巡察 计划</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开展村级巡察</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≥100个</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查看记录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64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对群众反映问题的反馈</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对群众反映问题的反馈要保证多数群众的满意</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走访调查</w:t>
            </w:r>
          </w:p>
        </w:tc>
      </w:tr>
    </w:tbl>
    <w:p>
      <w:pPr>
        <w:jc w:val="left"/>
        <w:outlineLvl w:val="1"/>
        <w:rPr>
          <w:rFonts w:hint="eastAsia" w:ascii="Times New Roman" w:hAnsi="宋体" w:eastAsia="宋体" w:cs="宋体"/>
          <w:b/>
          <w:sz w:val="28"/>
          <w:u w:val="none"/>
          <w:lang w:eastAsia="zh-CN"/>
        </w:rPr>
      </w:pPr>
      <w:bookmarkStart w:id="9" w:name="_Toc5200"/>
      <w:r>
        <w:fldChar w:fldCharType="begin"/>
      </w:r>
      <w:r>
        <w:rPr>
          <w:rFonts w:hint="eastAsia" w:ascii="方正仿宋_GBK" w:hAnsi="方正仿宋_GBK" w:eastAsia="方正仿宋_GBK" w:cs="方正仿宋_GBK"/>
          <w:b/>
          <w:sz w:val="28"/>
          <w:u w:val="none"/>
          <w:lang w:eastAsia="zh-CN"/>
        </w:rPr>
        <w:instrText xml:space="preserve"> TC 5、乡镇纪委保障经费绩效目标表 \f C \l 1 </w:instrText>
      </w:r>
      <w:r>
        <w:rPr>
          <w:rFonts w:hint="eastAsia" w:ascii="方正仿宋_GBK" w:hAnsi="方正仿宋_GBK" w:eastAsia="方正仿宋_GBK" w:cs="方正仿宋_GBK"/>
          <w:b/>
          <w:sz w:val="28"/>
          <w:u w:val="none"/>
          <w:lang w:eastAsia="zh-CN"/>
        </w:rPr>
        <w:fldChar w:fldCharType="end"/>
      </w:r>
      <w:bookmarkEnd w:id="9"/>
    </w:p>
    <w:tbl>
      <w:tblPr>
        <w:tblStyle w:val="8"/>
        <w:tblW w:w="10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79"/>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157"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222002中国共产党隆尧县纪律检查委员会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9"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222-0401-JXN-T6LA</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乡镇纪委保障经费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9"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240000.00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240000.00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9"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加强乡镇纪检组织建设，切实推动全面从严治党向基层延伸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9"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9"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80.00</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79"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1、确保农村两委干部廉洁履职</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2、老百姓对乡镇及村两委干部认可度提高</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108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68"/>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56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56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质量指标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优良率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查办案件质量优良率占所有案件的比率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监督执纪规则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56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群众对乡镇干部的满意度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走访群众对乡镇干部的满意度</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走访调查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56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反映问题群众对乡镇纪委答复的满意度</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走访调查</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bl>
    <w:p>
      <w:pPr>
        <w:jc w:val="left"/>
        <w:outlineLvl w:val="1"/>
        <w:rPr>
          <w:rFonts w:hint="eastAsia" w:ascii="Times New Roman" w:hAnsi="宋体" w:eastAsia="宋体" w:cs="宋体"/>
          <w:b/>
          <w:sz w:val="28"/>
          <w:u w:val="none"/>
          <w:lang w:eastAsia="zh-CN"/>
        </w:rPr>
      </w:pPr>
      <w:bookmarkStart w:id="10" w:name="_Toc19887"/>
      <w:r>
        <w:fldChar w:fldCharType="begin"/>
      </w:r>
      <w:r>
        <w:rPr>
          <w:rFonts w:hint="eastAsia" w:ascii="方正仿宋_GBK" w:hAnsi="方正仿宋_GBK" w:eastAsia="方正仿宋_GBK" w:cs="方正仿宋_GBK"/>
          <w:b/>
          <w:sz w:val="28"/>
          <w:u w:val="none"/>
          <w:lang w:eastAsia="zh-CN"/>
        </w:rPr>
        <w:instrText xml:space="preserve"> TC 6、执法经费绩效目标表 \f C \l 1 </w:instrText>
      </w:r>
      <w:r>
        <w:rPr>
          <w:rFonts w:hint="eastAsia" w:ascii="方正仿宋_GBK" w:hAnsi="方正仿宋_GBK" w:eastAsia="方正仿宋_GBK" w:cs="方正仿宋_GBK"/>
          <w:b/>
          <w:sz w:val="28"/>
          <w:u w:val="none"/>
          <w:lang w:eastAsia="zh-CN"/>
        </w:rPr>
        <w:fldChar w:fldCharType="end"/>
      </w:r>
      <w:bookmarkEnd w:id="10"/>
    </w:p>
    <w:tbl>
      <w:tblPr>
        <w:tblStyle w:val="8"/>
        <w:tblW w:w="107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3"/>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71" w:type="dxa"/>
            <w:gridSpan w:val="6"/>
            <w:tcBorders>
              <w:top w:val="single" w:color="FFFFFF" w:sz="6" w:space="0"/>
              <w:left w:val="single" w:color="FFFFFF" w:sz="6" w:space="0"/>
              <w:right w:val="single" w:color="FFFFFF" w:sz="6" w:space="0"/>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222002中国共产党隆尧县纪律检查委员会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3"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项目编码</w:t>
            </w:r>
          </w:p>
        </w:tc>
        <w:tc>
          <w:tcPr>
            <w:tcW w:w="2410" w:type="dxa"/>
            <w:gridSpan w:val="2"/>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222-0401-JXN-4E8D</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项目名称</w:t>
            </w:r>
          </w:p>
        </w:tc>
        <w:tc>
          <w:tcPr>
            <w:tcW w:w="4281" w:type="dxa"/>
            <w:gridSpan w:val="3"/>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执法经费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3"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预算规模及资金用途</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预算数</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1550000.00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其中：财政资金</w:t>
            </w:r>
          </w:p>
        </w:tc>
        <w:tc>
          <w:tcPr>
            <w:tcW w:w="130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1550000.00</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其他资金</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3"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8279" w:type="dxa"/>
            <w:gridSpan w:val="6"/>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保障执纪问责工作顺利进行，确保党的各项方针政策落到实处，坚决查处违纪违法案件。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3" w:type="dxa"/>
            <w:vMerge w:val="restart"/>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资金支出计划（%）</w:t>
            </w: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3月底</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6月底</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10月底</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3" w:type="dxa"/>
            <w:vMerge w:val="continue"/>
            <w:vAlign w:val="top"/>
          </w:tcPr>
          <w:p>
            <w:pPr>
              <w:spacing w:line="300" w:lineRule="exact"/>
              <w:jc w:val="left"/>
              <w:outlineLvl w:val="1"/>
              <w:rPr>
                <w:rFonts w:hint="eastAsia" w:ascii="方正仿宋_GBK" w:hAnsi="方正仿宋_GBK" w:eastAsia="方正仿宋_GBK" w:cs="方正仿宋_GBK"/>
                <w:b/>
                <w:sz w:val="28"/>
                <w:u w:val="none"/>
                <w:vertAlign w:val="baseline"/>
                <w:lang w:eastAsia="zh-CN"/>
              </w:rPr>
            </w:pPr>
          </w:p>
        </w:tc>
        <w:tc>
          <w:tcPr>
            <w:tcW w:w="2410"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15.00</w:t>
            </w:r>
          </w:p>
        </w:tc>
        <w:tc>
          <w:tcPr>
            <w:tcW w:w="1588"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60.00</w:t>
            </w:r>
          </w:p>
        </w:tc>
        <w:tc>
          <w:tcPr>
            <w:tcW w:w="130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80.00</w:t>
            </w:r>
          </w:p>
        </w:tc>
        <w:tc>
          <w:tcPr>
            <w:tcW w:w="2977" w:type="dxa"/>
            <w:gridSpan w:val="2"/>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93" w:type="dxa"/>
            <w:tcBorders>
              <w:bottom w:val="nil"/>
            </w:tcBorders>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绩效目标</w:t>
            </w:r>
          </w:p>
        </w:tc>
        <w:tc>
          <w:tcPr>
            <w:tcW w:w="8279" w:type="dxa"/>
            <w:gridSpan w:val="6"/>
            <w:tcBorders>
              <w:bottom w:val="nil"/>
            </w:tcBorders>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1、巡视发现问题线索查结率</w:t>
            </w:r>
          </w:p>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2、群众举报问题线索查结率</w:t>
            </w:r>
          </w:p>
        </w:tc>
      </w:tr>
    </w:tbl>
    <w:p>
      <w:pPr>
        <w:spacing w:line="14" w:lineRule="exact"/>
        <w:ind w:firstLine="422" w:firstLineChars="200"/>
        <w:jc w:val="center"/>
        <w:outlineLvl w:val="9"/>
        <w:rPr>
          <w:rFonts w:hint="eastAsia" w:ascii="Times New Roman" w:hAnsi="宋体" w:eastAsia="宋体" w:cs="宋体"/>
          <w:b/>
          <w:sz w:val="21"/>
          <w:u w:val="none"/>
          <w:lang w:eastAsia="zh-CN"/>
        </w:rPr>
      </w:pPr>
      <w:r>
        <w:rPr>
          <w:rFonts w:hint="eastAsia" w:ascii="方正书宋_GBK" w:hAnsi="方正书宋_GBK" w:eastAsia="方正书宋_GBK" w:cs="方正书宋_GBK"/>
          <w:b/>
          <w:sz w:val="21"/>
          <w:u w:val="none"/>
          <w:lang w:eastAsia="zh-CN"/>
        </w:rPr>
        <w:t xml:space="preserve"> </w:t>
      </w:r>
    </w:p>
    <w:tbl>
      <w:tblPr>
        <w:tblStyle w:val="8"/>
        <w:tblW w:w="107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92"/>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24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一级指标</w:t>
            </w:r>
          </w:p>
        </w:tc>
        <w:tc>
          <w:tcPr>
            <w:tcW w:w="1134"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二级指标</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三级指标</w:t>
            </w:r>
          </w:p>
        </w:tc>
        <w:tc>
          <w:tcPr>
            <w:tcW w:w="28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绩效指标描述</w:t>
            </w:r>
          </w:p>
        </w:tc>
        <w:tc>
          <w:tcPr>
            <w:tcW w:w="1276"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w:t>
            </w:r>
          </w:p>
        </w:tc>
        <w:tc>
          <w:tcPr>
            <w:tcW w:w="1701"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4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产出指标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时效指标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完成率</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按照要求和计划完成研究任务的项目在所有立项项目中的比例（百分比）</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4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效果指标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社会效益指标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反映问题群众对纪委反馈结果的满意度</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执纪监督规则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2492" w:type="dxa"/>
            <w:vAlign w:val="center"/>
          </w:tcPr>
          <w:p>
            <w:pPr>
              <w:spacing w:line="300" w:lineRule="exact"/>
              <w:jc w:val="center"/>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满意度指标</w:t>
            </w:r>
          </w:p>
        </w:tc>
        <w:tc>
          <w:tcPr>
            <w:tcW w:w="1134"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服务对象满意度指标</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群众满意度</w:t>
            </w:r>
          </w:p>
        </w:tc>
        <w:tc>
          <w:tcPr>
            <w:tcW w:w="2892"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反映问题群众对纪委反馈结果的满意度</w:t>
            </w:r>
          </w:p>
        </w:tc>
        <w:tc>
          <w:tcPr>
            <w:tcW w:w="1276"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≥90百分比</w:t>
            </w:r>
          </w:p>
        </w:tc>
        <w:tc>
          <w:tcPr>
            <w:tcW w:w="1701" w:type="dxa"/>
            <w:vAlign w:val="center"/>
          </w:tcPr>
          <w:p>
            <w:pPr>
              <w:spacing w:line="300" w:lineRule="exact"/>
              <w:jc w:val="left"/>
              <w:outlineLvl w:val="9"/>
              <w:rPr>
                <w:rFonts w:hint="eastAsia" w:ascii="方正书宋_GBK" w:hAnsi="方正书宋_GBK" w:eastAsia="方正书宋_GBK" w:cs="方正书宋_GBK"/>
                <w:b/>
                <w:sz w:val="21"/>
                <w:u w:val="none"/>
                <w:vertAlign w:val="baseline"/>
                <w:lang w:eastAsia="zh-CN"/>
              </w:rPr>
            </w:pPr>
            <w:r>
              <w:rPr>
                <w:rFonts w:hint="eastAsia" w:ascii="方正书宋_GBK" w:hAnsi="方正书宋_GBK" w:eastAsia="方正书宋_GBK" w:cs="方正书宋_GBK"/>
                <w:b/>
                <w:sz w:val="21"/>
                <w:u w:val="none"/>
                <w:vertAlign w:val="baseline"/>
                <w:lang w:eastAsia="zh-CN"/>
              </w:rPr>
              <w:t>执纪监督规则</w:t>
            </w:r>
          </w:p>
        </w:tc>
      </w:tr>
    </w:tbl>
    <w:p>
      <w:pPr>
        <w:autoSpaceDE w:val="0"/>
        <w:autoSpaceDN w:val="0"/>
        <w:adjustRightInd w:val="0"/>
        <w:jc w:val="left"/>
        <w:rPr>
          <w:rFonts w:hint="eastAsia" w:ascii="黑体" w:hAnsi="黑体" w:eastAsia="黑体" w:cs="黑体"/>
          <w:sz w:val="32"/>
          <w:szCs w:val="32"/>
        </w:rPr>
      </w:pPr>
    </w:p>
    <w:p>
      <w:pPr>
        <w:autoSpaceDE w:val="0"/>
        <w:autoSpaceDN w:val="0"/>
        <w:adjustRightInd w:val="0"/>
        <w:ind w:firstLine="960" w:firstLineChars="300"/>
        <w:jc w:val="left"/>
        <w:rPr>
          <w:rFonts w:hint="eastAsia" w:ascii="黑体" w:hAnsi="黑体" w:eastAsia="黑体" w:cs="黑体"/>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outlineLvl w:val="0"/>
        <w:rPr>
          <w:rFonts w:ascii="Times New Roman" w:hAnsi="Times New Roman" w:eastAsia="仿宋" w:cs="Times New Roman"/>
          <w:sz w:val="32"/>
          <w:szCs w:val="32"/>
        </w:rPr>
      </w:pPr>
      <w:bookmarkStart w:id="11" w:name="_Toc471398468"/>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lang w:eastAsia="zh-CN"/>
        </w:rPr>
        <w:t>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lang w:val="en-US" w:eastAsia="zh-CN"/>
        </w:rPr>
        <w:t>12</w:t>
      </w:r>
      <w:r>
        <w:rPr>
          <w:rFonts w:hint="eastAsia" w:ascii="Times New Roman" w:hAnsi="Times New Roman" w:eastAsia="仿宋" w:cs="仿宋"/>
          <w:sz w:val="32"/>
          <w:szCs w:val="32"/>
        </w:rPr>
        <w:t>万元。具体内容见下表。</w:t>
      </w:r>
      <w:bookmarkEnd w:id="11"/>
    </w:p>
    <w:tbl>
      <w:tblPr>
        <w:tblStyle w:val="7"/>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1"/>
        <w:gridCol w:w="1161"/>
        <w:gridCol w:w="827"/>
        <w:gridCol w:w="951"/>
        <w:gridCol w:w="502"/>
        <w:gridCol w:w="741"/>
        <w:gridCol w:w="1161"/>
        <w:gridCol w:w="1275"/>
        <w:gridCol w:w="1275"/>
        <w:gridCol w:w="1275"/>
        <w:gridCol w:w="688"/>
        <w:gridCol w:w="818"/>
        <w:gridCol w:w="818"/>
        <w:gridCol w:w="7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644"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222</w:t>
            </w:r>
            <w:r>
              <w:rPr>
                <w:rFonts w:hint="eastAsia" w:ascii="方正小标宋_GBK" w:eastAsia="方正小标宋_GBK" w:cs="方正小标宋_GBK"/>
                <w:sz w:val="24"/>
                <w:szCs w:val="24"/>
              </w:rPr>
              <w:t>隆尧县纪委</w:t>
            </w:r>
          </w:p>
        </w:tc>
        <w:tc>
          <w:tcPr>
            <w:tcW w:w="6924"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Times New Roman"/>
                <w:sz w:val="24"/>
                <w:szCs w:val="24"/>
              </w:rPr>
            </w:pPr>
            <w:r>
              <w:rPr>
                <w:rFonts w:hint="eastAsia" w:ascii="方正书宋_GBK" w:eastAsia="方正书宋_GBK" w:cs="方正书宋_GBK"/>
                <w:sz w:val="24"/>
                <w:szCs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62" w:type="dxa"/>
            <w:gridSpan w:val="2"/>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政府采购项目来源</w:t>
            </w:r>
          </w:p>
        </w:tc>
        <w:tc>
          <w:tcPr>
            <w:tcW w:w="827"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采购物品名称</w:t>
            </w:r>
          </w:p>
        </w:tc>
        <w:tc>
          <w:tcPr>
            <w:tcW w:w="95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政府采购目录序号</w:t>
            </w:r>
          </w:p>
        </w:tc>
        <w:tc>
          <w:tcPr>
            <w:tcW w:w="502"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74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数量</w:t>
            </w:r>
          </w:p>
        </w:tc>
        <w:tc>
          <w:tcPr>
            <w:tcW w:w="116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单价</w:t>
            </w:r>
          </w:p>
        </w:tc>
        <w:tc>
          <w:tcPr>
            <w:tcW w:w="6924" w:type="dxa"/>
            <w:gridSpan w:val="7"/>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30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项目名称</w:t>
            </w:r>
          </w:p>
        </w:tc>
        <w:tc>
          <w:tcPr>
            <w:tcW w:w="1161"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预算资金</w:t>
            </w:r>
          </w:p>
        </w:tc>
        <w:tc>
          <w:tcPr>
            <w:tcW w:w="827"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502" w:type="dxa"/>
            <w:vMerge w:val="continue"/>
            <w:vAlign w:val="center"/>
          </w:tcPr>
          <w:p>
            <w:pPr>
              <w:spacing w:line="300" w:lineRule="exact"/>
              <w:jc w:val="left"/>
              <w:outlineLvl w:val="0"/>
              <w:rPr>
                <w:rFonts w:cs="Times New Roman"/>
              </w:rPr>
            </w:pPr>
          </w:p>
        </w:tc>
        <w:tc>
          <w:tcPr>
            <w:tcW w:w="741" w:type="dxa"/>
            <w:vMerge w:val="continue"/>
            <w:vAlign w:val="center"/>
          </w:tcPr>
          <w:p>
            <w:pPr>
              <w:spacing w:line="300" w:lineRule="exact"/>
              <w:jc w:val="left"/>
              <w:outlineLvl w:val="0"/>
              <w:rPr>
                <w:rFonts w:cs="Times New Roman"/>
              </w:rPr>
            </w:pPr>
          </w:p>
        </w:tc>
        <w:tc>
          <w:tcPr>
            <w:tcW w:w="1161" w:type="dxa"/>
            <w:vMerge w:val="continue"/>
            <w:vAlign w:val="center"/>
          </w:tcPr>
          <w:p>
            <w:pPr>
              <w:spacing w:line="300" w:lineRule="exact"/>
              <w:jc w:val="left"/>
              <w:outlineLvl w:val="0"/>
              <w:rPr>
                <w:rFonts w:cs="Times New Roman"/>
              </w:rPr>
            </w:pPr>
          </w:p>
        </w:tc>
        <w:tc>
          <w:tcPr>
            <w:tcW w:w="1275"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总计</w:t>
            </w:r>
          </w:p>
        </w:tc>
        <w:tc>
          <w:tcPr>
            <w:tcW w:w="4874" w:type="dxa"/>
            <w:gridSpan w:val="5"/>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当年部门预算安排资金</w:t>
            </w:r>
          </w:p>
        </w:tc>
        <w:tc>
          <w:tcPr>
            <w:tcW w:w="775" w:type="dxa"/>
            <w:vMerge w:val="restart"/>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301" w:type="dxa"/>
            <w:vMerge w:val="continue"/>
            <w:vAlign w:val="center"/>
          </w:tcPr>
          <w:p>
            <w:pPr>
              <w:spacing w:line="300" w:lineRule="exact"/>
              <w:jc w:val="left"/>
              <w:outlineLvl w:val="0"/>
              <w:rPr>
                <w:rFonts w:cs="Times New Roman"/>
              </w:rPr>
            </w:pPr>
          </w:p>
        </w:tc>
        <w:tc>
          <w:tcPr>
            <w:tcW w:w="1161" w:type="dxa"/>
            <w:vMerge w:val="continue"/>
            <w:vAlign w:val="center"/>
          </w:tcPr>
          <w:p>
            <w:pPr>
              <w:spacing w:line="300" w:lineRule="exact"/>
              <w:jc w:val="left"/>
              <w:outlineLvl w:val="0"/>
              <w:rPr>
                <w:rFonts w:cs="Times New Roman"/>
              </w:rPr>
            </w:pPr>
          </w:p>
        </w:tc>
        <w:tc>
          <w:tcPr>
            <w:tcW w:w="827" w:type="dxa"/>
            <w:vMerge w:val="continue"/>
            <w:vAlign w:val="center"/>
          </w:tcPr>
          <w:p>
            <w:pPr>
              <w:spacing w:line="300" w:lineRule="exact"/>
              <w:jc w:val="left"/>
              <w:outlineLvl w:val="0"/>
              <w:rPr>
                <w:rFonts w:cs="Times New Roman"/>
              </w:rPr>
            </w:pPr>
          </w:p>
        </w:tc>
        <w:tc>
          <w:tcPr>
            <w:tcW w:w="951" w:type="dxa"/>
            <w:vMerge w:val="continue"/>
            <w:vAlign w:val="center"/>
          </w:tcPr>
          <w:p>
            <w:pPr>
              <w:spacing w:line="300" w:lineRule="exact"/>
              <w:jc w:val="left"/>
              <w:outlineLvl w:val="0"/>
              <w:rPr>
                <w:rFonts w:cs="Times New Roman"/>
              </w:rPr>
            </w:pPr>
          </w:p>
        </w:tc>
        <w:tc>
          <w:tcPr>
            <w:tcW w:w="502" w:type="dxa"/>
            <w:vMerge w:val="continue"/>
            <w:vAlign w:val="center"/>
          </w:tcPr>
          <w:p>
            <w:pPr>
              <w:spacing w:line="300" w:lineRule="exact"/>
              <w:jc w:val="left"/>
              <w:outlineLvl w:val="0"/>
              <w:rPr>
                <w:rFonts w:cs="Times New Roman"/>
              </w:rPr>
            </w:pPr>
          </w:p>
        </w:tc>
        <w:tc>
          <w:tcPr>
            <w:tcW w:w="741" w:type="dxa"/>
            <w:vMerge w:val="continue"/>
            <w:vAlign w:val="center"/>
          </w:tcPr>
          <w:p>
            <w:pPr>
              <w:spacing w:line="300" w:lineRule="exact"/>
              <w:jc w:val="left"/>
              <w:outlineLvl w:val="0"/>
              <w:rPr>
                <w:rFonts w:cs="Times New Roman"/>
              </w:rPr>
            </w:pPr>
          </w:p>
        </w:tc>
        <w:tc>
          <w:tcPr>
            <w:tcW w:w="1161" w:type="dxa"/>
            <w:vMerge w:val="continue"/>
            <w:vAlign w:val="center"/>
          </w:tcPr>
          <w:p>
            <w:pPr>
              <w:spacing w:line="300" w:lineRule="exact"/>
              <w:jc w:val="left"/>
              <w:outlineLvl w:val="0"/>
              <w:rPr>
                <w:rFonts w:cs="Times New Roman"/>
              </w:rPr>
            </w:pPr>
          </w:p>
        </w:tc>
        <w:tc>
          <w:tcPr>
            <w:tcW w:w="1275" w:type="dxa"/>
            <w:vMerge w:val="continue"/>
            <w:vAlign w:val="center"/>
          </w:tcPr>
          <w:p>
            <w:pPr>
              <w:spacing w:line="300" w:lineRule="exact"/>
              <w:jc w:val="left"/>
              <w:outlineLvl w:val="0"/>
              <w:rPr>
                <w:rFonts w:cs="Times New Roman"/>
              </w:rPr>
            </w:pPr>
          </w:p>
        </w:tc>
        <w:tc>
          <w:tcPr>
            <w:tcW w:w="1275"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合计</w:t>
            </w:r>
          </w:p>
        </w:tc>
        <w:tc>
          <w:tcPr>
            <w:tcW w:w="1275"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一般公共预算拨款</w:t>
            </w:r>
          </w:p>
        </w:tc>
        <w:tc>
          <w:tcPr>
            <w:tcW w:w="688"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基金预算拨款</w:t>
            </w:r>
          </w:p>
        </w:tc>
        <w:tc>
          <w:tcPr>
            <w:tcW w:w="818"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财政专户核拨</w:t>
            </w:r>
          </w:p>
        </w:tc>
        <w:tc>
          <w:tcPr>
            <w:tcW w:w="818"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其他来源收入</w:t>
            </w:r>
          </w:p>
        </w:tc>
        <w:tc>
          <w:tcPr>
            <w:tcW w:w="775" w:type="dxa"/>
            <w:vMerge w:val="continue"/>
            <w:vAlign w:val="center"/>
          </w:tcPr>
          <w:p>
            <w:pPr>
              <w:spacing w:line="300" w:lineRule="exact"/>
              <w:jc w:val="left"/>
              <w:outlineLvl w:val="0"/>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合　计</w:t>
            </w:r>
          </w:p>
        </w:tc>
        <w:tc>
          <w:tcPr>
            <w:tcW w:w="1161" w:type="dxa"/>
            <w:vAlign w:val="center"/>
          </w:tcPr>
          <w:p>
            <w:pPr>
              <w:spacing w:line="300" w:lineRule="exact"/>
              <w:jc w:val="right"/>
              <w:rPr>
                <w:rFonts w:ascii="方正书宋_GBK" w:eastAsia="方正书宋_GBK" w:cs="Times New Roman"/>
                <w:b/>
                <w:bCs/>
              </w:rPr>
            </w:pPr>
          </w:p>
        </w:tc>
        <w:tc>
          <w:tcPr>
            <w:tcW w:w="827" w:type="dxa"/>
            <w:vAlign w:val="center"/>
          </w:tcPr>
          <w:p>
            <w:pPr>
              <w:spacing w:line="300" w:lineRule="exact"/>
              <w:jc w:val="left"/>
              <w:rPr>
                <w:rFonts w:ascii="方正书宋_GBK" w:eastAsia="方正书宋_GBK" w:cs="Times New Roman"/>
                <w:b/>
                <w:bCs/>
              </w:rPr>
            </w:pPr>
          </w:p>
        </w:tc>
        <w:tc>
          <w:tcPr>
            <w:tcW w:w="951" w:type="dxa"/>
            <w:vAlign w:val="center"/>
          </w:tcPr>
          <w:p>
            <w:pPr>
              <w:spacing w:line="300" w:lineRule="exact"/>
              <w:jc w:val="left"/>
              <w:rPr>
                <w:rFonts w:ascii="方正书宋_GBK" w:eastAsia="方正书宋_GBK" w:cs="Times New Roman"/>
                <w:b/>
                <w:bCs/>
              </w:rPr>
            </w:pPr>
          </w:p>
        </w:tc>
        <w:tc>
          <w:tcPr>
            <w:tcW w:w="502" w:type="dxa"/>
            <w:vAlign w:val="center"/>
          </w:tcPr>
          <w:p>
            <w:pPr>
              <w:spacing w:line="300" w:lineRule="exact"/>
              <w:jc w:val="left"/>
              <w:rPr>
                <w:rFonts w:ascii="方正书宋_GBK" w:eastAsia="方正书宋_GBK" w:cs="Times New Roman"/>
                <w:b/>
                <w:bCs/>
              </w:rPr>
            </w:pPr>
          </w:p>
        </w:tc>
        <w:tc>
          <w:tcPr>
            <w:tcW w:w="741" w:type="dxa"/>
            <w:vAlign w:val="center"/>
          </w:tcPr>
          <w:p>
            <w:pPr>
              <w:spacing w:line="300" w:lineRule="exact"/>
              <w:jc w:val="right"/>
              <w:rPr>
                <w:rFonts w:ascii="方正书宋_GBK" w:eastAsia="方正书宋_GBK" w:cs="Times New Roman"/>
                <w:b/>
                <w:bCs/>
              </w:rPr>
            </w:pPr>
          </w:p>
        </w:tc>
        <w:tc>
          <w:tcPr>
            <w:tcW w:w="1161" w:type="dxa"/>
            <w:vAlign w:val="center"/>
          </w:tcPr>
          <w:p>
            <w:pPr>
              <w:spacing w:line="300" w:lineRule="exact"/>
              <w:jc w:val="right"/>
              <w:rPr>
                <w:rFonts w:ascii="方正书宋_GBK" w:eastAsia="方正书宋_GBK" w:cs="Times New Roman"/>
                <w:b/>
                <w:bCs/>
              </w:rPr>
            </w:pPr>
          </w:p>
        </w:tc>
        <w:tc>
          <w:tcPr>
            <w:tcW w:w="1275" w:type="dxa"/>
            <w:vAlign w:val="center"/>
          </w:tcPr>
          <w:p>
            <w:pPr>
              <w:spacing w:line="300" w:lineRule="exact"/>
              <w:jc w:val="right"/>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120000.</w:t>
            </w:r>
          </w:p>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00</w:t>
            </w:r>
          </w:p>
        </w:tc>
        <w:tc>
          <w:tcPr>
            <w:tcW w:w="1275" w:type="dxa"/>
            <w:vAlign w:val="center"/>
          </w:tcPr>
          <w:p>
            <w:pPr>
              <w:spacing w:line="300" w:lineRule="exact"/>
              <w:jc w:val="right"/>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120000.</w:t>
            </w:r>
          </w:p>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00</w:t>
            </w:r>
          </w:p>
        </w:tc>
        <w:tc>
          <w:tcPr>
            <w:tcW w:w="1275" w:type="dxa"/>
            <w:vAlign w:val="center"/>
          </w:tcPr>
          <w:p>
            <w:pPr>
              <w:spacing w:line="300" w:lineRule="exact"/>
              <w:jc w:val="right"/>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120000.</w:t>
            </w:r>
          </w:p>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00</w:t>
            </w:r>
          </w:p>
        </w:tc>
        <w:tc>
          <w:tcPr>
            <w:tcW w:w="688" w:type="dxa"/>
            <w:vAlign w:val="center"/>
          </w:tcPr>
          <w:p>
            <w:pPr>
              <w:spacing w:line="300" w:lineRule="exact"/>
              <w:jc w:val="right"/>
              <w:rPr>
                <w:rFonts w:ascii="方正书宋_GBK" w:eastAsia="方正书宋_GBK" w:cs="方正书宋_GBK"/>
                <w:b/>
                <w:bCs/>
              </w:rPr>
            </w:pPr>
          </w:p>
        </w:tc>
        <w:tc>
          <w:tcPr>
            <w:tcW w:w="818" w:type="dxa"/>
            <w:vAlign w:val="center"/>
          </w:tcPr>
          <w:p>
            <w:pPr>
              <w:spacing w:line="300" w:lineRule="exact"/>
              <w:jc w:val="right"/>
              <w:rPr>
                <w:rFonts w:ascii="方正书宋_GBK" w:eastAsia="方正书宋_GBK" w:cs="方正书宋_GBK"/>
                <w:b/>
                <w:bCs/>
              </w:rPr>
            </w:pPr>
          </w:p>
        </w:tc>
        <w:tc>
          <w:tcPr>
            <w:tcW w:w="818" w:type="dxa"/>
            <w:vAlign w:val="center"/>
          </w:tcPr>
          <w:p>
            <w:pPr>
              <w:spacing w:line="300" w:lineRule="exact"/>
              <w:jc w:val="right"/>
              <w:rPr>
                <w:rFonts w:ascii="方正书宋_GBK" w:eastAsia="方正书宋_GBK" w:cs="方正书宋_GBK"/>
                <w:b/>
                <w:bCs/>
              </w:rPr>
            </w:pPr>
          </w:p>
        </w:tc>
        <w:tc>
          <w:tcPr>
            <w:tcW w:w="775"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1" w:type="dxa"/>
            <w:vAlign w:val="center"/>
          </w:tcPr>
          <w:p>
            <w:pPr>
              <w:spacing w:line="300" w:lineRule="exact"/>
              <w:jc w:val="center"/>
              <w:rPr>
                <w:rFonts w:ascii="方正书宋_GBK" w:eastAsia="方正书宋_GBK" w:cs="Times New Roman"/>
                <w:b/>
                <w:bCs/>
              </w:rPr>
            </w:pPr>
            <w:r>
              <w:rPr>
                <w:rFonts w:hint="eastAsia" w:ascii="方正书宋_GBK" w:eastAsia="方正书宋_GBK" w:cs="方正书宋_GBK"/>
                <w:b/>
                <w:bCs/>
              </w:rPr>
              <w:t>中国共产党隆尧县纪律检查委员会小计</w:t>
            </w:r>
          </w:p>
        </w:tc>
        <w:tc>
          <w:tcPr>
            <w:tcW w:w="1161" w:type="dxa"/>
            <w:vAlign w:val="center"/>
          </w:tcPr>
          <w:p>
            <w:pPr>
              <w:spacing w:line="300" w:lineRule="exact"/>
              <w:jc w:val="right"/>
              <w:rPr>
                <w:rFonts w:ascii="方正书宋_GBK" w:eastAsia="方正书宋_GBK" w:cs="Times New Roman"/>
                <w:b/>
                <w:bCs/>
              </w:rPr>
            </w:pPr>
          </w:p>
        </w:tc>
        <w:tc>
          <w:tcPr>
            <w:tcW w:w="827" w:type="dxa"/>
            <w:vAlign w:val="center"/>
          </w:tcPr>
          <w:p>
            <w:pPr>
              <w:spacing w:line="300" w:lineRule="exact"/>
              <w:jc w:val="left"/>
              <w:rPr>
                <w:rFonts w:ascii="方正书宋_GBK" w:eastAsia="方正书宋_GBK" w:cs="Times New Roman"/>
                <w:b/>
                <w:bCs/>
              </w:rPr>
            </w:pPr>
          </w:p>
        </w:tc>
        <w:tc>
          <w:tcPr>
            <w:tcW w:w="951" w:type="dxa"/>
            <w:vAlign w:val="center"/>
          </w:tcPr>
          <w:p>
            <w:pPr>
              <w:spacing w:line="300" w:lineRule="exact"/>
              <w:jc w:val="left"/>
              <w:rPr>
                <w:rFonts w:ascii="方正书宋_GBK" w:eastAsia="方正书宋_GBK" w:cs="Times New Roman"/>
                <w:b/>
                <w:bCs/>
              </w:rPr>
            </w:pPr>
          </w:p>
        </w:tc>
        <w:tc>
          <w:tcPr>
            <w:tcW w:w="502" w:type="dxa"/>
            <w:vAlign w:val="center"/>
          </w:tcPr>
          <w:p>
            <w:pPr>
              <w:spacing w:line="300" w:lineRule="exact"/>
              <w:jc w:val="left"/>
              <w:rPr>
                <w:rFonts w:ascii="方正书宋_GBK" w:eastAsia="方正书宋_GBK" w:cs="Times New Roman"/>
                <w:b/>
                <w:bCs/>
              </w:rPr>
            </w:pPr>
          </w:p>
        </w:tc>
        <w:tc>
          <w:tcPr>
            <w:tcW w:w="741" w:type="dxa"/>
            <w:vAlign w:val="center"/>
          </w:tcPr>
          <w:p>
            <w:pPr>
              <w:spacing w:line="300" w:lineRule="exact"/>
              <w:jc w:val="right"/>
              <w:rPr>
                <w:rFonts w:ascii="方正书宋_GBK" w:eastAsia="方正书宋_GBK" w:cs="Times New Roman"/>
                <w:b/>
                <w:bCs/>
              </w:rPr>
            </w:pPr>
          </w:p>
        </w:tc>
        <w:tc>
          <w:tcPr>
            <w:tcW w:w="1161" w:type="dxa"/>
            <w:vAlign w:val="center"/>
          </w:tcPr>
          <w:p>
            <w:pPr>
              <w:spacing w:line="300" w:lineRule="exact"/>
              <w:jc w:val="right"/>
              <w:rPr>
                <w:rFonts w:ascii="方正书宋_GBK" w:eastAsia="方正书宋_GBK" w:cs="Times New Roman"/>
                <w:b/>
                <w:bCs/>
              </w:rPr>
            </w:pPr>
          </w:p>
        </w:tc>
        <w:tc>
          <w:tcPr>
            <w:tcW w:w="1275" w:type="dxa"/>
            <w:vAlign w:val="center"/>
          </w:tcPr>
          <w:p>
            <w:pPr>
              <w:spacing w:line="300" w:lineRule="exact"/>
              <w:jc w:val="right"/>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120000.</w:t>
            </w:r>
          </w:p>
          <w:p>
            <w:pPr>
              <w:spacing w:line="300" w:lineRule="exact"/>
              <w:jc w:val="right"/>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00</w:t>
            </w:r>
          </w:p>
        </w:tc>
        <w:tc>
          <w:tcPr>
            <w:tcW w:w="1275" w:type="dxa"/>
            <w:vAlign w:val="center"/>
          </w:tcPr>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12000</w:t>
            </w:r>
            <w:r>
              <w:rPr>
                <w:rFonts w:ascii="方正书宋_GBK" w:eastAsia="方正书宋_GBK" w:cs="方正书宋_GBK"/>
                <w:b/>
                <w:bCs/>
              </w:rPr>
              <w:t>0.00</w:t>
            </w:r>
          </w:p>
        </w:tc>
        <w:tc>
          <w:tcPr>
            <w:tcW w:w="1275" w:type="dxa"/>
            <w:vAlign w:val="center"/>
          </w:tcPr>
          <w:p>
            <w:pPr>
              <w:spacing w:line="300" w:lineRule="exact"/>
              <w:jc w:val="right"/>
              <w:rPr>
                <w:rFonts w:hint="eastAsia" w:ascii="方正书宋_GBK" w:eastAsia="方正书宋_GBK" w:cs="方正书宋_GBK"/>
                <w:b/>
                <w:bCs/>
                <w:lang w:val="en-US" w:eastAsia="zh-CN"/>
              </w:rPr>
            </w:pPr>
            <w:r>
              <w:rPr>
                <w:rFonts w:hint="eastAsia" w:ascii="方正书宋_GBK" w:eastAsia="方正书宋_GBK" w:cs="方正书宋_GBK"/>
                <w:b/>
                <w:bCs/>
                <w:lang w:val="en-US" w:eastAsia="zh-CN"/>
              </w:rPr>
              <w:t>120000.</w:t>
            </w:r>
          </w:p>
          <w:p>
            <w:pPr>
              <w:spacing w:line="300" w:lineRule="exact"/>
              <w:jc w:val="right"/>
              <w:rPr>
                <w:rFonts w:ascii="方正书宋_GBK" w:eastAsia="方正书宋_GBK" w:cs="方正书宋_GBK"/>
                <w:b/>
                <w:bCs/>
              </w:rPr>
            </w:pPr>
            <w:r>
              <w:rPr>
                <w:rFonts w:hint="eastAsia" w:ascii="方正书宋_GBK" w:eastAsia="方正书宋_GBK" w:cs="方正书宋_GBK"/>
                <w:b/>
                <w:bCs/>
                <w:lang w:val="en-US" w:eastAsia="zh-CN"/>
              </w:rPr>
              <w:t>00</w:t>
            </w:r>
          </w:p>
        </w:tc>
        <w:tc>
          <w:tcPr>
            <w:tcW w:w="688" w:type="dxa"/>
            <w:vAlign w:val="center"/>
          </w:tcPr>
          <w:p>
            <w:pPr>
              <w:spacing w:line="300" w:lineRule="exact"/>
              <w:jc w:val="right"/>
              <w:rPr>
                <w:rFonts w:ascii="方正书宋_GBK" w:eastAsia="方正书宋_GBK" w:cs="方正书宋_GBK"/>
                <w:b/>
                <w:bCs/>
              </w:rPr>
            </w:pPr>
          </w:p>
        </w:tc>
        <w:tc>
          <w:tcPr>
            <w:tcW w:w="818" w:type="dxa"/>
            <w:vAlign w:val="center"/>
          </w:tcPr>
          <w:p>
            <w:pPr>
              <w:spacing w:line="300" w:lineRule="exact"/>
              <w:jc w:val="right"/>
              <w:rPr>
                <w:rFonts w:ascii="方正书宋_GBK" w:eastAsia="方正书宋_GBK" w:cs="方正书宋_GBK"/>
                <w:b/>
                <w:bCs/>
              </w:rPr>
            </w:pPr>
          </w:p>
        </w:tc>
        <w:tc>
          <w:tcPr>
            <w:tcW w:w="818" w:type="dxa"/>
            <w:vAlign w:val="center"/>
          </w:tcPr>
          <w:p>
            <w:pPr>
              <w:spacing w:line="300" w:lineRule="exact"/>
              <w:jc w:val="right"/>
              <w:rPr>
                <w:rFonts w:ascii="方正书宋_GBK" w:eastAsia="方正书宋_GBK" w:cs="方正书宋_GBK"/>
                <w:b/>
                <w:bCs/>
              </w:rPr>
            </w:pPr>
          </w:p>
        </w:tc>
        <w:tc>
          <w:tcPr>
            <w:tcW w:w="775"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乡镇纪委工作保障经费</w:t>
            </w:r>
          </w:p>
        </w:tc>
        <w:tc>
          <w:tcPr>
            <w:tcW w:w="116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24</w:t>
            </w:r>
            <w:r>
              <w:rPr>
                <w:rFonts w:ascii="方正书宋_GBK" w:eastAsia="方正书宋_GBK" w:cs="方正书宋_GBK"/>
              </w:rPr>
              <w:t>0000.00</w:t>
            </w:r>
          </w:p>
        </w:tc>
        <w:tc>
          <w:tcPr>
            <w:tcW w:w="8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办公设备</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A0202</w:t>
            </w:r>
          </w:p>
        </w:tc>
        <w:tc>
          <w:tcPr>
            <w:tcW w:w="502"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台</w:t>
            </w:r>
          </w:p>
        </w:tc>
        <w:tc>
          <w:tcPr>
            <w:tcW w:w="741" w:type="dxa"/>
            <w:vAlign w:val="center"/>
          </w:tcPr>
          <w:p>
            <w:pPr>
              <w:spacing w:line="300" w:lineRule="exact"/>
              <w:jc w:val="right"/>
              <w:rPr>
                <w:rFonts w:ascii="方正书宋_GBK" w:eastAsia="方正书宋_GBK" w:cs="方正书宋_GBK"/>
              </w:rPr>
            </w:pPr>
            <w:r>
              <w:rPr>
                <w:rFonts w:ascii="方正书宋_GBK" w:eastAsia="方正书宋_GBK" w:cs="方正书宋_GBK"/>
              </w:rPr>
              <w:t>10</w:t>
            </w:r>
          </w:p>
        </w:tc>
        <w:tc>
          <w:tcPr>
            <w:tcW w:w="1161" w:type="dxa"/>
            <w:vAlign w:val="center"/>
          </w:tcPr>
          <w:p>
            <w:pPr>
              <w:spacing w:line="300" w:lineRule="exact"/>
              <w:jc w:val="right"/>
              <w:rPr>
                <w:rFonts w:ascii="方正书宋_GBK" w:eastAsia="方正书宋_GBK" w:cs="方正书宋_GBK"/>
              </w:rPr>
            </w:pPr>
            <w:r>
              <w:rPr>
                <w:rFonts w:ascii="方正书宋_GBK" w:eastAsia="方正书宋_GBK" w:cs="方正书宋_GBK"/>
              </w:rPr>
              <w:t>5000.00</w:t>
            </w:r>
          </w:p>
        </w:tc>
        <w:tc>
          <w:tcPr>
            <w:tcW w:w="1275" w:type="dxa"/>
            <w:vAlign w:val="center"/>
          </w:tcPr>
          <w:p>
            <w:pPr>
              <w:spacing w:line="300" w:lineRule="exact"/>
              <w:jc w:val="right"/>
              <w:rPr>
                <w:rFonts w:ascii="方正书宋_GBK" w:eastAsia="方正书宋_GBK" w:cs="方正书宋_GBK"/>
              </w:rPr>
            </w:pPr>
            <w:r>
              <w:rPr>
                <w:rFonts w:ascii="方正书宋_GBK" w:eastAsia="方正书宋_GBK" w:cs="方正书宋_GBK"/>
              </w:rPr>
              <w:t>50000.00</w:t>
            </w:r>
          </w:p>
        </w:tc>
        <w:tc>
          <w:tcPr>
            <w:tcW w:w="1275" w:type="dxa"/>
            <w:vAlign w:val="center"/>
          </w:tcPr>
          <w:p>
            <w:pPr>
              <w:spacing w:line="300" w:lineRule="exact"/>
              <w:jc w:val="right"/>
              <w:rPr>
                <w:rFonts w:ascii="方正书宋_GBK" w:eastAsia="方正书宋_GBK" w:cs="方正书宋_GBK"/>
              </w:rPr>
            </w:pPr>
            <w:r>
              <w:rPr>
                <w:rFonts w:ascii="方正书宋_GBK" w:eastAsia="方正书宋_GBK" w:cs="方正书宋_GBK"/>
              </w:rPr>
              <w:t>50000.00</w:t>
            </w:r>
          </w:p>
        </w:tc>
        <w:tc>
          <w:tcPr>
            <w:tcW w:w="1275" w:type="dxa"/>
            <w:vAlign w:val="center"/>
          </w:tcPr>
          <w:p>
            <w:pPr>
              <w:spacing w:line="300" w:lineRule="exact"/>
              <w:jc w:val="right"/>
              <w:rPr>
                <w:rFonts w:ascii="方正书宋_GBK" w:eastAsia="方正书宋_GBK" w:cs="方正书宋_GBK"/>
              </w:rPr>
            </w:pPr>
            <w:r>
              <w:rPr>
                <w:rFonts w:ascii="方正书宋_GBK" w:eastAsia="方正书宋_GBK" w:cs="方正书宋_GBK"/>
              </w:rPr>
              <w:t>50000.00</w:t>
            </w:r>
          </w:p>
        </w:tc>
        <w:tc>
          <w:tcPr>
            <w:tcW w:w="688" w:type="dxa"/>
            <w:vAlign w:val="center"/>
          </w:tcPr>
          <w:p>
            <w:pPr>
              <w:spacing w:line="300" w:lineRule="exact"/>
              <w:jc w:val="right"/>
              <w:rPr>
                <w:rFonts w:ascii="方正书宋_GBK" w:eastAsia="方正书宋_GBK" w:cs="方正书宋_GBK"/>
              </w:rPr>
            </w:pPr>
          </w:p>
        </w:tc>
        <w:tc>
          <w:tcPr>
            <w:tcW w:w="818" w:type="dxa"/>
            <w:vAlign w:val="center"/>
          </w:tcPr>
          <w:p>
            <w:pPr>
              <w:spacing w:line="300" w:lineRule="exact"/>
              <w:jc w:val="right"/>
              <w:rPr>
                <w:rFonts w:ascii="方正书宋_GBK" w:eastAsia="方正书宋_GBK" w:cs="方正书宋_GBK"/>
              </w:rPr>
            </w:pPr>
          </w:p>
        </w:tc>
        <w:tc>
          <w:tcPr>
            <w:tcW w:w="818" w:type="dxa"/>
            <w:vAlign w:val="center"/>
          </w:tcPr>
          <w:p>
            <w:pPr>
              <w:spacing w:line="300" w:lineRule="exact"/>
              <w:jc w:val="right"/>
              <w:rPr>
                <w:rFonts w:ascii="方正书宋_GBK" w:eastAsia="方正书宋_GBK" w:cs="方正书宋_GBK"/>
              </w:rPr>
            </w:pPr>
          </w:p>
        </w:tc>
        <w:tc>
          <w:tcPr>
            <w:tcW w:w="775"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23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县委巡察办日常保障经费</w:t>
            </w:r>
          </w:p>
        </w:tc>
        <w:tc>
          <w:tcPr>
            <w:tcW w:w="116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550000</w:t>
            </w:r>
            <w:r>
              <w:rPr>
                <w:rFonts w:ascii="方正书宋_GBK" w:eastAsia="方正书宋_GBK" w:cs="方正书宋_GBK"/>
              </w:rPr>
              <w:t>.00</w:t>
            </w:r>
          </w:p>
        </w:tc>
        <w:tc>
          <w:tcPr>
            <w:tcW w:w="827"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方正书宋_GBK"/>
                <w:lang w:eastAsia="zh-CN"/>
              </w:rPr>
              <w:t>办公设备</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A0202</w:t>
            </w:r>
          </w:p>
        </w:tc>
        <w:tc>
          <w:tcPr>
            <w:tcW w:w="502"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台</w:t>
            </w:r>
          </w:p>
        </w:tc>
        <w:tc>
          <w:tcPr>
            <w:tcW w:w="74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4</w:t>
            </w:r>
          </w:p>
        </w:tc>
        <w:tc>
          <w:tcPr>
            <w:tcW w:w="1161" w:type="dxa"/>
            <w:vAlign w:val="center"/>
          </w:tcPr>
          <w:p>
            <w:pPr>
              <w:spacing w:line="300" w:lineRule="exact"/>
              <w:jc w:val="right"/>
              <w:rPr>
                <w:rFonts w:hint="eastAsia" w:ascii="方正书宋_GBK" w:eastAsia="方正书宋_GBK" w:cs="方正书宋_GBK"/>
                <w:lang w:eastAsia="zh-CN"/>
              </w:rPr>
            </w:pPr>
            <w:r>
              <w:rPr>
                <w:rFonts w:hint="eastAsia" w:ascii="方正书宋_GBK" w:eastAsia="方正书宋_GBK" w:cs="方正书宋_GBK"/>
                <w:lang w:val="en-US" w:eastAsia="zh-CN"/>
              </w:rPr>
              <w:t>2500.00</w:t>
            </w:r>
          </w:p>
        </w:tc>
        <w:tc>
          <w:tcPr>
            <w:tcW w:w="1275"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10000</w:t>
            </w:r>
            <w:r>
              <w:rPr>
                <w:rFonts w:ascii="方正书宋_GBK" w:eastAsia="方正书宋_GBK" w:cs="方正书宋_GBK"/>
              </w:rPr>
              <w:t>.00</w:t>
            </w:r>
          </w:p>
        </w:tc>
        <w:tc>
          <w:tcPr>
            <w:tcW w:w="1275"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10000</w:t>
            </w:r>
            <w:r>
              <w:rPr>
                <w:rFonts w:ascii="方正书宋_GBK" w:eastAsia="方正书宋_GBK" w:cs="方正书宋_GBK"/>
              </w:rPr>
              <w:t>.00</w:t>
            </w:r>
          </w:p>
        </w:tc>
        <w:tc>
          <w:tcPr>
            <w:tcW w:w="1275"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10000</w:t>
            </w:r>
            <w:r>
              <w:rPr>
                <w:rFonts w:ascii="方正书宋_GBK" w:eastAsia="方正书宋_GBK" w:cs="方正书宋_GBK"/>
              </w:rPr>
              <w:t>.00</w:t>
            </w:r>
          </w:p>
        </w:tc>
        <w:tc>
          <w:tcPr>
            <w:tcW w:w="688" w:type="dxa"/>
            <w:vAlign w:val="center"/>
          </w:tcPr>
          <w:p>
            <w:pPr>
              <w:spacing w:line="300" w:lineRule="exact"/>
              <w:jc w:val="right"/>
              <w:rPr>
                <w:rFonts w:ascii="方正书宋_GBK" w:eastAsia="方正书宋_GBK" w:cs="方正书宋_GBK"/>
              </w:rPr>
            </w:pPr>
          </w:p>
        </w:tc>
        <w:tc>
          <w:tcPr>
            <w:tcW w:w="818" w:type="dxa"/>
            <w:vAlign w:val="center"/>
          </w:tcPr>
          <w:p>
            <w:pPr>
              <w:spacing w:line="300" w:lineRule="exact"/>
              <w:jc w:val="right"/>
              <w:rPr>
                <w:rFonts w:ascii="方正书宋_GBK" w:eastAsia="方正书宋_GBK" w:cs="方正书宋_GBK"/>
              </w:rPr>
            </w:pPr>
          </w:p>
        </w:tc>
        <w:tc>
          <w:tcPr>
            <w:tcW w:w="818" w:type="dxa"/>
            <w:vAlign w:val="center"/>
          </w:tcPr>
          <w:p>
            <w:pPr>
              <w:spacing w:line="300" w:lineRule="exact"/>
              <w:jc w:val="right"/>
              <w:rPr>
                <w:rFonts w:ascii="方正书宋_GBK" w:eastAsia="方正书宋_GBK" w:cs="方正书宋_GBK"/>
              </w:rPr>
            </w:pPr>
          </w:p>
        </w:tc>
        <w:tc>
          <w:tcPr>
            <w:tcW w:w="775"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301"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执法经费</w:t>
            </w:r>
          </w:p>
        </w:tc>
        <w:tc>
          <w:tcPr>
            <w:tcW w:w="1161" w:type="dxa"/>
            <w:vAlign w:val="center"/>
          </w:tcPr>
          <w:p>
            <w:pPr>
              <w:spacing w:line="300" w:lineRule="exact"/>
              <w:jc w:val="right"/>
              <w:rPr>
                <w:rFonts w:ascii="方正书宋_GBK" w:eastAsia="方正书宋_GBK" w:cs="方正书宋_GBK"/>
              </w:rPr>
            </w:pPr>
            <w:r>
              <w:rPr>
                <w:rFonts w:hint="eastAsia" w:ascii="方正书宋_GBK" w:eastAsia="方正书宋_GBK" w:cs="方正书宋_GBK"/>
                <w:lang w:val="en-US" w:eastAsia="zh-CN"/>
              </w:rPr>
              <w:t>155</w:t>
            </w:r>
            <w:r>
              <w:rPr>
                <w:rFonts w:ascii="方正书宋_GBK" w:eastAsia="方正书宋_GBK" w:cs="方正书宋_GBK"/>
              </w:rPr>
              <w:t>0000.00</w:t>
            </w:r>
          </w:p>
        </w:tc>
        <w:tc>
          <w:tcPr>
            <w:tcW w:w="827" w:type="dxa"/>
            <w:vAlign w:val="center"/>
          </w:tcPr>
          <w:p>
            <w:pPr>
              <w:spacing w:line="300" w:lineRule="exact"/>
              <w:jc w:val="left"/>
              <w:rPr>
                <w:rFonts w:ascii="方正书宋_GBK" w:eastAsia="方正书宋_GBK" w:cs="Times New Roman"/>
              </w:rPr>
            </w:pPr>
            <w:r>
              <w:rPr>
                <w:rFonts w:hint="eastAsia" w:ascii="方正书宋_GBK" w:eastAsia="方正书宋_GBK" w:cs="方正书宋_GBK"/>
              </w:rPr>
              <w:t>办公设备</w:t>
            </w:r>
          </w:p>
        </w:tc>
        <w:tc>
          <w:tcPr>
            <w:tcW w:w="951" w:type="dxa"/>
            <w:vAlign w:val="center"/>
          </w:tcPr>
          <w:p>
            <w:pPr>
              <w:spacing w:line="300" w:lineRule="exact"/>
              <w:jc w:val="left"/>
              <w:rPr>
                <w:rFonts w:ascii="方正书宋_GBK" w:eastAsia="方正书宋_GBK" w:cs="方正书宋_GBK"/>
              </w:rPr>
            </w:pPr>
            <w:r>
              <w:rPr>
                <w:rFonts w:ascii="方正书宋_GBK" w:eastAsia="方正书宋_GBK" w:cs="方正书宋_GBK"/>
              </w:rPr>
              <w:t>A0202</w:t>
            </w:r>
          </w:p>
        </w:tc>
        <w:tc>
          <w:tcPr>
            <w:tcW w:w="502" w:type="dxa"/>
            <w:vAlign w:val="center"/>
          </w:tcPr>
          <w:p>
            <w:pPr>
              <w:spacing w:line="300" w:lineRule="exact"/>
              <w:jc w:val="left"/>
              <w:rPr>
                <w:rFonts w:hint="eastAsia" w:ascii="方正书宋_GBK" w:eastAsia="方正书宋_GBK" w:cs="Times New Roman"/>
                <w:lang w:eastAsia="zh-CN"/>
              </w:rPr>
            </w:pPr>
            <w:r>
              <w:rPr>
                <w:rFonts w:hint="eastAsia" w:ascii="方正书宋_GBK" w:eastAsia="方正书宋_GBK" w:cs="Times New Roman"/>
                <w:lang w:eastAsia="zh-CN"/>
              </w:rPr>
              <w:t>台</w:t>
            </w:r>
          </w:p>
        </w:tc>
        <w:tc>
          <w:tcPr>
            <w:tcW w:w="741" w:type="dxa"/>
            <w:vAlign w:val="center"/>
          </w:tcPr>
          <w:p>
            <w:pPr>
              <w:spacing w:line="300" w:lineRule="exact"/>
              <w:jc w:val="right"/>
              <w:rPr>
                <w:rFonts w:hint="eastAsia" w:ascii="方正书宋_GBK" w:eastAsia="方正书宋_GBK" w:cs="方正书宋_GBK"/>
                <w:lang w:eastAsia="zh-CN"/>
              </w:rPr>
            </w:pPr>
            <w:r>
              <w:rPr>
                <w:rFonts w:hint="eastAsia" w:ascii="方正书宋_GBK" w:eastAsia="方正书宋_GBK" w:cs="方正书宋_GBK"/>
                <w:lang w:val="en-US" w:eastAsia="zh-CN"/>
              </w:rPr>
              <w:t>12</w:t>
            </w:r>
          </w:p>
        </w:tc>
        <w:tc>
          <w:tcPr>
            <w:tcW w:w="1161" w:type="dxa"/>
            <w:vAlign w:val="center"/>
          </w:tcPr>
          <w:p>
            <w:pPr>
              <w:spacing w:line="300" w:lineRule="exact"/>
              <w:jc w:val="right"/>
              <w:rPr>
                <w:rFonts w:hint="eastAsia" w:ascii="方正书宋_GBK" w:eastAsia="方正书宋_GBK" w:cs="方正书宋_GBK"/>
                <w:lang w:val="en-US" w:eastAsia="zh-CN"/>
              </w:rPr>
            </w:pPr>
            <w:r>
              <w:rPr>
                <w:rFonts w:hint="eastAsia" w:ascii="方正书宋_GBK" w:eastAsia="方正书宋_GBK" w:cs="方正书宋_GBK"/>
                <w:lang w:val="en-US" w:eastAsia="zh-CN"/>
              </w:rPr>
              <w:t>5000.00</w:t>
            </w:r>
          </w:p>
        </w:tc>
        <w:tc>
          <w:tcPr>
            <w:tcW w:w="1275" w:type="dxa"/>
            <w:vAlign w:val="center"/>
          </w:tcPr>
          <w:p>
            <w:pPr>
              <w:spacing w:line="300" w:lineRule="exact"/>
              <w:jc w:val="right"/>
              <w:rPr>
                <w:rFonts w:hint="eastAsia" w:ascii="方正书宋_GBK" w:eastAsia="方正书宋_GBK" w:cs="方正书宋_GBK"/>
                <w:lang w:eastAsia="zh-CN"/>
              </w:rPr>
            </w:pPr>
            <w:r>
              <w:rPr>
                <w:rFonts w:hint="eastAsia" w:ascii="方正书宋_GBK" w:eastAsia="方正书宋_GBK" w:cs="方正书宋_GBK"/>
                <w:lang w:val="en-US" w:eastAsia="zh-CN"/>
              </w:rPr>
              <w:t>60000.00</w:t>
            </w:r>
          </w:p>
        </w:tc>
        <w:tc>
          <w:tcPr>
            <w:tcW w:w="1275" w:type="dxa"/>
            <w:vAlign w:val="center"/>
          </w:tcPr>
          <w:p>
            <w:pPr>
              <w:spacing w:line="300" w:lineRule="exact"/>
              <w:jc w:val="right"/>
              <w:rPr>
                <w:rFonts w:hint="eastAsia" w:ascii="方正书宋_GBK" w:eastAsia="方正书宋_GBK" w:cs="方正书宋_GBK"/>
                <w:lang w:eastAsia="zh-CN"/>
              </w:rPr>
            </w:pPr>
            <w:r>
              <w:rPr>
                <w:rFonts w:hint="eastAsia" w:ascii="方正书宋_GBK" w:eastAsia="方正书宋_GBK" w:cs="方正书宋_GBK"/>
                <w:lang w:val="en-US" w:eastAsia="zh-CN"/>
              </w:rPr>
              <w:t>60000.00</w:t>
            </w:r>
          </w:p>
        </w:tc>
        <w:tc>
          <w:tcPr>
            <w:tcW w:w="1275" w:type="dxa"/>
            <w:vAlign w:val="center"/>
          </w:tcPr>
          <w:p>
            <w:pPr>
              <w:spacing w:line="300" w:lineRule="exact"/>
              <w:jc w:val="right"/>
              <w:rPr>
                <w:rFonts w:hint="eastAsia" w:ascii="方正书宋_GBK" w:eastAsia="方正书宋_GBK" w:cs="方正书宋_GBK"/>
                <w:lang w:val="en-US" w:eastAsia="zh-CN"/>
              </w:rPr>
            </w:pPr>
            <w:r>
              <w:rPr>
                <w:rFonts w:hint="eastAsia" w:ascii="方正书宋_GBK" w:eastAsia="方正书宋_GBK" w:cs="方正书宋_GBK"/>
                <w:lang w:val="en-US" w:eastAsia="zh-CN"/>
              </w:rPr>
              <w:t>60000.00</w:t>
            </w:r>
          </w:p>
        </w:tc>
        <w:tc>
          <w:tcPr>
            <w:tcW w:w="688" w:type="dxa"/>
            <w:vAlign w:val="center"/>
          </w:tcPr>
          <w:p>
            <w:pPr>
              <w:spacing w:line="300" w:lineRule="exact"/>
              <w:jc w:val="right"/>
              <w:rPr>
                <w:rFonts w:ascii="方正书宋_GBK" w:eastAsia="方正书宋_GBK" w:cs="方正书宋_GBK"/>
              </w:rPr>
            </w:pPr>
          </w:p>
        </w:tc>
        <w:tc>
          <w:tcPr>
            <w:tcW w:w="818" w:type="dxa"/>
            <w:vAlign w:val="center"/>
          </w:tcPr>
          <w:p>
            <w:pPr>
              <w:spacing w:line="300" w:lineRule="exact"/>
              <w:jc w:val="right"/>
              <w:rPr>
                <w:rFonts w:ascii="方正书宋_GBK" w:eastAsia="方正书宋_GBK" w:cs="方正书宋_GBK"/>
              </w:rPr>
            </w:pPr>
          </w:p>
        </w:tc>
        <w:tc>
          <w:tcPr>
            <w:tcW w:w="818" w:type="dxa"/>
            <w:vAlign w:val="center"/>
          </w:tcPr>
          <w:p>
            <w:pPr>
              <w:spacing w:line="300" w:lineRule="exact"/>
              <w:jc w:val="right"/>
              <w:rPr>
                <w:rFonts w:ascii="方正书宋_GBK" w:eastAsia="方正书宋_GBK" w:cs="方正书宋_GBK"/>
              </w:rPr>
            </w:pPr>
          </w:p>
        </w:tc>
        <w:tc>
          <w:tcPr>
            <w:tcW w:w="775" w:type="dxa"/>
            <w:vAlign w:val="center"/>
          </w:tcPr>
          <w:p>
            <w:pPr>
              <w:spacing w:line="300" w:lineRule="exact"/>
              <w:jc w:val="right"/>
              <w:rPr>
                <w:rFonts w:ascii="方正书宋_GBK" w:eastAsia="方正书宋_GBK" w:cs="方正书宋_GBK"/>
              </w:rPr>
            </w:pPr>
          </w:p>
        </w:tc>
      </w:tr>
    </w:tbl>
    <w:p>
      <w:pPr>
        <w:ind w:firstLine="640" w:firstLineChars="200"/>
        <w:outlineLvl w:val="0"/>
        <w:rPr>
          <w:rFonts w:ascii="Times New Roman" w:hAnsi="Times New Roman" w:eastAsia="仿宋" w:cs="Times New Roman"/>
          <w:sz w:val="32"/>
          <w:szCs w:val="32"/>
        </w:rPr>
      </w:pPr>
    </w:p>
    <w:p>
      <w:pPr>
        <w:autoSpaceDE w:val="0"/>
        <w:autoSpaceDN w:val="0"/>
        <w:adjustRightInd w:val="0"/>
        <w:ind w:firstLine="640" w:firstLineChars="200"/>
        <w:jc w:val="left"/>
        <w:rPr>
          <w:rFonts w:ascii="Times New Roman" w:hAnsi="Times New Roman" w:eastAsia="仿宋" w:cs="Times New Roman"/>
          <w:color w:val="000000"/>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隆尧县纪委</w:t>
      </w:r>
      <w:r>
        <w:rPr>
          <w:rFonts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lang w:val="en-US" w:eastAsia="zh-CN"/>
        </w:rPr>
        <w:t>310</w:t>
      </w:r>
      <w:r>
        <w:rPr>
          <w:rFonts w:hint="eastAsia" w:ascii="Times New Roman" w:hAnsi="Times New Roman" w:eastAsia="仿宋" w:cs="仿宋"/>
          <w:color w:val="000000"/>
          <w:sz w:val="32"/>
          <w:szCs w:val="32"/>
        </w:rPr>
        <w:t>万元（详见下表），本年度各单位（处室）拟购置固定资产总额为</w:t>
      </w:r>
      <w:r>
        <w:rPr>
          <w:rFonts w:hint="eastAsia" w:ascii="Times New Roman" w:hAnsi="Times New Roman" w:eastAsia="仿宋" w:cs="Times New Roman"/>
          <w:color w:val="000000"/>
          <w:sz w:val="32"/>
          <w:szCs w:val="32"/>
          <w:lang w:val="en-US" w:eastAsia="zh-CN"/>
        </w:rPr>
        <w:t>12</w:t>
      </w:r>
      <w:r>
        <w:rPr>
          <w:rFonts w:hint="eastAsia" w:ascii="Times New Roman" w:hAnsi="Times New Roman" w:eastAsia="仿宋" w:cs="仿宋"/>
          <w:color w:val="000000"/>
          <w:sz w:val="32"/>
          <w:szCs w:val="32"/>
        </w:rPr>
        <w:t>万元，主要为计算机、一体机、印刷设备等，已列入政府采购预算表，详见政府采购预算表。</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编制部门：隆尧县纪委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w:t>
            </w:r>
            <w:r>
              <w:rPr>
                <w:rFonts w:hint="eastAsia" w:ascii="Times New Roman" w:hAnsi="Times New Roman" w:eastAsia="仿宋" w:cs="Times New Roman"/>
                <w:kern w:val="0"/>
                <w:sz w:val="22"/>
                <w:szCs w:val="22"/>
                <w:lang w:val="en-US" w:eastAsia="zh-CN"/>
              </w:rPr>
              <w:t>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szCs w:val="22"/>
                <w:lang w:eastAsia="zh-CN"/>
              </w:rPr>
            </w:pPr>
            <w:r>
              <w:rPr>
                <w:rFonts w:hint="eastAsia" w:ascii="Times New Roman" w:hAnsi="Times New Roman" w:eastAsia="仿宋" w:cs="Times New Roman"/>
                <w:color w:val="000000"/>
                <w:kern w:val="0"/>
                <w:sz w:val="22"/>
                <w:szCs w:val="22"/>
                <w:lang w:val="en-US" w:eastAsia="zh-CN"/>
              </w:rPr>
              <w:t>310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1</w:t>
            </w:r>
            <w:r>
              <w:rPr>
                <w:rFonts w:hint="eastAsia" w:ascii="Times New Roman" w:hAnsi="Times New Roman" w:eastAsia="仿宋" w:cs="仿宋"/>
                <w:kern w:val="0"/>
                <w:sz w:val="22"/>
                <w:szCs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2</w:t>
            </w:r>
            <w:r>
              <w:rPr>
                <w:rFonts w:hint="eastAsia" w:ascii="Times New Roman" w:hAnsi="Times New Roman" w:eastAsia="仿宋" w:cs="仿宋"/>
                <w:kern w:val="0"/>
                <w:sz w:val="22"/>
                <w:szCs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10</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115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3</w:t>
            </w:r>
            <w:r>
              <w:rPr>
                <w:rFonts w:hint="eastAsia" w:ascii="Times New Roman" w:hAnsi="Times New Roman" w:eastAsia="仿宋" w:cs="仿宋"/>
                <w:kern w:val="0"/>
                <w:sz w:val="22"/>
                <w:szCs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szCs w:val="22"/>
                <w:lang w:eastAsia="zh-CN"/>
              </w:rPr>
            </w:pPr>
            <w:r>
              <w:rPr>
                <w:rFonts w:hint="eastAsia" w:ascii="Times New Roman" w:hAnsi="Times New Roman" w:eastAsia="仿宋" w:cs="Times New Roman"/>
                <w:kern w:val="0"/>
                <w:sz w:val="22"/>
                <w:szCs w:val="22"/>
                <w:lang w:val="en-US" w:eastAsia="zh-CN"/>
              </w:rPr>
              <w:t>195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ascii="Times New Roman" w:hAnsi="Times New Roman" w:eastAsia="仿宋" w:cs="Times New Roman"/>
                <w:kern w:val="0"/>
                <w:sz w:val="22"/>
                <w:szCs w:val="22"/>
              </w:rPr>
              <w:t>4</w:t>
            </w:r>
            <w:r>
              <w:rPr>
                <w:rFonts w:hint="eastAsia" w:ascii="Times New Roman" w:hAnsi="Times New Roman" w:eastAsia="仿宋" w:cs="仿宋"/>
                <w:kern w:val="0"/>
                <w:sz w:val="22"/>
                <w:szCs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roman"/>
    <w:pitch w:val="default"/>
    <w:sig w:usb0="00000001" w:usb1="08000000" w:usb2="00000000" w:usb3="00000000" w:csb0="00040000" w:csb1="00000000"/>
  </w:font>
  <w:font w:name="方正书宋_GBK">
    <w:panose1 w:val="02000000000000000000"/>
    <w:charset w:val="86"/>
    <w:family w:val="script"/>
    <w:pitch w:val="default"/>
    <w:sig w:usb0="00000001" w:usb1="08000000" w:usb2="00000000" w:usb3="00000000" w:csb0="00040000" w:csb1="00000000"/>
  </w:font>
  <w:font w:name="仿宋_gb2312">
    <w:altName w:val="仿宋"/>
    <w:panose1 w:val="00000000000000000000"/>
    <w:charset w:val="00"/>
    <w:family w:val="auto"/>
    <w:pitch w:val="default"/>
    <w:sig w:usb0="00000000" w:usb1="00000000" w:usb2="00000000" w:usb3="00000000" w:csb0="00040001"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pBdr>
        <w:top w:val="none" w:color="auto" w:sz="0" w:space="0"/>
        <w:left w:val="none" w:color="auto" w:sz="0" w:space="0"/>
        <w:bottom w:val="none" w:color="auto" w:sz="0" w:space="0"/>
        <w:right w:val="none" w:color="auto" w:sz="0" w:space="0"/>
        <w:between w:val="none" w:color="auto" w:sz="0" w:space="0"/>
      </w:pBdr>
      <w:spacing w:after="0" w:afterLines="0"/>
    </w:pPr>
    <w:r>
      <w:fldChar w:fldCharType="begin"/>
    </w:r>
    <w:r>
      <w:rPr>
        <w:rStyle w:val="10"/>
      </w:rPr>
      <w:instrText xml:space="preserve"> PAGE  </w:instrText>
    </w:r>
    <w:r>
      <w:fldChar w:fldCharType="separate"/>
    </w:r>
    <w:r>
      <w:rPr>
        <w:rStyle w:val="10"/>
      </w:rPr>
      <w:t>3</w:t>
    </w:r>
    <w:r>
      <w:fldChar w:fldCharType="end"/>
    </w:r>
  </w:p>
  <w:p>
    <w:pPr>
      <w:pStyle w:val="2"/>
      <w:ind w:right="360" w:firstLine="360" w:firstLineChars="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CC4"/>
    <w:rsid w:val="0000235E"/>
    <w:rsid w:val="00183FE1"/>
    <w:rsid w:val="00192304"/>
    <w:rsid w:val="001B23C6"/>
    <w:rsid w:val="002E5AFD"/>
    <w:rsid w:val="003F4292"/>
    <w:rsid w:val="0046545D"/>
    <w:rsid w:val="007941F0"/>
    <w:rsid w:val="00A5050A"/>
    <w:rsid w:val="00C40AA4"/>
    <w:rsid w:val="00C67CC4"/>
    <w:rsid w:val="00EC3709"/>
    <w:rsid w:val="00F73D27"/>
    <w:rsid w:val="00FB11BE"/>
    <w:rsid w:val="01B60E83"/>
    <w:rsid w:val="02D17B65"/>
    <w:rsid w:val="02E35EE8"/>
    <w:rsid w:val="03B905F2"/>
    <w:rsid w:val="043834FC"/>
    <w:rsid w:val="0887286D"/>
    <w:rsid w:val="0AF84D56"/>
    <w:rsid w:val="0CF06289"/>
    <w:rsid w:val="0E497A99"/>
    <w:rsid w:val="110D6473"/>
    <w:rsid w:val="117D2807"/>
    <w:rsid w:val="11D2522E"/>
    <w:rsid w:val="156C08B2"/>
    <w:rsid w:val="16844820"/>
    <w:rsid w:val="19B541EB"/>
    <w:rsid w:val="1CAE3224"/>
    <w:rsid w:val="1DA970AA"/>
    <w:rsid w:val="1F007F89"/>
    <w:rsid w:val="23A01FD9"/>
    <w:rsid w:val="31C65502"/>
    <w:rsid w:val="358B1DA9"/>
    <w:rsid w:val="35B66B21"/>
    <w:rsid w:val="36056DB2"/>
    <w:rsid w:val="38DD203D"/>
    <w:rsid w:val="3911461A"/>
    <w:rsid w:val="391E7700"/>
    <w:rsid w:val="3A196A93"/>
    <w:rsid w:val="3BE12D6F"/>
    <w:rsid w:val="3CF647CC"/>
    <w:rsid w:val="3DF22871"/>
    <w:rsid w:val="3E050D45"/>
    <w:rsid w:val="424A3113"/>
    <w:rsid w:val="495A4E81"/>
    <w:rsid w:val="49806BCC"/>
    <w:rsid w:val="4B9877F6"/>
    <w:rsid w:val="4C431904"/>
    <w:rsid w:val="4D9A068A"/>
    <w:rsid w:val="52291F20"/>
    <w:rsid w:val="52BB7FC3"/>
    <w:rsid w:val="549E302C"/>
    <w:rsid w:val="589F57E3"/>
    <w:rsid w:val="59A1233C"/>
    <w:rsid w:val="5A576ECE"/>
    <w:rsid w:val="5A8539F4"/>
    <w:rsid w:val="5A88760E"/>
    <w:rsid w:val="5C786975"/>
    <w:rsid w:val="5CBF5E78"/>
    <w:rsid w:val="5DC92643"/>
    <w:rsid w:val="618E0C99"/>
    <w:rsid w:val="621250A2"/>
    <w:rsid w:val="68BD4F77"/>
    <w:rsid w:val="6B231DDA"/>
    <w:rsid w:val="6C2E39A3"/>
    <w:rsid w:val="6D341725"/>
    <w:rsid w:val="6F3B255C"/>
    <w:rsid w:val="76835E4B"/>
    <w:rsid w:val="7A924E16"/>
    <w:rsid w:val="7C5B528D"/>
    <w:rsid w:val="7F0B34A5"/>
    <w:rsid w:val="DF7CA9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page number"/>
    <w:basedOn w:val="9"/>
    <w:unhideWhenUsed/>
    <w:qFormat/>
    <w:uiPriority w:val="99"/>
  </w:style>
  <w:style w:type="character" w:styleId="11">
    <w:name w:val="footnote reference"/>
    <w:basedOn w:val="9"/>
    <w:semiHidden/>
    <w:qFormat/>
    <w:uiPriority w:val="99"/>
    <w:rPr>
      <w:vertAlign w:val="superscript"/>
    </w:rPr>
  </w:style>
  <w:style w:type="character" w:customStyle="1" w:styleId="12">
    <w:name w:val="Footer Char"/>
    <w:basedOn w:val="9"/>
    <w:link w:val="2"/>
    <w:semiHidden/>
    <w:qFormat/>
    <w:locked/>
    <w:uiPriority w:val="99"/>
    <w:rPr>
      <w:rFonts w:ascii="Times New Roman" w:hAnsi="Times New Roman" w:eastAsia="宋体" w:cs="Times New Roman"/>
      <w:sz w:val="18"/>
      <w:szCs w:val="18"/>
    </w:rPr>
  </w:style>
  <w:style w:type="character" w:customStyle="1" w:styleId="13">
    <w:name w:val="Header Char"/>
    <w:basedOn w:val="9"/>
    <w:link w:val="3"/>
    <w:semiHidden/>
    <w:qFormat/>
    <w:locked/>
    <w:uiPriority w:val="99"/>
    <w:rPr>
      <w:rFonts w:ascii="Times New Roman" w:hAnsi="Times New Roman" w:eastAsia="宋体" w:cs="Times New Roman"/>
      <w:sz w:val="18"/>
      <w:szCs w:val="18"/>
    </w:rPr>
  </w:style>
  <w:style w:type="character" w:customStyle="1" w:styleId="14">
    <w:name w:val="Footnote Text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13</Pages>
  <Words>911</Words>
  <Characters>5198</Characters>
  <Lines>0</Lines>
  <Paragraphs>0</Paragraphs>
  <TotalTime>1</TotalTime>
  <ScaleCrop>false</ScaleCrop>
  <LinksUpToDate>false</LinksUpToDate>
  <CharactersWithSpaces>0</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work</cp:lastModifiedBy>
  <cp:lastPrinted>2017-02-10T17:57:00Z</cp:lastPrinted>
  <dcterms:modified xsi:type="dcterms:W3CDTF">2024-04-25T16:21:44Z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0E543C2B27147F1198122A66A5036363</vt:lpwstr>
  </property>
</Properties>
</file>