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ascii="Times New Roman" w:hAnsi="Times New Roman" w:eastAsia="方正小标宋_GBK"/>
          <w:sz w:val="44"/>
          <w:szCs w:val="44"/>
        </w:rPr>
      </w:pPr>
      <w:bookmarkStart w:id="29" w:name="_GoBack"/>
      <w:bookmarkEnd w:id="29"/>
      <w:r>
        <w:rPr>
          <w:rFonts w:hint="eastAsia" w:ascii="Times New Roman" w:hAnsi="Times New Roman" w:eastAsia="方正小标宋_GBK"/>
          <w:sz w:val="44"/>
          <w:szCs w:val="44"/>
        </w:rPr>
        <w:t>隆尧县委组织部</w:t>
      </w:r>
      <w:r>
        <w:rPr>
          <w:rFonts w:ascii="Times New Roman" w:hAnsi="Times New Roman" w:eastAsia="方正小标宋_GBK"/>
          <w:sz w:val="44"/>
          <w:szCs w:val="44"/>
        </w:rPr>
        <w:t>2021</w:t>
      </w:r>
      <w:r>
        <w:rPr>
          <w:rFonts w:hint="eastAsia" w:ascii="Times New Roman" w:hAnsi="Times New Roman" w:eastAsia="方正小标宋_GBK"/>
          <w:sz w:val="44"/>
          <w:szCs w:val="44"/>
        </w:rPr>
        <w:t>年部门预算信息公开情况说明</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按照《预算法》、《地方预决算公开操作规程》和《河北省省级预算公开办法》规定，现将隆尧县委组织部</w:t>
      </w:r>
      <w:r>
        <w:rPr>
          <w:rFonts w:ascii="Times New Roman" w:hAnsi="Times New Roman" w:eastAsia="方正仿宋_GBK"/>
          <w:sz w:val="32"/>
          <w:szCs w:val="32"/>
        </w:rPr>
        <w:t>2021</w:t>
      </w:r>
      <w:r>
        <w:rPr>
          <w:rFonts w:hint="eastAsia" w:ascii="Times New Roman" w:hAnsi="Times New Roman" w:eastAsia="方正仿宋_GBK"/>
          <w:sz w:val="32"/>
          <w:szCs w:val="32"/>
        </w:rPr>
        <w:t>年部门预算公开如下：</w:t>
      </w:r>
    </w:p>
    <w:p>
      <w:pPr>
        <w:ind w:firstLine="640"/>
        <w:rPr>
          <w:rFonts w:ascii="黑体" w:hAnsi="黑体" w:eastAsia="黑体"/>
          <w:sz w:val="32"/>
          <w:szCs w:val="32"/>
        </w:rPr>
      </w:pPr>
      <w:r>
        <w:rPr>
          <w:rFonts w:hint="eastAsia" w:ascii="黑体" w:hAnsi="黑体" w:eastAsia="黑体"/>
          <w:sz w:val="32"/>
          <w:szCs w:val="32"/>
        </w:rPr>
        <w:t>一、部门职责及机构设置情况</w:t>
      </w:r>
    </w:p>
    <w:p>
      <w:pPr>
        <w:ind w:firstLine="640" w:firstLineChars="200"/>
        <w:rPr>
          <w:rFonts w:ascii="仿宋" w:hAnsi="仿宋" w:eastAsia="仿宋"/>
          <w:b/>
          <w:bCs/>
          <w:sz w:val="32"/>
          <w:szCs w:val="32"/>
        </w:rPr>
      </w:pPr>
      <w:r>
        <w:rPr>
          <w:rFonts w:hint="eastAsia" w:ascii="仿宋" w:hAnsi="仿宋" w:eastAsia="仿宋" w:cs="仿宋"/>
          <w:b/>
          <w:bCs/>
          <w:sz w:val="32"/>
          <w:szCs w:val="32"/>
        </w:rPr>
        <w:t>部门职责：</w:t>
      </w:r>
    </w:p>
    <w:p>
      <w:pPr>
        <w:numPr>
          <w:ilvl w:val="0"/>
          <w:numId w:val="1"/>
        </w:numPr>
        <w:ind w:firstLine="640" w:firstLineChars="200"/>
        <w:rPr>
          <w:rFonts w:ascii="仿宋" w:hAnsi="仿宋" w:eastAsia="仿宋"/>
          <w:sz w:val="32"/>
          <w:szCs w:val="32"/>
        </w:rPr>
      </w:pPr>
      <w:r>
        <w:rPr>
          <w:rFonts w:hint="eastAsia" w:ascii="仿宋" w:hAnsi="仿宋" w:eastAsia="仿宋" w:cs="仿宋"/>
          <w:sz w:val="32"/>
          <w:szCs w:val="32"/>
        </w:rPr>
        <w:t>党员和党组织建设负责全县党组织建设；负责县委基层组织建设联席会议党的牵头抓总工作；研究和提出党内生活制度建设的意见；协调、规划和指导全县党员教育工作；主管党员的管理和发展工作。</w:t>
      </w:r>
    </w:p>
    <w:p>
      <w:pPr>
        <w:numPr>
          <w:ilvl w:val="0"/>
          <w:numId w:val="1"/>
        </w:numPr>
        <w:ind w:firstLine="640" w:firstLineChars="200"/>
        <w:rPr>
          <w:rFonts w:ascii="仿宋" w:hAnsi="仿宋" w:eastAsia="仿宋"/>
          <w:sz w:val="32"/>
          <w:szCs w:val="32"/>
        </w:rPr>
      </w:pPr>
      <w:r>
        <w:rPr>
          <w:rFonts w:hint="eastAsia" w:ascii="仿宋" w:hAnsi="仿宋" w:eastAsia="仿宋" w:cs="仿宋"/>
          <w:sz w:val="32"/>
          <w:szCs w:val="32"/>
        </w:rPr>
        <w:t>干部管理。研究制订全县干部队伍建设的方针、政策；负责中央及省委管理干部及全县干部队伍管理、干部培养选拔、干部调配、交流和安置；干部教育培训</w:t>
      </w:r>
      <w:r>
        <w:rPr>
          <w:rFonts w:ascii="仿宋" w:hAnsi="仿宋" w:eastAsia="仿宋" w:cs="仿宋"/>
          <w:sz w:val="32"/>
          <w:szCs w:val="32"/>
        </w:rPr>
        <w:t>;</w:t>
      </w:r>
      <w:r>
        <w:rPr>
          <w:rFonts w:hint="eastAsia" w:ascii="仿宋" w:hAnsi="仿宋" w:eastAsia="仿宋" w:cs="仿宋"/>
          <w:sz w:val="32"/>
          <w:szCs w:val="32"/>
        </w:rPr>
        <w:t>对县委管理领导班子和领导干部的考核工作，以及全县干部考核工作的宏观指导和督导检查；指导领导班子的思想作风建设；负责对全县干部监督工作的综合、协调和宏观指导。</w:t>
      </w:r>
    </w:p>
    <w:p>
      <w:pPr>
        <w:numPr>
          <w:ilvl w:val="0"/>
          <w:numId w:val="1"/>
        </w:numPr>
        <w:ind w:firstLine="640" w:firstLineChars="200"/>
        <w:rPr>
          <w:rFonts w:ascii="仿宋" w:hAnsi="仿宋" w:eastAsia="仿宋"/>
          <w:sz w:val="32"/>
          <w:szCs w:val="32"/>
        </w:rPr>
      </w:pPr>
      <w:r>
        <w:rPr>
          <w:rFonts w:hint="eastAsia" w:ascii="仿宋" w:hAnsi="仿宋" w:eastAsia="仿宋" w:cs="仿宋"/>
          <w:sz w:val="32"/>
          <w:szCs w:val="32"/>
        </w:rPr>
        <w:t>人才工作及人才队伍建设。负责全县人才工作的综合协调、检查指导，负责县管优秀专家的选拔管理和科技副职的宏观管理及县以上科级副职的选派工作。</w:t>
      </w:r>
    </w:p>
    <w:p>
      <w:pPr>
        <w:ind w:firstLine="640" w:firstLineChars="200"/>
        <w:rPr>
          <w:rFonts w:ascii="仿宋" w:hAnsi="仿宋" w:eastAsia="仿宋"/>
          <w:sz w:val="32"/>
          <w:szCs w:val="32"/>
        </w:rPr>
      </w:pPr>
      <w:r>
        <w:rPr>
          <w:rFonts w:hint="eastAsia" w:ascii="仿宋" w:hAnsi="仿宋" w:eastAsia="仿宋" w:cs="仿宋"/>
          <w:sz w:val="32"/>
          <w:szCs w:val="32"/>
        </w:rPr>
        <w:t>（四）组织事务管理。负责做好部机关机要、文秘、信访、会议、固定资产等工作的计划安排和管理；负责机关自身建设；负责老干部综合服务和保障工作；负责新闻工作网宣与舆情监控、处置；负责组织史征编工作；组织系统信息化建设。</w:t>
      </w:r>
    </w:p>
    <w:p>
      <w:pPr>
        <w:ind w:firstLine="640" w:firstLineChars="200"/>
        <w:rPr>
          <w:rFonts w:ascii="仿宋" w:hAnsi="仿宋" w:eastAsia="仿宋"/>
          <w:b/>
          <w:bCs/>
          <w:sz w:val="32"/>
          <w:szCs w:val="32"/>
        </w:rPr>
      </w:pPr>
      <w:r>
        <w:rPr>
          <w:rFonts w:hint="eastAsia" w:ascii="仿宋" w:hAnsi="仿宋" w:eastAsia="仿宋" w:cs="仿宋"/>
          <w:b/>
          <w:bCs/>
          <w:sz w:val="32"/>
          <w:szCs w:val="32"/>
        </w:rPr>
        <w:t>机构设置：</w:t>
      </w:r>
    </w:p>
    <w:p>
      <w:pPr>
        <w:jc w:val="center"/>
        <w:outlineLvl w:val="0"/>
        <w:rPr>
          <w:rFonts w:ascii="Times New Roman" w:hAnsi="Times New Roman" w:eastAsia="方正小标宋_GBK"/>
          <w:sz w:val="32"/>
          <w:szCs w:val="32"/>
        </w:rPr>
      </w:pPr>
      <w:r>
        <w:rPr>
          <w:rFonts w:hint="eastAsia" w:ascii="Times New Roman" w:hAnsi="Times New Roman" w:eastAsia="方正小标宋_GBK" w:cs="方正小标宋_GBK"/>
          <w:sz w:val="32"/>
          <w:szCs w:val="32"/>
        </w:rPr>
        <w:t>部门机构设置情况</w:t>
      </w:r>
    </w:p>
    <w:tbl>
      <w:tblPr>
        <w:tblStyle w:val="11"/>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b/>
                <w:bCs/>
              </w:rPr>
            </w:pPr>
            <w:r>
              <w:rPr>
                <w:rFonts w:hint="eastAsia" w:ascii="Times New Roman" w:hAnsi="Times New Roman" w:eastAsia="方正书宋_GBK" w:cs="方正书宋_GBK"/>
                <w:b/>
                <w:bCs/>
              </w:rPr>
              <w:t>单位名称</w:t>
            </w:r>
          </w:p>
        </w:tc>
        <w:tc>
          <w:tcPr>
            <w:tcW w:w="1134" w:type="dxa"/>
            <w:vMerge w:val="restart"/>
            <w:vAlign w:val="center"/>
          </w:tcPr>
          <w:p>
            <w:pPr>
              <w:spacing w:line="300" w:lineRule="exact"/>
              <w:jc w:val="center"/>
              <w:rPr>
                <w:rFonts w:ascii="Times New Roman" w:hAnsi="Times New Roman" w:eastAsia="方正书宋_GBK"/>
                <w:b/>
                <w:bCs/>
              </w:rPr>
            </w:pPr>
            <w:r>
              <w:rPr>
                <w:rFonts w:hint="eastAsia" w:ascii="Times New Roman" w:hAnsi="Times New Roman" w:eastAsia="方正书宋_GBK" w:cs="方正书宋_GBK"/>
                <w:b/>
                <w:bCs/>
              </w:rPr>
              <w:t>单位性质</w:t>
            </w:r>
          </w:p>
        </w:tc>
        <w:tc>
          <w:tcPr>
            <w:tcW w:w="1276" w:type="dxa"/>
            <w:vMerge w:val="restart"/>
            <w:vAlign w:val="center"/>
          </w:tcPr>
          <w:p>
            <w:pPr>
              <w:spacing w:line="300" w:lineRule="exact"/>
              <w:jc w:val="center"/>
              <w:rPr>
                <w:rFonts w:ascii="Times New Roman" w:hAnsi="Times New Roman" w:eastAsia="方正书宋_GBK"/>
                <w:b/>
                <w:bCs/>
              </w:rPr>
            </w:pPr>
            <w:r>
              <w:rPr>
                <w:rFonts w:hint="eastAsia" w:ascii="Times New Roman" w:hAnsi="Times New Roman" w:eastAsia="方正书宋_GBK" w:cs="方正书宋_GBK"/>
                <w:b/>
                <w:bCs/>
              </w:rPr>
              <w:t>单位规格</w:t>
            </w:r>
          </w:p>
        </w:tc>
        <w:tc>
          <w:tcPr>
            <w:tcW w:w="2902" w:type="dxa"/>
            <w:vMerge w:val="restart"/>
            <w:vAlign w:val="center"/>
          </w:tcPr>
          <w:p>
            <w:pPr>
              <w:spacing w:line="300" w:lineRule="exact"/>
              <w:jc w:val="center"/>
              <w:rPr>
                <w:rFonts w:ascii="Times New Roman" w:hAnsi="Times New Roman" w:eastAsia="方正书宋_GBK"/>
                <w:b/>
                <w:bCs/>
              </w:rPr>
            </w:pPr>
            <w:r>
              <w:rPr>
                <w:rFonts w:hint="eastAsia" w:ascii="Times New Roman" w:hAnsi="Times New Roman" w:eastAsia="方正书宋_GBK" w:cs="方正书宋_GBK"/>
                <w:b/>
                <w:bCs/>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rPr>
            </w:pPr>
          </w:p>
        </w:tc>
        <w:tc>
          <w:tcPr>
            <w:tcW w:w="1134" w:type="dxa"/>
            <w:vMerge w:val="continue"/>
            <w:vAlign w:val="center"/>
          </w:tcPr>
          <w:p>
            <w:pPr>
              <w:spacing w:line="300" w:lineRule="exact"/>
              <w:jc w:val="left"/>
              <w:outlineLvl w:val="0"/>
              <w:rPr>
                <w:rFonts w:ascii="Times New Roman" w:hAnsi="Times New Roman"/>
              </w:rPr>
            </w:pPr>
          </w:p>
        </w:tc>
        <w:tc>
          <w:tcPr>
            <w:tcW w:w="1276" w:type="dxa"/>
            <w:vMerge w:val="continue"/>
            <w:vAlign w:val="center"/>
          </w:tcPr>
          <w:p>
            <w:pPr>
              <w:spacing w:line="300" w:lineRule="exact"/>
              <w:jc w:val="left"/>
              <w:outlineLvl w:val="0"/>
              <w:rPr>
                <w:rFonts w:ascii="Times New Roman" w:hAnsi="Times New Roman"/>
              </w:rPr>
            </w:pPr>
          </w:p>
        </w:tc>
        <w:tc>
          <w:tcPr>
            <w:tcW w:w="2902" w:type="dxa"/>
            <w:vMerge w:val="continue"/>
            <w:vAlign w:val="center"/>
          </w:tcPr>
          <w:p>
            <w:pPr>
              <w:spacing w:line="300" w:lineRule="exact"/>
              <w:jc w:val="left"/>
              <w:outlineLvl w:val="0"/>
              <w:rPr>
                <w:rFonts w:ascii="Times New Roman" w:hAnsi="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rPr>
            </w:pPr>
            <w:r>
              <w:rPr>
                <w:rFonts w:hint="eastAsia" w:ascii="方正书宋_GBK" w:eastAsia="方正书宋_GBK" w:cs="方正书宋_GBK"/>
              </w:rPr>
              <w:t>隆尧县委组织部</w:t>
            </w:r>
          </w:p>
        </w:tc>
        <w:tc>
          <w:tcPr>
            <w:tcW w:w="1134" w:type="dxa"/>
            <w:vAlign w:val="center"/>
          </w:tcPr>
          <w:p>
            <w:pPr>
              <w:spacing w:line="300" w:lineRule="exact"/>
              <w:jc w:val="center"/>
              <w:rPr>
                <w:rFonts w:ascii="Times New Roman" w:hAnsi="Times New Roman" w:eastAsia="方正书宋_GBK"/>
              </w:rPr>
            </w:pPr>
            <w:r>
              <w:rPr>
                <w:rFonts w:hint="eastAsia" w:ascii="方正书宋_GBK" w:eastAsia="方正书宋_GBK" w:cs="方正书宋_GBK"/>
              </w:rPr>
              <w:t>行政</w:t>
            </w:r>
          </w:p>
        </w:tc>
        <w:tc>
          <w:tcPr>
            <w:tcW w:w="1276" w:type="dxa"/>
            <w:vAlign w:val="center"/>
          </w:tcPr>
          <w:p>
            <w:pPr>
              <w:spacing w:line="300" w:lineRule="exact"/>
              <w:jc w:val="center"/>
              <w:rPr>
                <w:rFonts w:ascii="Times New Roman" w:hAnsi="Times New Roman" w:eastAsia="方正书宋_GBK"/>
              </w:rPr>
            </w:pPr>
            <w:r>
              <w:rPr>
                <w:rFonts w:hint="eastAsia" w:ascii="方正书宋_GBK" w:eastAsia="方正书宋_GBK" w:cs="方正书宋_GBK"/>
              </w:rPr>
              <w:t>正科级</w:t>
            </w:r>
          </w:p>
        </w:tc>
        <w:tc>
          <w:tcPr>
            <w:tcW w:w="2902" w:type="dxa"/>
            <w:vAlign w:val="center"/>
          </w:tcPr>
          <w:p>
            <w:pPr>
              <w:spacing w:line="300" w:lineRule="exact"/>
              <w:jc w:val="center"/>
              <w:rPr>
                <w:rFonts w:ascii="Times New Roman" w:hAnsi="Times New Roman" w:eastAsia="方正书宋_GBK"/>
              </w:rPr>
            </w:pPr>
            <w:r>
              <w:rPr>
                <w:rFonts w:hint="eastAsia" w:ascii="方正书宋_GBK" w:eastAsia="方正书宋_GBK" w:cs="方正书宋_GBK"/>
              </w:rPr>
              <w:t>财政拨款</w:t>
            </w:r>
          </w:p>
        </w:tc>
      </w:tr>
    </w:tbl>
    <w:p>
      <w:pPr>
        <w:ind w:firstLine="640" w:firstLineChars="200"/>
        <w:rPr>
          <w:rFonts w:ascii="黑体" w:hAnsi="黑体" w:eastAsia="黑体"/>
          <w:sz w:val="32"/>
          <w:szCs w:val="32"/>
        </w:rPr>
      </w:pPr>
      <w:r>
        <w:rPr>
          <w:rFonts w:hint="eastAsia" w:ascii="黑体" w:hAnsi="黑体" w:eastAsia="黑体"/>
          <w:sz w:val="32"/>
          <w:szCs w:val="32"/>
        </w:rPr>
        <w:t>二、部门预算安排的总体情况</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按照预算管理有关规定，目前我省部门预算的编制实行综合预算管理，即全部收入和支出都反映在预算中。隆尧县委组织部机关及所属事业单位的收支包含在部门预算中。</w:t>
      </w:r>
    </w:p>
    <w:p>
      <w:pPr>
        <w:ind w:firstLine="640" w:firstLineChars="200"/>
        <w:rPr>
          <w:rFonts w:ascii="Times New Roman" w:hAnsi="Times New Roman" w:eastAsia="方正仿宋_GBK"/>
          <w:sz w:val="32"/>
          <w:szCs w:val="32"/>
        </w:rPr>
      </w:pPr>
      <w:r>
        <w:rPr>
          <w:rFonts w:ascii="Times New Roman" w:hAnsi="Times New Roman" w:eastAsia="方正仿宋_GBK"/>
          <w:sz w:val="32"/>
          <w:szCs w:val="32"/>
        </w:rPr>
        <w:t>1</w:t>
      </w:r>
      <w:r>
        <w:rPr>
          <w:rFonts w:hint="eastAsia" w:ascii="Times New Roman" w:hAnsi="Times New Roman" w:eastAsia="方正仿宋_GBK"/>
          <w:sz w:val="32"/>
          <w:szCs w:val="32"/>
        </w:rPr>
        <w:t>、收入说明</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反映本部门当年全部收入。</w:t>
      </w:r>
      <w:r>
        <w:rPr>
          <w:rFonts w:ascii="Times New Roman" w:hAnsi="Times New Roman" w:eastAsia="方正仿宋_GBK"/>
          <w:sz w:val="32"/>
          <w:szCs w:val="32"/>
        </w:rPr>
        <w:t>2021</w:t>
      </w:r>
      <w:r>
        <w:rPr>
          <w:rFonts w:hint="eastAsia" w:ascii="Times New Roman" w:hAnsi="Times New Roman" w:eastAsia="方正仿宋_GBK"/>
          <w:sz w:val="32"/>
          <w:szCs w:val="32"/>
        </w:rPr>
        <w:t>年预算收入</w:t>
      </w:r>
      <w:r>
        <w:rPr>
          <w:rFonts w:ascii="方正书宋_GBK" w:eastAsia="方正书宋_GBK"/>
          <w:b/>
          <w:sz w:val="32"/>
          <w:szCs w:val="32"/>
        </w:rPr>
        <w:t>625</w:t>
      </w:r>
      <w:r>
        <w:rPr>
          <w:rFonts w:hint="eastAsia" w:ascii="方正书宋_GBK" w:eastAsia="方正书宋_GBK"/>
          <w:b/>
          <w:sz w:val="32"/>
          <w:szCs w:val="32"/>
        </w:rPr>
        <w:t>.</w:t>
      </w:r>
      <w:r>
        <w:rPr>
          <w:rFonts w:ascii="方正书宋_GBK" w:eastAsia="方正书宋_GBK"/>
          <w:b/>
          <w:sz w:val="32"/>
          <w:szCs w:val="32"/>
        </w:rPr>
        <w:t>48</w:t>
      </w:r>
      <w:r>
        <w:rPr>
          <w:rFonts w:hint="eastAsia" w:ascii="方正书宋_GBK" w:eastAsia="方正书宋_GBK"/>
          <w:b/>
          <w:sz w:val="32"/>
          <w:szCs w:val="32"/>
        </w:rPr>
        <w:t>万</w:t>
      </w:r>
      <w:r>
        <w:rPr>
          <w:rFonts w:hint="eastAsia" w:ascii="Times New Roman" w:hAnsi="Times New Roman" w:eastAsia="方正仿宋_GBK"/>
          <w:sz w:val="32"/>
          <w:szCs w:val="32"/>
        </w:rPr>
        <w:t>元，其中：一般公共预算收入</w:t>
      </w:r>
      <w:r>
        <w:rPr>
          <w:rFonts w:ascii="方正书宋_GBK" w:eastAsia="方正书宋_GBK"/>
          <w:b/>
          <w:sz w:val="32"/>
          <w:szCs w:val="32"/>
        </w:rPr>
        <w:t>625</w:t>
      </w:r>
      <w:r>
        <w:rPr>
          <w:rFonts w:hint="eastAsia" w:ascii="方正书宋_GBK" w:eastAsia="方正书宋_GBK"/>
          <w:b/>
          <w:sz w:val="32"/>
          <w:szCs w:val="32"/>
        </w:rPr>
        <w:t>.</w:t>
      </w:r>
      <w:r>
        <w:rPr>
          <w:rFonts w:ascii="方正书宋_GBK" w:eastAsia="方正书宋_GBK"/>
          <w:b/>
          <w:sz w:val="32"/>
          <w:szCs w:val="32"/>
        </w:rPr>
        <w:t>48</w:t>
      </w:r>
      <w:r>
        <w:rPr>
          <w:rFonts w:hint="eastAsia" w:ascii="方正书宋_GBK" w:eastAsia="方正书宋_GBK"/>
          <w:b/>
          <w:sz w:val="32"/>
          <w:szCs w:val="32"/>
        </w:rPr>
        <w:t>万</w:t>
      </w:r>
      <w:r>
        <w:rPr>
          <w:rFonts w:hint="eastAsia" w:ascii="Times New Roman" w:hAnsi="Times New Roman" w:eastAsia="方正仿宋_GBK"/>
          <w:sz w:val="32"/>
          <w:szCs w:val="32"/>
        </w:rPr>
        <w:t>元，基金预算收入</w:t>
      </w:r>
      <w:r>
        <w:rPr>
          <w:rFonts w:ascii="Times New Roman" w:hAnsi="Times New Roman" w:eastAsia="方正仿宋_GBK"/>
          <w:sz w:val="32"/>
          <w:szCs w:val="32"/>
        </w:rPr>
        <w:t>0</w:t>
      </w:r>
      <w:r>
        <w:rPr>
          <w:rFonts w:hint="eastAsia" w:ascii="Times New Roman" w:hAnsi="Times New Roman" w:eastAsia="方正仿宋_GBK"/>
          <w:sz w:val="32"/>
          <w:szCs w:val="32"/>
        </w:rPr>
        <w:t>万元，财政专户核拨收入</w:t>
      </w:r>
      <w:r>
        <w:rPr>
          <w:rFonts w:ascii="Times New Roman" w:hAnsi="Times New Roman" w:eastAsia="方正仿宋_GBK"/>
          <w:sz w:val="32"/>
          <w:szCs w:val="32"/>
        </w:rPr>
        <w:t>0</w:t>
      </w:r>
      <w:r>
        <w:rPr>
          <w:rFonts w:hint="eastAsia" w:ascii="Times New Roman" w:hAnsi="Times New Roman" w:eastAsia="方正仿宋_GBK"/>
          <w:sz w:val="32"/>
          <w:szCs w:val="32"/>
        </w:rPr>
        <w:t>万元，其他来源收入（单位资金）</w:t>
      </w:r>
      <w:r>
        <w:rPr>
          <w:rFonts w:ascii="Times New Roman" w:hAnsi="Times New Roman" w:eastAsia="方正仿宋_GBK"/>
          <w:sz w:val="32"/>
          <w:szCs w:val="32"/>
        </w:rPr>
        <w:t>0</w:t>
      </w:r>
      <w:r>
        <w:rPr>
          <w:rFonts w:hint="eastAsia" w:ascii="Times New Roman" w:hAnsi="Times New Roman" w:eastAsia="方正仿宋_GBK"/>
          <w:sz w:val="32"/>
          <w:szCs w:val="32"/>
        </w:rPr>
        <w:t>万元，上年结转0元。</w:t>
      </w:r>
    </w:p>
    <w:p>
      <w:pPr>
        <w:ind w:firstLine="640"/>
        <w:rPr>
          <w:rFonts w:ascii="Times New Roman" w:hAnsi="Times New Roman" w:eastAsia="方正仿宋_GBK"/>
          <w:sz w:val="32"/>
          <w:szCs w:val="32"/>
        </w:rPr>
      </w:pPr>
      <w:r>
        <w:rPr>
          <w:rFonts w:ascii="Times New Roman" w:hAnsi="Times New Roman" w:eastAsia="方正仿宋_GBK"/>
          <w:sz w:val="32"/>
          <w:szCs w:val="32"/>
        </w:rPr>
        <w:t>2</w:t>
      </w:r>
      <w:r>
        <w:rPr>
          <w:rFonts w:hint="eastAsia" w:ascii="Times New Roman" w:hAnsi="Times New Roman" w:eastAsia="方正仿宋_GBK"/>
          <w:sz w:val="32"/>
          <w:szCs w:val="32"/>
        </w:rPr>
        <w:t>、支出说明</w:t>
      </w:r>
    </w:p>
    <w:p>
      <w:pPr>
        <w:ind w:firstLine="640"/>
        <w:rPr>
          <w:rFonts w:ascii="Times New Roman" w:hAnsi="Times New Roman" w:eastAsia="方正仿宋_GBK"/>
          <w:sz w:val="32"/>
          <w:szCs w:val="32"/>
        </w:rPr>
      </w:pPr>
      <w:r>
        <w:rPr>
          <w:rFonts w:hint="eastAsia" w:ascii="Times New Roman" w:hAnsi="Times New Roman" w:eastAsia="方正仿宋_GBK"/>
          <w:sz w:val="32"/>
          <w:szCs w:val="32"/>
        </w:rPr>
        <w:t>收支预算总表支出栏、基本支出表、项目支出表按经济分类和支出功能分类科目编制，反映隆尧县委组织部年度部门预算中支出预算的总体情况。</w:t>
      </w:r>
      <w:r>
        <w:rPr>
          <w:rFonts w:ascii="Times New Roman" w:hAnsi="Times New Roman" w:eastAsia="方正仿宋_GBK"/>
          <w:sz w:val="32"/>
          <w:szCs w:val="32"/>
        </w:rPr>
        <w:t>2021</w:t>
      </w:r>
      <w:r>
        <w:rPr>
          <w:rFonts w:hint="eastAsia" w:ascii="Times New Roman" w:hAnsi="Times New Roman" w:eastAsia="方正仿宋_GBK"/>
          <w:sz w:val="32"/>
          <w:szCs w:val="32"/>
        </w:rPr>
        <w:t>年支出预算</w:t>
      </w:r>
      <w:r>
        <w:rPr>
          <w:rFonts w:ascii="方正书宋_GBK" w:eastAsia="方正书宋_GBK"/>
          <w:b/>
          <w:sz w:val="32"/>
          <w:szCs w:val="32"/>
        </w:rPr>
        <w:t>625</w:t>
      </w:r>
      <w:r>
        <w:rPr>
          <w:rFonts w:hint="eastAsia" w:ascii="方正书宋_GBK" w:eastAsia="方正书宋_GBK"/>
          <w:b/>
          <w:sz w:val="32"/>
          <w:szCs w:val="32"/>
        </w:rPr>
        <w:t>.</w:t>
      </w:r>
      <w:r>
        <w:rPr>
          <w:rFonts w:ascii="方正书宋_GBK" w:eastAsia="方正书宋_GBK"/>
          <w:b/>
          <w:sz w:val="32"/>
          <w:szCs w:val="32"/>
        </w:rPr>
        <w:t>48</w:t>
      </w:r>
      <w:r>
        <w:rPr>
          <w:rFonts w:hint="eastAsia" w:ascii="方正书宋_GBK" w:eastAsia="方正书宋_GBK"/>
          <w:b/>
          <w:sz w:val="32"/>
          <w:szCs w:val="32"/>
        </w:rPr>
        <w:t>万</w:t>
      </w:r>
      <w:r>
        <w:rPr>
          <w:rFonts w:hint="eastAsia" w:ascii="Times New Roman" w:hAnsi="Times New Roman" w:eastAsia="方正仿宋_GBK"/>
          <w:sz w:val="32"/>
          <w:szCs w:val="32"/>
        </w:rPr>
        <w:t>元，其中基本支出</w:t>
      </w:r>
      <w:r>
        <w:rPr>
          <w:rFonts w:ascii="方正书宋_GBK" w:eastAsia="方正书宋_GBK"/>
          <w:sz w:val="32"/>
          <w:szCs w:val="32"/>
        </w:rPr>
        <w:t>180</w:t>
      </w:r>
      <w:r>
        <w:rPr>
          <w:rFonts w:hint="eastAsia" w:ascii="方正书宋_GBK" w:eastAsia="方正书宋_GBK"/>
          <w:sz w:val="32"/>
          <w:szCs w:val="32"/>
        </w:rPr>
        <w:t>.</w:t>
      </w:r>
      <w:r>
        <w:rPr>
          <w:rFonts w:ascii="方正书宋_GBK" w:eastAsia="方正书宋_GBK"/>
          <w:sz w:val="32"/>
          <w:szCs w:val="32"/>
        </w:rPr>
        <w:t>9</w:t>
      </w:r>
      <w:r>
        <w:rPr>
          <w:rFonts w:hint="eastAsia" w:ascii="方正书宋_GBK" w:eastAsia="方正书宋_GBK"/>
          <w:sz w:val="32"/>
          <w:szCs w:val="32"/>
        </w:rPr>
        <w:t>5万</w:t>
      </w:r>
      <w:r>
        <w:rPr>
          <w:rFonts w:hint="eastAsia" w:ascii="Times New Roman" w:hAnsi="Times New Roman" w:eastAsia="方正仿宋_GBK"/>
          <w:sz w:val="32"/>
          <w:szCs w:val="32"/>
        </w:rPr>
        <w:t>元，包括人员经费</w:t>
      </w:r>
      <w:r>
        <w:rPr>
          <w:rFonts w:ascii="方正书宋_GBK" w:eastAsia="方正书宋_GBK"/>
          <w:sz w:val="32"/>
          <w:szCs w:val="32"/>
        </w:rPr>
        <w:t>162</w:t>
      </w:r>
      <w:r>
        <w:rPr>
          <w:rFonts w:hint="eastAsia" w:ascii="方正书宋_GBK" w:eastAsia="方正书宋_GBK"/>
          <w:sz w:val="32"/>
          <w:szCs w:val="32"/>
        </w:rPr>
        <w:t>.</w:t>
      </w:r>
      <w:r>
        <w:rPr>
          <w:rFonts w:ascii="方正书宋_GBK" w:eastAsia="方正书宋_GBK"/>
          <w:sz w:val="32"/>
          <w:szCs w:val="32"/>
        </w:rPr>
        <w:t>3</w:t>
      </w:r>
      <w:r>
        <w:rPr>
          <w:rFonts w:hint="eastAsia" w:ascii="方正书宋_GBK" w:eastAsia="方正书宋_GBK"/>
          <w:sz w:val="32"/>
          <w:szCs w:val="32"/>
        </w:rPr>
        <w:t>3万</w:t>
      </w:r>
      <w:r>
        <w:rPr>
          <w:rFonts w:hint="eastAsia" w:ascii="Times New Roman" w:hAnsi="Times New Roman" w:eastAsia="方正仿宋_GBK"/>
          <w:sz w:val="32"/>
          <w:szCs w:val="32"/>
        </w:rPr>
        <w:t>元和日常公用经费</w:t>
      </w:r>
      <w:r>
        <w:rPr>
          <w:rFonts w:ascii="方正书宋_GBK" w:eastAsia="方正书宋_GBK"/>
          <w:sz w:val="32"/>
          <w:szCs w:val="32"/>
        </w:rPr>
        <w:t>18</w:t>
      </w:r>
      <w:r>
        <w:rPr>
          <w:rFonts w:hint="eastAsia" w:ascii="方正书宋_GBK" w:eastAsia="方正书宋_GBK"/>
          <w:sz w:val="32"/>
          <w:szCs w:val="32"/>
        </w:rPr>
        <w:t>.</w:t>
      </w:r>
      <w:r>
        <w:rPr>
          <w:rFonts w:ascii="方正书宋_GBK" w:eastAsia="方正书宋_GBK"/>
          <w:sz w:val="32"/>
          <w:szCs w:val="32"/>
        </w:rPr>
        <w:t>62</w:t>
      </w:r>
      <w:r>
        <w:rPr>
          <w:rFonts w:hint="eastAsia" w:ascii="方正书宋_GBK" w:eastAsia="方正书宋_GBK"/>
          <w:sz w:val="32"/>
          <w:szCs w:val="32"/>
        </w:rPr>
        <w:t>万</w:t>
      </w:r>
      <w:r>
        <w:rPr>
          <w:rFonts w:hint="eastAsia" w:ascii="Times New Roman" w:hAnsi="Times New Roman" w:eastAsia="方正仿宋_GBK"/>
          <w:sz w:val="32"/>
          <w:szCs w:val="32"/>
        </w:rPr>
        <w:t>元；项目支出</w:t>
      </w:r>
      <w:r>
        <w:rPr>
          <w:rFonts w:ascii="方正书宋_GBK" w:eastAsia="方正书宋_GBK"/>
          <w:sz w:val="32"/>
          <w:szCs w:val="32"/>
        </w:rPr>
        <w:t>444</w:t>
      </w:r>
      <w:r>
        <w:rPr>
          <w:rFonts w:hint="eastAsia" w:ascii="方正书宋_GBK" w:eastAsia="方正书宋_GBK"/>
          <w:sz w:val="32"/>
          <w:szCs w:val="32"/>
        </w:rPr>
        <w:t>.</w:t>
      </w:r>
      <w:r>
        <w:rPr>
          <w:rFonts w:ascii="方正书宋_GBK" w:eastAsia="方正书宋_GBK"/>
          <w:sz w:val="32"/>
          <w:szCs w:val="32"/>
        </w:rPr>
        <w:t>5</w:t>
      </w:r>
      <w:r>
        <w:rPr>
          <w:rFonts w:hint="eastAsia" w:ascii="方正书宋_GBK" w:eastAsia="方正书宋_GBK"/>
          <w:sz w:val="32"/>
          <w:szCs w:val="32"/>
        </w:rPr>
        <w:t>3万</w:t>
      </w:r>
      <w:r>
        <w:rPr>
          <w:rFonts w:hint="eastAsia" w:ascii="Times New Roman" w:hAnsi="Times New Roman" w:eastAsia="方正仿宋_GBK"/>
          <w:sz w:val="32"/>
          <w:szCs w:val="32"/>
        </w:rPr>
        <w:t>元，主要为涉密项目等。</w:t>
      </w:r>
    </w:p>
    <w:p>
      <w:pPr>
        <w:ind w:firstLine="640"/>
        <w:rPr>
          <w:rFonts w:ascii="Times New Roman" w:hAnsi="Times New Roman" w:eastAsia="方正仿宋_GBK"/>
          <w:sz w:val="32"/>
          <w:szCs w:val="32"/>
        </w:rPr>
      </w:pPr>
      <w:r>
        <w:rPr>
          <w:rFonts w:ascii="Times New Roman" w:hAnsi="Times New Roman" w:eastAsia="方正仿宋_GBK"/>
          <w:sz w:val="32"/>
          <w:szCs w:val="32"/>
        </w:rPr>
        <w:t>3</w:t>
      </w:r>
      <w:r>
        <w:rPr>
          <w:rFonts w:hint="eastAsia" w:ascii="Times New Roman" w:hAnsi="Times New Roman" w:eastAsia="方正仿宋_GBK"/>
          <w:sz w:val="32"/>
          <w:szCs w:val="32"/>
        </w:rPr>
        <w:t>、比上年增减情况</w:t>
      </w:r>
    </w:p>
    <w:p>
      <w:pPr>
        <w:ind w:firstLine="640"/>
        <w:rPr>
          <w:rFonts w:ascii="仿宋_GB2312" w:hAnsi="黑体" w:eastAsia="仿宋_GB2312"/>
          <w:sz w:val="32"/>
          <w:szCs w:val="32"/>
        </w:rPr>
      </w:pPr>
      <w:r>
        <w:rPr>
          <w:rFonts w:ascii="Times New Roman" w:hAnsi="Times New Roman" w:eastAsia="方正仿宋_GBK"/>
          <w:sz w:val="32"/>
          <w:szCs w:val="32"/>
        </w:rPr>
        <w:t>2021</w:t>
      </w:r>
      <w:r>
        <w:rPr>
          <w:rFonts w:hint="eastAsia" w:ascii="Times New Roman" w:hAnsi="Times New Roman" w:eastAsia="方正仿宋_GBK"/>
          <w:sz w:val="32"/>
          <w:szCs w:val="32"/>
        </w:rPr>
        <w:t>年预算收支安排</w:t>
      </w:r>
      <w:r>
        <w:rPr>
          <w:rFonts w:ascii="方正书宋_GBK" w:eastAsia="方正书宋_GBK"/>
          <w:b/>
          <w:sz w:val="32"/>
          <w:szCs w:val="32"/>
        </w:rPr>
        <w:t>625</w:t>
      </w:r>
      <w:r>
        <w:rPr>
          <w:rFonts w:hint="eastAsia" w:ascii="方正书宋_GBK" w:eastAsia="方正书宋_GBK"/>
          <w:b/>
          <w:sz w:val="32"/>
          <w:szCs w:val="32"/>
        </w:rPr>
        <w:t>.</w:t>
      </w:r>
      <w:r>
        <w:rPr>
          <w:rFonts w:ascii="方正书宋_GBK" w:eastAsia="方正书宋_GBK"/>
          <w:b/>
          <w:sz w:val="32"/>
          <w:szCs w:val="32"/>
        </w:rPr>
        <w:t>48</w:t>
      </w:r>
      <w:r>
        <w:rPr>
          <w:rFonts w:hint="eastAsia" w:ascii="方正书宋_GBK" w:eastAsia="方正书宋_GBK"/>
          <w:b/>
          <w:sz w:val="32"/>
          <w:szCs w:val="32"/>
        </w:rPr>
        <w:t>万</w:t>
      </w:r>
      <w:r>
        <w:rPr>
          <w:rFonts w:hint="eastAsia" w:ascii="Times New Roman" w:hAnsi="Times New Roman" w:eastAsia="方正仿宋_GBK"/>
          <w:sz w:val="32"/>
          <w:szCs w:val="32"/>
        </w:rPr>
        <w:t>元，较</w:t>
      </w:r>
      <w:r>
        <w:rPr>
          <w:rFonts w:ascii="Times New Roman" w:hAnsi="Times New Roman" w:eastAsia="方正仿宋_GBK"/>
          <w:sz w:val="32"/>
          <w:szCs w:val="32"/>
        </w:rPr>
        <w:t>2020</w:t>
      </w:r>
      <w:r>
        <w:rPr>
          <w:rFonts w:hint="eastAsia" w:ascii="Times New Roman" w:hAnsi="Times New Roman" w:eastAsia="方正仿宋_GBK"/>
          <w:sz w:val="32"/>
          <w:szCs w:val="32"/>
        </w:rPr>
        <w:t>年年初预算减少44.96万元，其中：基本支出减少13.96万元，主要为减少人员经费支出；项目支出减少31万元，主要为支付项目尾款。</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三、机关运行经费安排情况</w:t>
      </w:r>
    </w:p>
    <w:p>
      <w:pPr>
        <w:ind w:firstLine="960" w:firstLineChars="300"/>
        <w:jc w:val="left"/>
        <w:rPr>
          <w:rFonts w:ascii="宋体" w:cs="宋体"/>
          <w:sz w:val="24"/>
          <w:szCs w:val="24"/>
        </w:rPr>
      </w:pPr>
      <w:r>
        <w:rPr>
          <w:rFonts w:ascii="Times New Roman" w:hAnsi="Times New Roman" w:eastAsia="方正仿宋_GBK"/>
          <w:sz w:val="32"/>
          <w:szCs w:val="32"/>
        </w:rPr>
        <w:t>2021</w:t>
      </w:r>
      <w:r>
        <w:rPr>
          <w:rFonts w:hint="eastAsia" w:ascii="Times New Roman" w:hAnsi="Times New Roman" w:eastAsia="方正仿宋_GBK"/>
          <w:sz w:val="32"/>
          <w:szCs w:val="32"/>
        </w:rPr>
        <w:t>年，我部机关运行经费共计安排</w:t>
      </w:r>
      <w:r>
        <w:rPr>
          <w:rFonts w:hint="eastAsia"/>
          <w:sz w:val="32"/>
          <w:szCs w:val="32"/>
        </w:rPr>
        <w:t>18.62</w:t>
      </w:r>
      <w:r>
        <w:rPr>
          <w:rFonts w:hint="eastAsia" w:ascii="Times New Roman" w:hAnsi="Times New Roman" w:eastAsia="方正仿宋_GBK"/>
          <w:sz w:val="32"/>
          <w:szCs w:val="32"/>
        </w:rPr>
        <w:t>万元，主要用于办公费、印刷费、邮电费、差旅费等日常运行支出。</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方正仿宋_GBK"/>
          <w:sz w:val="32"/>
          <w:szCs w:val="32"/>
        </w:rPr>
      </w:pPr>
      <w:r>
        <w:rPr>
          <w:rFonts w:ascii="Times New Roman" w:hAnsi="Times New Roman" w:eastAsia="方正仿宋_GBK"/>
          <w:sz w:val="32"/>
          <w:szCs w:val="32"/>
        </w:rPr>
        <w:t>2021</w:t>
      </w:r>
      <w:r>
        <w:rPr>
          <w:rFonts w:hint="eastAsia" w:ascii="Times New Roman" w:hAnsi="Times New Roman" w:eastAsia="方正仿宋_GBK"/>
          <w:sz w:val="32"/>
          <w:szCs w:val="32"/>
        </w:rPr>
        <w:t>年，我部财政拨款</w:t>
      </w:r>
      <w:r>
        <w:rPr>
          <w:rFonts w:ascii="Times New Roman" w:hAnsi="Times New Roman" w:eastAsia="方正仿宋_GBK"/>
          <w:sz w:val="32"/>
          <w:szCs w:val="32"/>
        </w:rPr>
        <w:t>“</w:t>
      </w:r>
      <w:r>
        <w:rPr>
          <w:rFonts w:hint="eastAsia" w:ascii="Times New Roman" w:hAnsi="Times New Roman" w:eastAsia="方正仿宋_GBK"/>
          <w:sz w:val="32"/>
          <w:szCs w:val="32"/>
        </w:rPr>
        <w:t>三公</w:t>
      </w:r>
      <w:r>
        <w:rPr>
          <w:rFonts w:ascii="Times New Roman" w:hAnsi="Times New Roman" w:eastAsia="方正仿宋_GBK"/>
          <w:sz w:val="32"/>
          <w:szCs w:val="32"/>
        </w:rPr>
        <w:t>”</w:t>
      </w:r>
      <w:r>
        <w:rPr>
          <w:rFonts w:hint="eastAsia" w:ascii="Times New Roman" w:hAnsi="Times New Roman" w:eastAsia="方正仿宋_GBK"/>
          <w:sz w:val="32"/>
          <w:szCs w:val="32"/>
        </w:rPr>
        <w:t>经费预算安排7.84万元，其中因公出国（境）费  0万元；公务用车购置及运维费0万元（其中：公务用车购置费为</w:t>
      </w:r>
      <w:r>
        <w:rPr>
          <w:rFonts w:ascii="Times New Roman" w:hAnsi="Times New Roman" w:eastAsia="方正仿宋_GBK"/>
          <w:sz w:val="32"/>
          <w:szCs w:val="32"/>
        </w:rPr>
        <w:t>0</w:t>
      </w:r>
      <w:r>
        <w:rPr>
          <w:rFonts w:hint="eastAsia" w:ascii="Times New Roman" w:hAnsi="Times New Roman" w:eastAsia="方正仿宋_GBK"/>
          <w:sz w:val="32"/>
          <w:szCs w:val="32"/>
        </w:rPr>
        <w:t>万元，公务用车运维费0万元</w:t>
      </w:r>
      <w:r>
        <w:rPr>
          <w:rFonts w:ascii="Times New Roman" w:hAnsi="Times New Roman" w:eastAsia="方正仿宋_GBK"/>
          <w:sz w:val="32"/>
          <w:szCs w:val="32"/>
        </w:rPr>
        <w:t>)</w:t>
      </w:r>
      <w:r>
        <w:rPr>
          <w:rFonts w:hint="eastAsia" w:ascii="Times New Roman" w:hAnsi="Times New Roman" w:eastAsia="方正仿宋_GBK"/>
          <w:sz w:val="32"/>
          <w:szCs w:val="32"/>
        </w:rPr>
        <w:t>；公务接待费7.84万元。与</w:t>
      </w:r>
      <w:r>
        <w:rPr>
          <w:rFonts w:ascii="Times New Roman" w:hAnsi="Times New Roman" w:eastAsia="方正仿宋_GBK"/>
          <w:sz w:val="32"/>
          <w:szCs w:val="32"/>
        </w:rPr>
        <w:t>2020</w:t>
      </w:r>
      <w:r>
        <w:rPr>
          <w:rFonts w:hint="eastAsia" w:ascii="Times New Roman" w:hAnsi="Times New Roman" w:eastAsia="方正仿宋_GBK"/>
          <w:sz w:val="32"/>
          <w:szCs w:val="32"/>
        </w:rPr>
        <w:t>年相比增加5.34万元，增加的主要原因是：2020年九届市委第十轮市县联动巡察选人用人专项检查工作经费需在本年列支。</w:t>
      </w:r>
    </w:p>
    <w:p>
      <w:pPr>
        <w:ind w:firstLine="640" w:firstLineChars="200"/>
        <w:rPr>
          <w:rFonts w:ascii="黑体" w:hAnsi="黑体" w:eastAsia="黑体"/>
          <w:sz w:val="32"/>
          <w:szCs w:val="32"/>
        </w:rPr>
      </w:pPr>
      <w:r>
        <w:rPr>
          <w:rFonts w:hint="eastAsia" w:ascii="黑体" w:hAnsi="黑体" w:eastAsia="黑体"/>
          <w:sz w:val="32"/>
          <w:szCs w:val="32"/>
        </w:rPr>
        <w:t>五、预算绩效信息</w:t>
      </w:r>
    </w:p>
    <w:p>
      <w:pPr>
        <w:autoSpaceDE w:val="0"/>
        <w:autoSpaceDN w:val="0"/>
        <w:adjustRightInd w:val="0"/>
        <w:ind w:left="198" w:firstLine="640" w:firstLineChars="200"/>
        <w:jc w:val="left"/>
        <w:rPr>
          <w:rFonts w:ascii="Times New Roman" w:hAnsi="Times New Roman" w:eastAsia="方正仿宋_GBK"/>
          <w:b/>
          <w:sz w:val="32"/>
          <w:szCs w:val="32"/>
        </w:rPr>
      </w:pPr>
      <w:bookmarkStart w:id="0" w:name="_Toc471398463"/>
      <w:r>
        <w:rPr>
          <w:rFonts w:hint="eastAsia" w:ascii="Times New Roman" w:hAnsi="Times New Roman" w:eastAsia="方正仿宋_GBK"/>
          <w:b/>
          <w:sz w:val="32"/>
          <w:szCs w:val="32"/>
        </w:rPr>
        <w:t>（一）总体绩效目标</w:t>
      </w:r>
      <w:r>
        <w:rPr>
          <w:rFonts w:hint="eastAsia" w:ascii="Times New Roman" w:hAnsi="Times New Roman" w:eastAsia="方正仿宋_GBK"/>
          <w:b/>
          <w:sz w:val="32"/>
          <w:szCs w:val="32"/>
        </w:rPr>
        <w:fldChar w:fldCharType="begin"/>
      </w:r>
      <w:r>
        <w:rPr>
          <w:rFonts w:hint="eastAsia" w:ascii="Times New Roman" w:hAnsi="Times New Roman" w:eastAsia="方正仿宋_GBK"/>
          <w:b/>
          <w:sz w:val="32"/>
          <w:szCs w:val="32"/>
        </w:rPr>
        <w:instrText xml:space="preserve"> TC </w:instrText>
      </w:r>
      <w:bookmarkStart w:id="1" w:name="_Toc29484628"/>
      <w:r>
        <w:rPr>
          <w:rFonts w:hint="eastAsia" w:ascii="Times New Roman" w:hAnsi="Times New Roman" w:eastAsia="方正仿宋_GBK"/>
          <w:b/>
          <w:sz w:val="32"/>
          <w:szCs w:val="32"/>
        </w:rPr>
        <w:instrText xml:space="preserve">总体绩效目标</w:instrText>
      </w:r>
      <w:bookmarkEnd w:id="1"/>
      <w:r>
        <w:rPr>
          <w:rFonts w:hint="eastAsia" w:ascii="Times New Roman" w:hAnsi="Times New Roman" w:eastAsia="方正仿宋_GBK"/>
          <w:b/>
          <w:sz w:val="32"/>
          <w:szCs w:val="32"/>
        </w:rPr>
        <w:instrText xml:space="preserve"> \f A \l 1 </w:instrText>
      </w:r>
      <w:r>
        <w:rPr>
          <w:rFonts w:hint="eastAsia" w:ascii="Times New Roman" w:hAnsi="Times New Roman" w:eastAsia="方正仿宋_GBK"/>
          <w:b/>
          <w:sz w:val="32"/>
          <w:szCs w:val="32"/>
        </w:rPr>
        <w:fldChar w:fldCharType="end"/>
      </w:r>
    </w:p>
    <w:p>
      <w:pPr>
        <w:autoSpaceDE w:val="0"/>
        <w:autoSpaceDN w:val="0"/>
        <w:adjustRightInd w:val="0"/>
        <w:ind w:left="198" w:firstLine="640" w:firstLineChars="200"/>
        <w:jc w:val="left"/>
        <w:rPr>
          <w:rFonts w:ascii="Times New Roman" w:hAnsi="Times New Roman" w:eastAsia="仿宋"/>
          <w:sz w:val="32"/>
          <w:szCs w:val="32"/>
        </w:rPr>
      </w:pPr>
      <w:r>
        <w:rPr>
          <w:rFonts w:hint="eastAsia" w:ascii="Times New Roman" w:hAnsi="Times New Roman" w:eastAsia="仿宋" w:cs="仿宋"/>
          <w:sz w:val="32"/>
          <w:szCs w:val="32"/>
        </w:rPr>
        <w:t>一、以加强政治建设为中心，深入学习贯彻习近平新时代中国特色社会主义思想。</w:t>
      </w:r>
    </w:p>
    <w:p>
      <w:pPr>
        <w:autoSpaceDE w:val="0"/>
        <w:autoSpaceDN w:val="0"/>
        <w:adjustRightInd w:val="0"/>
        <w:ind w:left="198" w:firstLine="640" w:firstLineChars="200"/>
        <w:jc w:val="left"/>
        <w:rPr>
          <w:rFonts w:ascii="Times New Roman" w:hAnsi="Times New Roman" w:eastAsia="仿宋"/>
          <w:sz w:val="32"/>
          <w:szCs w:val="32"/>
        </w:rPr>
      </w:pPr>
      <w:r>
        <w:rPr>
          <w:rFonts w:hint="eastAsia" w:ascii="Times New Roman" w:hAnsi="Times New Roman" w:eastAsia="仿宋" w:cs="仿宋"/>
          <w:sz w:val="32"/>
          <w:szCs w:val="32"/>
        </w:rPr>
        <w:t>二、以强化激励关爱为手段，打造忠诚干净担当的高素质干部队伍，</w:t>
      </w:r>
    </w:p>
    <w:p>
      <w:pPr>
        <w:autoSpaceDE w:val="0"/>
        <w:autoSpaceDN w:val="0"/>
        <w:adjustRightInd w:val="0"/>
        <w:ind w:left="198" w:firstLine="640" w:firstLineChars="200"/>
        <w:jc w:val="left"/>
        <w:rPr>
          <w:rFonts w:ascii="Times New Roman" w:hAnsi="Times New Roman" w:eastAsia="仿宋"/>
          <w:sz w:val="32"/>
          <w:szCs w:val="32"/>
        </w:rPr>
      </w:pPr>
      <w:r>
        <w:rPr>
          <w:rFonts w:hint="eastAsia" w:ascii="Times New Roman" w:hAnsi="Times New Roman" w:eastAsia="仿宋" w:cs="仿宋"/>
          <w:sz w:val="32"/>
          <w:szCs w:val="32"/>
        </w:rPr>
        <w:t>三、以提升组织力为重点，不断提高基层党组织建设质量。</w:t>
      </w:r>
    </w:p>
    <w:p>
      <w:pPr>
        <w:autoSpaceDE w:val="0"/>
        <w:autoSpaceDN w:val="0"/>
        <w:adjustRightInd w:val="0"/>
        <w:ind w:left="198" w:firstLine="640" w:firstLineChars="200"/>
        <w:jc w:val="left"/>
        <w:rPr>
          <w:rFonts w:ascii="Times New Roman" w:hAnsi="Times New Roman" w:eastAsia="仿宋"/>
          <w:sz w:val="32"/>
          <w:szCs w:val="32"/>
        </w:rPr>
      </w:pPr>
      <w:r>
        <w:rPr>
          <w:rFonts w:hint="eastAsia" w:ascii="Times New Roman" w:hAnsi="Times New Roman" w:eastAsia="仿宋" w:cs="仿宋"/>
          <w:sz w:val="32"/>
          <w:szCs w:val="32"/>
        </w:rPr>
        <w:t>四、以激活活力为中心，深化人才体制机制改革。</w:t>
      </w:r>
    </w:p>
    <w:p>
      <w:pPr>
        <w:autoSpaceDE w:val="0"/>
        <w:autoSpaceDN w:val="0"/>
        <w:adjustRightInd w:val="0"/>
        <w:ind w:left="198" w:firstLine="640" w:firstLineChars="200"/>
        <w:jc w:val="left"/>
        <w:rPr>
          <w:rFonts w:ascii="Times New Roman" w:hAnsi="Times New Roman" w:eastAsia="仿宋"/>
          <w:sz w:val="32"/>
          <w:szCs w:val="32"/>
        </w:rPr>
      </w:pPr>
      <w:r>
        <w:rPr>
          <w:rFonts w:hint="eastAsia" w:ascii="Times New Roman" w:hAnsi="Times New Roman" w:eastAsia="仿宋" w:cs="仿宋"/>
          <w:sz w:val="32"/>
          <w:szCs w:val="32"/>
        </w:rPr>
        <w:t>五、以服务大局为宗旨，大力加强组织部门自身建设。</w:t>
      </w:r>
    </w:p>
    <w:p>
      <w:pPr>
        <w:autoSpaceDE w:val="0"/>
        <w:autoSpaceDN w:val="0"/>
        <w:adjustRightInd w:val="0"/>
        <w:ind w:left="198" w:firstLine="640" w:firstLineChars="200"/>
        <w:jc w:val="left"/>
        <w:rPr>
          <w:rFonts w:ascii="Times New Roman" w:hAnsi="Times New Roman" w:eastAsia="方正仿宋_GBK"/>
          <w:b/>
          <w:sz w:val="32"/>
          <w:szCs w:val="32"/>
        </w:rPr>
      </w:pPr>
      <w:r>
        <w:rPr>
          <w:rFonts w:hint="eastAsia" w:ascii="Times New Roman" w:hAnsi="Times New Roman" w:eastAsia="方正仿宋_GBK"/>
          <w:b/>
          <w:sz w:val="32"/>
          <w:szCs w:val="32"/>
        </w:rPr>
        <w:t>（二）分项绩效目标</w:t>
      </w:r>
      <w:r>
        <w:rPr>
          <w:rFonts w:hint="eastAsia" w:ascii="Times New Roman" w:hAnsi="Times New Roman" w:eastAsia="方正仿宋_GBK"/>
          <w:b/>
          <w:sz w:val="32"/>
          <w:szCs w:val="32"/>
        </w:rPr>
        <w:fldChar w:fldCharType="begin"/>
      </w:r>
      <w:r>
        <w:rPr>
          <w:rFonts w:hint="eastAsia" w:ascii="Times New Roman" w:hAnsi="Times New Roman" w:eastAsia="方正仿宋_GBK"/>
          <w:b/>
          <w:sz w:val="32"/>
          <w:szCs w:val="32"/>
        </w:rPr>
        <w:instrText xml:space="preserve"> TC </w:instrText>
      </w:r>
      <w:bookmarkStart w:id="2" w:name="_Toc29484629"/>
      <w:r>
        <w:rPr>
          <w:rFonts w:hint="eastAsia" w:ascii="Times New Roman" w:hAnsi="Times New Roman" w:eastAsia="方正仿宋_GBK"/>
          <w:b/>
          <w:sz w:val="32"/>
          <w:szCs w:val="32"/>
        </w:rPr>
        <w:instrText xml:space="preserve">分项绩效目标</w:instrText>
      </w:r>
      <w:bookmarkEnd w:id="2"/>
      <w:r>
        <w:rPr>
          <w:rFonts w:hint="eastAsia" w:ascii="Times New Roman" w:hAnsi="Times New Roman" w:eastAsia="方正仿宋_GBK"/>
          <w:b/>
          <w:sz w:val="32"/>
          <w:szCs w:val="32"/>
        </w:rPr>
        <w:instrText xml:space="preserve"> \f A \l 1 </w:instrText>
      </w:r>
      <w:r>
        <w:rPr>
          <w:rFonts w:hint="eastAsia" w:ascii="Times New Roman" w:hAnsi="Times New Roman" w:eastAsia="方正仿宋_GBK"/>
          <w:b/>
          <w:sz w:val="32"/>
          <w:szCs w:val="32"/>
        </w:rPr>
        <w:fldChar w:fldCharType="end"/>
      </w: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cs="仿宋"/>
          <w:sz w:val="32"/>
          <w:szCs w:val="32"/>
        </w:rPr>
        <w:t>一、强化培训教育，全面增强干部队伍的整体素质</w:t>
      </w:r>
    </w:p>
    <w:p>
      <w:pPr>
        <w:autoSpaceDE w:val="0"/>
        <w:autoSpaceDN w:val="0"/>
        <w:adjustRightInd w:val="0"/>
        <w:ind w:left="198" w:firstLine="640" w:firstLineChars="200"/>
        <w:jc w:val="left"/>
        <w:rPr>
          <w:rFonts w:ascii="Times New Roman" w:hAnsi="Times New Roman" w:eastAsia="仿宋"/>
          <w:sz w:val="32"/>
          <w:szCs w:val="32"/>
        </w:rPr>
      </w:pPr>
      <w:r>
        <w:rPr>
          <w:rFonts w:ascii="Times New Roman" w:hAnsi="Times New Roman" w:eastAsia="仿宋"/>
          <w:sz w:val="32"/>
          <w:szCs w:val="32"/>
        </w:rPr>
        <w:t>1</w:t>
      </w:r>
      <w:r>
        <w:rPr>
          <w:rFonts w:hint="eastAsia" w:ascii="Times New Roman" w:hAnsi="Times New Roman" w:eastAsia="仿宋" w:cs="仿宋"/>
          <w:sz w:val="32"/>
          <w:szCs w:val="32"/>
        </w:rPr>
        <w:t>、切实抓好理论学习。在全县党员干部中开展以增强执政意识、提高执政能力为主题的十九届四中全会精神理论学习活动。紧紧围绕改革、发展和稳定这个中心，巩固和深化“两学一做活动”学习教育活动成果。</w:t>
      </w:r>
    </w:p>
    <w:p>
      <w:pPr>
        <w:autoSpaceDE w:val="0"/>
        <w:autoSpaceDN w:val="0"/>
        <w:adjustRightInd w:val="0"/>
        <w:ind w:left="198" w:firstLine="640" w:firstLineChars="200"/>
        <w:jc w:val="left"/>
        <w:rPr>
          <w:rFonts w:ascii="Times New Roman" w:hAnsi="Times New Roman" w:eastAsia="仿宋"/>
          <w:sz w:val="32"/>
          <w:szCs w:val="32"/>
        </w:rPr>
      </w:pPr>
      <w:r>
        <w:rPr>
          <w:rFonts w:ascii="Times New Roman" w:hAnsi="Times New Roman" w:eastAsia="仿宋"/>
          <w:sz w:val="32"/>
          <w:szCs w:val="32"/>
        </w:rPr>
        <w:t>2</w:t>
      </w:r>
      <w:r>
        <w:rPr>
          <w:rFonts w:hint="eastAsia" w:ascii="Times New Roman" w:hAnsi="Times New Roman" w:eastAsia="仿宋" w:cs="仿宋"/>
          <w:sz w:val="32"/>
          <w:szCs w:val="32"/>
        </w:rPr>
        <w:t>、加强思想政治建设。在全县各级领导班子和领导干部中深入开展民主集中制教育，提高民主生活会质量。定期对领导班子的状况进行分析，着力解决领导班子思想政治建设方面存在的突出问题，建立完善加强领导班子思想政治建设的长效机制。指导督促乡镇党委、县直单位党组</w:t>
      </w:r>
      <w:r>
        <w:rPr>
          <w:rFonts w:ascii="Times New Roman" w:hAnsi="Times New Roman" w:eastAsia="仿宋"/>
          <w:sz w:val="32"/>
          <w:szCs w:val="32"/>
        </w:rPr>
        <w:t>(</w:t>
      </w:r>
      <w:r>
        <w:rPr>
          <w:rFonts w:hint="eastAsia" w:ascii="Times New Roman" w:hAnsi="Times New Roman" w:eastAsia="仿宋" w:cs="仿宋"/>
          <w:sz w:val="32"/>
          <w:szCs w:val="32"/>
        </w:rPr>
        <w:t>党委</w:t>
      </w:r>
      <w:r>
        <w:rPr>
          <w:rFonts w:ascii="Times New Roman" w:hAnsi="Times New Roman" w:eastAsia="仿宋"/>
          <w:sz w:val="32"/>
          <w:szCs w:val="32"/>
        </w:rPr>
        <w:t>)</w:t>
      </w:r>
      <w:r>
        <w:rPr>
          <w:rFonts w:hint="eastAsia" w:ascii="Times New Roman" w:hAnsi="Times New Roman" w:eastAsia="仿宋" w:cs="仿宋"/>
          <w:sz w:val="32"/>
          <w:szCs w:val="32"/>
        </w:rPr>
        <w:t>建立健全工作规则，保持协调高效运转，增强整体合力。</w:t>
      </w:r>
    </w:p>
    <w:p>
      <w:pPr>
        <w:autoSpaceDE w:val="0"/>
        <w:autoSpaceDN w:val="0"/>
        <w:adjustRightInd w:val="0"/>
        <w:ind w:left="198" w:firstLine="640" w:firstLineChars="200"/>
        <w:jc w:val="left"/>
        <w:rPr>
          <w:rFonts w:ascii="Times New Roman" w:hAnsi="Times New Roman" w:eastAsia="仿宋"/>
          <w:sz w:val="32"/>
          <w:szCs w:val="32"/>
        </w:rPr>
      </w:pPr>
      <w:r>
        <w:rPr>
          <w:rFonts w:ascii="Times New Roman" w:hAnsi="Times New Roman" w:eastAsia="仿宋"/>
          <w:sz w:val="32"/>
          <w:szCs w:val="32"/>
        </w:rPr>
        <w:t>3</w:t>
      </w:r>
      <w:r>
        <w:rPr>
          <w:rFonts w:hint="eastAsia" w:ascii="Times New Roman" w:hAnsi="Times New Roman" w:eastAsia="仿宋" w:cs="仿宋"/>
          <w:sz w:val="32"/>
          <w:szCs w:val="32"/>
        </w:rPr>
        <w:t>、加大集中培训力度。按照中央关于大规模集中培训干部的指示精神，进一步加大干部培训工作的力度，力争年内有不少于</w:t>
      </w:r>
      <w:r>
        <w:rPr>
          <w:rFonts w:ascii="Times New Roman" w:hAnsi="Times New Roman" w:eastAsia="仿宋"/>
          <w:sz w:val="32"/>
          <w:szCs w:val="32"/>
        </w:rPr>
        <w:t>1/5</w:t>
      </w:r>
      <w:r>
        <w:rPr>
          <w:rFonts w:hint="eastAsia" w:ascii="Times New Roman" w:hAnsi="Times New Roman" w:eastAsia="仿宋" w:cs="仿宋"/>
          <w:sz w:val="32"/>
          <w:szCs w:val="32"/>
        </w:rPr>
        <w:t>的干部参加各类班次的集中培训，全面提升我县干部队伍的整体素质。在培训内容上以增强执政意识、把握执政规律、提高执政能力为重点。年内计划举办两期科级干部研讨班、一期科级干部进修班、一期后备干部培训班，以及“加强党的执政能力”和“坚持和完善民主集中制”专题研讨班，并认真完成市委组织部下达的各项调学任务。同时，加强对各地各部门培训工作的组织协调和督查指导。</w:t>
      </w:r>
    </w:p>
    <w:p>
      <w:pPr>
        <w:autoSpaceDE w:val="0"/>
        <w:autoSpaceDN w:val="0"/>
        <w:adjustRightInd w:val="0"/>
        <w:ind w:left="198" w:firstLine="640" w:firstLineChars="200"/>
        <w:jc w:val="left"/>
        <w:rPr>
          <w:rFonts w:ascii="Times New Roman" w:hAnsi="Times New Roman" w:eastAsia="仿宋"/>
          <w:sz w:val="32"/>
          <w:szCs w:val="32"/>
        </w:rPr>
      </w:pPr>
      <w:r>
        <w:rPr>
          <w:rFonts w:ascii="Times New Roman" w:hAnsi="Times New Roman" w:eastAsia="仿宋"/>
          <w:sz w:val="32"/>
          <w:szCs w:val="32"/>
        </w:rPr>
        <w:t>4</w:t>
      </w:r>
      <w:r>
        <w:rPr>
          <w:rFonts w:hint="eastAsia" w:ascii="Times New Roman" w:hAnsi="Times New Roman" w:eastAsia="仿宋" w:cs="仿宋"/>
          <w:sz w:val="32"/>
          <w:szCs w:val="32"/>
        </w:rPr>
        <w:t>、积极推进工作创新。健全领导干部述学、评学、督学制度，完善考核、激励、约束机制，切实把学习情况特别是运用理论解决实际问题的能力作为考察干部的重要内容，增强干部学习的积极性和主动性。进一步改进干部培训方式，选调</w:t>
      </w:r>
      <w:r>
        <w:rPr>
          <w:rFonts w:ascii="Times New Roman" w:hAnsi="Times New Roman" w:eastAsia="仿宋"/>
          <w:sz w:val="32"/>
          <w:szCs w:val="32"/>
        </w:rPr>
        <w:t>30</w:t>
      </w:r>
      <w:r>
        <w:rPr>
          <w:rFonts w:hint="eastAsia" w:ascii="Times New Roman" w:hAnsi="Times New Roman" w:eastAsia="仿宋" w:cs="仿宋"/>
          <w:sz w:val="32"/>
          <w:szCs w:val="32"/>
        </w:rPr>
        <w:t>名左右的干部到高等院校进行异地培训，选调</w:t>
      </w:r>
      <w:r>
        <w:rPr>
          <w:rFonts w:ascii="Times New Roman" w:hAnsi="Times New Roman" w:eastAsia="仿宋"/>
          <w:sz w:val="32"/>
          <w:szCs w:val="32"/>
        </w:rPr>
        <w:t>30</w:t>
      </w:r>
      <w:r>
        <w:rPr>
          <w:rFonts w:hint="eastAsia" w:ascii="Times New Roman" w:hAnsi="Times New Roman" w:eastAsia="仿宋" w:cs="仿宋"/>
          <w:sz w:val="32"/>
          <w:szCs w:val="32"/>
        </w:rPr>
        <w:t>名左右党政正职及后备干部到发达地方或相邻地区挂职锻炼。同时，根据干部不同行业、不同工作岗位、个人不同情况等实际特点和工作需要，分层次、分类别进行培训，增强培训的针对性，提高培训质量。</w:t>
      </w:r>
    </w:p>
    <w:p>
      <w:pPr>
        <w:autoSpaceDE w:val="0"/>
        <w:autoSpaceDN w:val="0"/>
        <w:adjustRightInd w:val="0"/>
        <w:ind w:left="198" w:firstLine="640" w:firstLineChars="200"/>
        <w:jc w:val="left"/>
        <w:rPr>
          <w:rFonts w:ascii="黑体" w:hAnsi="黑体" w:eastAsia="黑体" w:cs="仿宋"/>
          <w:sz w:val="32"/>
          <w:szCs w:val="32"/>
        </w:rPr>
      </w:pP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cs="仿宋"/>
          <w:sz w:val="32"/>
          <w:szCs w:val="32"/>
        </w:rPr>
        <w:t>二、完善管理措施，大力加强领导班子和干部队伍建设。</w:t>
      </w:r>
    </w:p>
    <w:p>
      <w:pPr>
        <w:autoSpaceDE w:val="0"/>
        <w:autoSpaceDN w:val="0"/>
        <w:adjustRightInd w:val="0"/>
        <w:ind w:left="198" w:firstLine="640" w:firstLineChars="200"/>
        <w:jc w:val="left"/>
        <w:rPr>
          <w:rFonts w:ascii="Times New Roman" w:hAnsi="Times New Roman" w:eastAsia="仿宋"/>
          <w:sz w:val="32"/>
          <w:szCs w:val="32"/>
        </w:rPr>
      </w:pPr>
      <w:r>
        <w:rPr>
          <w:rFonts w:ascii="Times New Roman" w:hAnsi="Times New Roman" w:eastAsia="仿宋"/>
          <w:sz w:val="32"/>
          <w:szCs w:val="32"/>
        </w:rPr>
        <w:t>1</w:t>
      </w:r>
      <w:r>
        <w:rPr>
          <w:rFonts w:hint="eastAsia" w:ascii="Times New Roman" w:hAnsi="Times New Roman" w:eastAsia="仿宋" w:cs="仿宋"/>
          <w:sz w:val="32"/>
          <w:szCs w:val="32"/>
        </w:rPr>
        <w:t>、进一步优化班子结构。以加强执政能力建设为重点，紧紧围绕加快发展、富民强县、全面建设小康社会的目标，继续做好领导班子的日常调整和配备工作。按照革命化、年轻化、知识化、专业化的方针，优化各级领导班子结构，特别是要大力选拔熟悉工业经济、城镇建设、社会管理、金融、法律等方面知识的人才进入各级党政领导班子，真正把那些政治上靠得注工作上有本事、作风上过得硬的干部选拔到领导岗位上来。对于那些年纪较轻、知识层次较高、作风良好、政绩突出、群众公认、发展潜力较大的优秀年轻干部和女干部，可以打破台阶、行业、部门限制，成熟一个，提拔使用一个，特别优秀的，可以破格提拔，进一步改善各级领导班子的年龄结构、知识结构和专业结构。</w:t>
      </w:r>
    </w:p>
    <w:p>
      <w:pPr>
        <w:autoSpaceDE w:val="0"/>
        <w:autoSpaceDN w:val="0"/>
        <w:adjustRightInd w:val="0"/>
        <w:ind w:left="198" w:firstLine="640" w:firstLineChars="200"/>
        <w:jc w:val="left"/>
        <w:rPr>
          <w:rFonts w:ascii="Times New Roman" w:hAnsi="Times New Roman" w:eastAsia="仿宋"/>
          <w:sz w:val="32"/>
          <w:szCs w:val="32"/>
        </w:rPr>
      </w:pPr>
      <w:r>
        <w:rPr>
          <w:rFonts w:ascii="Times New Roman" w:hAnsi="Times New Roman" w:eastAsia="仿宋"/>
          <w:sz w:val="32"/>
          <w:szCs w:val="32"/>
        </w:rPr>
        <w:t> 2</w:t>
      </w:r>
      <w:r>
        <w:rPr>
          <w:rFonts w:hint="eastAsia" w:ascii="Times New Roman" w:hAnsi="Times New Roman" w:eastAsia="仿宋" w:cs="仿宋"/>
          <w:sz w:val="32"/>
          <w:szCs w:val="32"/>
        </w:rPr>
        <w:t>、切实加强宏观管理。继续抓好各项管理措施的贯彻落实，及时总结、推广比较成熟的做法和经验，指导各地各部门积极探索解决热点难点问题的办法。研究制定经济型、复合型干部认定标准，加大经济型、复合型干部使用力度。全面贯彻落实</w:t>
      </w:r>
      <w:r>
        <w:rPr>
          <w:rFonts w:hint="eastAsia" w:ascii="Times New Roman" w:hAnsi="Times New Roman" w:eastAsia="仿宋" w:cs="仿宋"/>
          <w:sz w:val="32"/>
          <w:szCs w:val="32"/>
          <w:lang w:eastAsia="zh-CN"/>
        </w:rPr>
        <w:t>《党政领导干部选拔任用工作条例》</w:t>
      </w:r>
      <w:r>
        <w:rPr>
          <w:rFonts w:hint="eastAsia" w:ascii="Times New Roman" w:hAnsi="Times New Roman" w:eastAsia="仿宋" w:cs="仿宋"/>
          <w:sz w:val="32"/>
          <w:szCs w:val="32"/>
        </w:rPr>
        <w:t>，健全和完善科级干部的选拔任用和审批程序。切实加强干部档案管理工作，建立《干部管理系统》和《干部档案编号查询系统》，加快信息化进程，推进干部档案管理规范化、信息化、制度化。建立和完善干部考察文书档案，规范干部考察文书档案的收集、管理和应用办法。</w:t>
      </w: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cs="仿宋"/>
          <w:sz w:val="32"/>
          <w:szCs w:val="32"/>
        </w:rPr>
        <w:t>三、实现年度发展规划目标的保障措施</w:t>
      </w:r>
    </w:p>
    <w:p>
      <w:pPr>
        <w:autoSpaceDE w:val="0"/>
        <w:autoSpaceDN w:val="0"/>
        <w:adjustRightInd w:val="0"/>
        <w:ind w:left="198" w:firstLine="640" w:firstLineChars="200"/>
        <w:jc w:val="left"/>
        <w:rPr>
          <w:rFonts w:ascii="Times New Roman" w:hAnsi="Times New Roman" w:eastAsia="仿宋"/>
          <w:sz w:val="32"/>
          <w:szCs w:val="32"/>
        </w:rPr>
      </w:pPr>
      <w:r>
        <w:rPr>
          <w:rFonts w:ascii="Times New Roman" w:hAnsi="Times New Roman" w:eastAsia="仿宋"/>
          <w:sz w:val="32"/>
          <w:szCs w:val="32"/>
        </w:rPr>
        <w:t>1</w:t>
      </w:r>
      <w:r>
        <w:rPr>
          <w:rFonts w:hint="eastAsia" w:ascii="Times New Roman" w:hAnsi="Times New Roman" w:eastAsia="仿宋" w:cs="仿宋"/>
          <w:sz w:val="32"/>
          <w:szCs w:val="32"/>
        </w:rPr>
        <w:t>、着眼于提高领导水平和执政能力，深入开展两学一做活动。</w:t>
      </w:r>
    </w:p>
    <w:p>
      <w:pPr>
        <w:autoSpaceDE w:val="0"/>
        <w:autoSpaceDN w:val="0"/>
        <w:adjustRightInd w:val="0"/>
        <w:ind w:left="198" w:firstLine="640" w:firstLineChars="200"/>
        <w:jc w:val="left"/>
        <w:rPr>
          <w:rFonts w:ascii="Times New Roman" w:hAnsi="Times New Roman" w:eastAsia="仿宋"/>
          <w:sz w:val="32"/>
          <w:szCs w:val="32"/>
        </w:rPr>
      </w:pPr>
      <w:r>
        <w:rPr>
          <w:rFonts w:ascii="Times New Roman" w:hAnsi="Times New Roman" w:eastAsia="仿宋"/>
          <w:sz w:val="32"/>
          <w:szCs w:val="32"/>
        </w:rPr>
        <w:t>2</w:t>
      </w:r>
      <w:r>
        <w:rPr>
          <w:rFonts w:hint="eastAsia" w:ascii="Times New Roman" w:hAnsi="Times New Roman" w:eastAsia="仿宋" w:cs="仿宋"/>
          <w:sz w:val="32"/>
          <w:szCs w:val="32"/>
        </w:rPr>
        <w:t>、着眼于选用人、激励人、约束人，切实加强干部队伍建设。</w:t>
      </w:r>
    </w:p>
    <w:p>
      <w:pPr>
        <w:autoSpaceDE w:val="0"/>
        <w:autoSpaceDN w:val="0"/>
        <w:adjustRightInd w:val="0"/>
        <w:ind w:left="198" w:firstLine="640" w:firstLineChars="200"/>
        <w:jc w:val="left"/>
        <w:rPr>
          <w:rFonts w:ascii="Times New Roman" w:hAnsi="Times New Roman" w:eastAsia="方正仿宋_GBK"/>
          <w:b/>
          <w:sz w:val="32"/>
          <w:szCs w:val="32"/>
        </w:rPr>
      </w:pPr>
      <w:r>
        <w:rPr>
          <w:rFonts w:hint="eastAsia" w:ascii="Times New Roman" w:hAnsi="Times New Roman" w:eastAsia="方正仿宋_GBK"/>
          <w:b/>
          <w:sz w:val="32"/>
          <w:szCs w:val="32"/>
        </w:rPr>
        <w:t>（三）工作保障措施</w:t>
      </w:r>
      <w:r>
        <w:rPr>
          <w:rFonts w:hint="eastAsia" w:ascii="Times New Roman" w:hAnsi="Times New Roman" w:eastAsia="方正仿宋_GBK"/>
          <w:b/>
          <w:sz w:val="32"/>
          <w:szCs w:val="32"/>
        </w:rPr>
        <w:fldChar w:fldCharType="begin"/>
      </w:r>
      <w:r>
        <w:rPr>
          <w:rFonts w:hint="eastAsia" w:ascii="Times New Roman" w:hAnsi="Times New Roman" w:eastAsia="方正仿宋_GBK"/>
          <w:b/>
          <w:sz w:val="32"/>
          <w:szCs w:val="32"/>
        </w:rPr>
        <w:instrText xml:space="preserve"> TC </w:instrText>
      </w:r>
      <w:bookmarkStart w:id="3" w:name="_Toc29484630"/>
      <w:r>
        <w:rPr>
          <w:rFonts w:hint="eastAsia" w:ascii="Times New Roman" w:hAnsi="Times New Roman" w:eastAsia="方正仿宋_GBK"/>
          <w:b/>
          <w:sz w:val="32"/>
          <w:szCs w:val="32"/>
        </w:rPr>
        <w:instrText xml:space="preserve">工作保障措施</w:instrText>
      </w:r>
      <w:bookmarkEnd w:id="3"/>
      <w:r>
        <w:rPr>
          <w:rFonts w:hint="eastAsia" w:ascii="Times New Roman" w:hAnsi="Times New Roman" w:eastAsia="方正仿宋_GBK"/>
          <w:b/>
          <w:sz w:val="32"/>
          <w:szCs w:val="32"/>
        </w:rPr>
        <w:instrText xml:space="preserve"> \f A \l 1 </w:instrText>
      </w:r>
      <w:r>
        <w:rPr>
          <w:rFonts w:hint="eastAsia" w:ascii="Times New Roman" w:hAnsi="Times New Roman" w:eastAsia="方正仿宋_GBK"/>
          <w:b/>
          <w:sz w:val="32"/>
          <w:szCs w:val="32"/>
        </w:rPr>
        <w:fldChar w:fldCharType="end"/>
      </w:r>
    </w:p>
    <w:p>
      <w:pPr>
        <w:autoSpaceDE w:val="0"/>
        <w:autoSpaceDN w:val="0"/>
        <w:adjustRightInd w:val="0"/>
        <w:ind w:left="198" w:firstLine="640" w:firstLineChars="200"/>
        <w:jc w:val="left"/>
        <w:rPr>
          <w:rFonts w:ascii="Times New Roman" w:hAnsi="Times New Roman" w:eastAsia="仿宋"/>
          <w:sz w:val="32"/>
          <w:szCs w:val="32"/>
        </w:rPr>
      </w:pPr>
      <w:r>
        <w:rPr>
          <w:rFonts w:hint="eastAsia" w:ascii="Times New Roman" w:hAnsi="Times New Roman" w:eastAsia="仿宋"/>
          <w:sz w:val="32"/>
          <w:szCs w:val="32"/>
        </w:rPr>
        <w:t>1、加强制度建设。建立健全机关预算绩效管理制度，为全年预算绩效目标的实现奠定制度基础。</w:t>
      </w:r>
    </w:p>
    <w:p>
      <w:pPr>
        <w:autoSpaceDE w:val="0"/>
        <w:autoSpaceDN w:val="0"/>
        <w:adjustRightInd w:val="0"/>
        <w:ind w:left="198" w:firstLine="640" w:firstLineChars="200"/>
        <w:jc w:val="left"/>
        <w:rPr>
          <w:rFonts w:ascii="Times New Roman" w:hAnsi="Times New Roman" w:eastAsia="仿宋"/>
          <w:sz w:val="32"/>
          <w:szCs w:val="32"/>
        </w:rPr>
      </w:pPr>
      <w:r>
        <w:rPr>
          <w:rFonts w:hint="eastAsia" w:ascii="Times New Roman" w:hAnsi="Times New Roman" w:eastAsia="仿宋"/>
          <w:sz w:val="32"/>
          <w:szCs w:val="32"/>
        </w:rPr>
        <w:t>2、规范财务管理。进一步完善财务管理制度，通过科学编制预算、优化支出结构、加快政府采购、加快项目建设、及时拨付资金，确保经费支出进度达到规定标准。</w:t>
      </w:r>
    </w:p>
    <w:p>
      <w:pPr>
        <w:autoSpaceDE w:val="0"/>
        <w:autoSpaceDN w:val="0"/>
        <w:adjustRightInd w:val="0"/>
        <w:ind w:left="198" w:firstLine="640" w:firstLineChars="200"/>
        <w:jc w:val="left"/>
        <w:rPr>
          <w:rFonts w:ascii="Times New Roman" w:hAnsi="Times New Roman" w:eastAsia="仿宋"/>
          <w:sz w:val="32"/>
          <w:szCs w:val="32"/>
        </w:rPr>
      </w:pPr>
      <w:r>
        <w:rPr>
          <w:rFonts w:hint="eastAsia" w:ascii="Times New Roman" w:hAnsi="Times New Roman" w:eastAsia="仿宋"/>
          <w:sz w:val="32"/>
          <w:szCs w:val="32"/>
        </w:rPr>
        <w:t>3、加强内部监督。加强内部监督制度建设，对绩效运行、重大支出事项、资产处置及其他重要经济业务事项决策和执行进行监督，定期开展财务内部审计，确保财政资金使用安全合规。</w:t>
      </w:r>
    </w:p>
    <w:p>
      <w:pPr>
        <w:autoSpaceDE w:val="0"/>
        <w:autoSpaceDN w:val="0"/>
        <w:adjustRightInd w:val="0"/>
        <w:ind w:left="198" w:firstLine="640" w:firstLineChars="200"/>
        <w:jc w:val="left"/>
        <w:rPr>
          <w:rFonts w:ascii="Times New Roman" w:hAnsi="Times New Roman" w:eastAsia="仿宋"/>
          <w:sz w:val="32"/>
          <w:szCs w:val="32"/>
        </w:rPr>
      </w:pPr>
      <w:r>
        <w:rPr>
          <w:rFonts w:hint="eastAsia" w:ascii="Times New Roman" w:hAnsi="Times New Roman" w:eastAsia="仿宋"/>
          <w:sz w:val="32"/>
          <w:szCs w:val="32"/>
        </w:rPr>
        <w:t>4、加强绩效监控。积极开展绩效运行监控，发现问题及时采取措施，确保绩效目标如期保质实现。</w:t>
      </w:r>
    </w:p>
    <w:p>
      <w:pPr>
        <w:autoSpaceDE w:val="0"/>
        <w:autoSpaceDN w:val="0"/>
        <w:adjustRightInd w:val="0"/>
        <w:ind w:left="198" w:firstLine="640" w:firstLineChars="200"/>
        <w:jc w:val="left"/>
        <w:rPr>
          <w:rFonts w:ascii="Times New Roman" w:hAnsi="Times New Roman" w:eastAsia="仿宋"/>
          <w:sz w:val="32"/>
          <w:szCs w:val="32"/>
        </w:rPr>
      </w:pPr>
      <w:r>
        <w:rPr>
          <w:rFonts w:hint="eastAsia" w:ascii="Times New Roman" w:hAnsi="Times New Roman" w:eastAsia="仿宋"/>
          <w:sz w:val="32"/>
          <w:szCs w:val="32"/>
        </w:rPr>
        <w:t>5、做好绩效自评。按要求开展部门预算绩效自评和重点项目评价工作，对评价中发现的问题及时整改。</w:t>
      </w:r>
    </w:p>
    <w:p>
      <w:pPr>
        <w:autoSpaceDE w:val="0"/>
        <w:autoSpaceDN w:val="0"/>
        <w:adjustRightInd w:val="0"/>
        <w:ind w:left="198" w:firstLine="640" w:firstLineChars="200"/>
        <w:jc w:val="left"/>
        <w:rPr>
          <w:rFonts w:ascii="Times New Roman" w:hAnsi="Times New Roman" w:eastAsia="仿宋"/>
          <w:sz w:val="32"/>
          <w:szCs w:val="32"/>
        </w:rPr>
      </w:pPr>
      <w:r>
        <w:rPr>
          <w:rFonts w:hint="eastAsia" w:ascii="Times New Roman" w:hAnsi="Times New Roman" w:eastAsia="仿宋"/>
          <w:sz w:val="32"/>
          <w:szCs w:val="32"/>
        </w:rPr>
        <w:t>6、加强宣传培训。加强人员培训，加大宣传力度，强化预算绩效管理意识，促进预算绩效管理水平提升。</w:t>
      </w:r>
    </w:p>
    <w:p>
      <w:pPr>
        <w:rPr>
          <w:rFonts w:ascii="Times New Roman" w:hAnsi="宋体"/>
          <w:sz w:val="52"/>
        </w:rPr>
        <w:sectPr>
          <w:headerReference r:id="rId3" w:type="default"/>
          <w:footerReference r:id="rId4" w:type="default"/>
          <w:pgSz w:w="16839" w:h="11907" w:orient="landscape"/>
          <w:pgMar w:top="1304" w:right="1985" w:bottom="1304" w:left="1134" w:header="851" w:footer="992" w:gutter="0"/>
          <w:pgNumType w:start="1"/>
          <w:cols w:space="720" w:num="1"/>
          <w:docGrid w:type="linesAndChars" w:linePitch="312" w:charSpace="0"/>
        </w:sectPr>
      </w:pPr>
    </w:p>
    <w:p>
      <w:pPr>
        <w:rPr>
          <w:rFonts w:ascii="Times New Roman" w:hAnsi="Times New Roman" w:eastAsia="方正仿宋_GBK"/>
          <w:b/>
          <w:sz w:val="32"/>
          <w:szCs w:val="32"/>
        </w:rPr>
      </w:pPr>
      <w:r>
        <w:rPr>
          <w:rFonts w:hint="eastAsia" w:ascii="Times New Roman" w:hAnsi="Times New Roman" w:eastAsia="方正仿宋_GBK"/>
          <w:b/>
          <w:sz w:val="32"/>
          <w:szCs w:val="32"/>
        </w:rPr>
        <w:t>第二部分：预算项目绩效目标：</w:t>
      </w:r>
    </w:p>
    <w:p>
      <w:pPr>
        <w:ind w:firstLine="562" w:firstLineChars="200"/>
        <w:jc w:val="left"/>
        <w:outlineLvl w:val="3"/>
        <w:rPr>
          <w:rFonts w:ascii="Times New Roman" w:hAnsi="宋体"/>
          <w:b/>
          <w:sz w:val="28"/>
        </w:rPr>
      </w:pPr>
      <w:bookmarkStart w:id="4" w:name="_Toc65939978"/>
      <w:r>
        <w:rPr>
          <w:rFonts w:hint="eastAsia" w:ascii="方正仿宋_GBK" w:eastAsia="方正仿宋_GBK"/>
          <w:b/>
          <w:sz w:val="28"/>
        </w:rPr>
        <w:t>1.干部教育培训经费绩效目标表</w:t>
      </w:r>
      <w:bookmarkEnd w:id="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1、干部教育培训经费绩效目标表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130525210YWZNK7V7LMY9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干部教育培训经费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按照《干部教育培训工作条例》《</w:t>
            </w:r>
            <w:r>
              <w:rPr>
                <w:rFonts w:ascii="方正书宋_GBK" w:eastAsia="方正书宋_GBK"/>
              </w:rPr>
              <w:t>2018—2022</w:t>
            </w:r>
            <w:r>
              <w:rPr>
                <w:rFonts w:hint="eastAsia" w:ascii="方正书宋_GBK" w:eastAsia="方正书宋_GBK"/>
              </w:rPr>
              <w:t>年全省干部教育培训规划》等文件要求，持续推进干部教育培训工作科学化、制度化、规范化，围绕建立源头培养、跟踪培养、全程培养的素质培养体系深化干部教育培训改革，着力增强培训的时代性、针对性、有效性，分类分级开展高质量干部教育培训工作，培养造就忠诚干净担当的高素质专业化干部队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按照服务大局，以德为先，注重能力的要求，按需施教。</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按照干部管理权限，分类分级完成全员培训。</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坚持开放办学，完善培训内容，进一步整合培训资源，推进干部教育培训工作改革创新。</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培训人数覆盖率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分类分级完成培训指标的人数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培训内容精准率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按不同类别层次岗位干部的需求，按需完成施教。</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培训计划按时完成率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按照年初培训计划按时完成相应培训的情况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开展培训成本控制率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培训平均实际成本不超过预算比率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培训工作带动经济发展率</w:t>
            </w:r>
            <w:r>
              <w:rPr>
                <w:rFonts w:ascii="方正书宋_GBK" w:eastAsia="方正书宋_GBK"/>
              </w:rPr>
              <w:t xml:space="preserve"> </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培训工作促进经济发展情况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培训工作所产生的社会综合效益率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项目完成对社会稳定的保障情况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培训工作对整体工作正面影响率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培训工作对县域整体工作持续影响率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培训对象满意率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培训对象反馈满意和较满意的数量占调查用户总数量的比率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培训对象所在党委满意率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培训对象所在党委反馈满意和较满意的数量占调查用户总数量的比率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 w:name="_Toc65939979"/>
      <w:r>
        <w:rPr>
          <w:rFonts w:hint="eastAsia" w:ascii="方正仿宋_GBK" w:eastAsia="方正仿宋_GBK"/>
          <w:b/>
          <w:sz w:val="28"/>
        </w:rPr>
        <w:t>2.冀财行[2021]153号/中央/2021年度下派选调生到村任职补助资金绩效目标表</w:t>
      </w:r>
      <w:bookmarkEnd w:id="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2、冀财行[2021]153号/中央/2021年度下派选调生到村任职补助资金绩效目标表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1305252117D24QSAT5B75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冀财行</w:t>
            </w:r>
            <w:r>
              <w:rPr>
                <w:rFonts w:ascii="方正书宋_GBK" w:eastAsia="方正书宋_GBK"/>
              </w:rPr>
              <w:t>[2021]153</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年度下派选调生到村任职补助资金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23</w:t>
            </w:r>
            <w:r>
              <w:rPr>
                <w:rFonts w:hint="eastAsia" w:ascii="方正书宋_GBK" w:eastAsia="方正书宋_GBK"/>
              </w:rPr>
              <w:t>.</w:t>
            </w:r>
            <w:r>
              <w:rPr>
                <w:rFonts w:ascii="方正书宋_GBK" w:eastAsia="方正书宋_GBK"/>
              </w:rPr>
              <w:t>25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23</w:t>
            </w:r>
            <w:r>
              <w:rPr>
                <w:rFonts w:hint="eastAsia" w:ascii="方正书宋_GBK" w:eastAsia="方正书宋_GBK"/>
              </w:rPr>
              <w:t>.</w:t>
            </w:r>
            <w:r>
              <w:rPr>
                <w:rFonts w:ascii="方正书宋_GBK" w:eastAsia="方正书宋_GBK"/>
              </w:rPr>
              <w:t>25</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按照选调生管理工作规定，用于保障选调生到村任职工作顺利开展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保障选调生教育培训工作顺利进行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保障选调生国情调研顺利</w:t>
            </w:r>
            <w:r>
              <w:rPr>
                <w:rFonts w:ascii="方正书宋_GBK" w:eastAsia="方正书宋_GBK"/>
              </w:rPr>
              <w:t xml:space="preserve"> </w:t>
            </w:r>
            <w:r>
              <w:rPr>
                <w:rFonts w:hint="eastAsia" w:ascii="方正书宋_GBK" w:eastAsia="方正书宋_GBK"/>
              </w:rPr>
              <w:t>进行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保障选调生服务群众工作顺利进行</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保障补贴对象人数占应保人数之比</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保障补贴对象人数占应保人数的比例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形成一批较高水平的优秀调研成果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形成一批较高水平的优秀调研成果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成效明显</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保障补贴发放及时率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是否按时发放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实际补贴成本超概（预）算比率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实际成本超概（预）算比率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到村工作下派选调生工作水平提高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到村工作下派选调生在农村干事创业，农村基层党建工作水平逐步提高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成效明显</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村任职选调生满意占应保人数之比</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对政策落实情况满意的到村任职选调生占应保人数之比</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 w:name="_Toc65939980"/>
      <w:r>
        <w:rPr>
          <w:rFonts w:hint="eastAsia" w:ascii="方正仿宋_GBK" w:eastAsia="方正仿宋_GBK"/>
          <w:b/>
          <w:sz w:val="28"/>
        </w:rPr>
        <w:t>3.冀财行[2020]150号 /中央/2021年老党员生活补贴绩效目标表</w:t>
      </w:r>
      <w:bookmarkEnd w:id="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3、冀财行[2020]150号 /中央/2021年老党员生活补贴绩效目标表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130525213GLWEB4G05HUA</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冀财行</w:t>
            </w:r>
            <w:r>
              <w:rPr>
                <w:rFonts w:ascii="方正书宋_GBK" w:eastAsia="方正书宋_GBK"/>
              </w:rPr>
              <w:t>[2020]150</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中央</w:t>
            </w:r>
            <w:r>
              <w:rPr>
                <w:rFonts w:ascii="方正书宋_GBK" w:eastAsia="方正书宋_GBK"/>
              </w:rPr>
              <w:t>/2021</w:t>
            </w:r>
            <w:r>
              <w:rPr>
                <w:rFonts w:hint="eastAsia" w:ascii="方正书宋_GBK" w:eastAsia="方正书宋_GBK"/>
              </w:rPr>
              <w:t>年老党员生活补贴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w:t>
            </w:r>
            <w:r>
              <w:rPr>
                <w:rFonts w:ascii="方正书宋_GBK" w:eastAsia="方正书宋_GBK"/>
              </w:rPr>
              <w:t>76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w:t>
            </w:r>
            <w:r>
              <w:rPr>
                <w:rFonts w:ascii="方正书宋_GBK" w:eastAsia="方正书宋_GBK"/>
              </w:rPr>
              <w:t>76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该项资金专项用于向建国前入党的农村老党员和未享受离退休待遇的城镇老党员发放生活补贴补助，各地要按照规定的补贴标准，统筹使用各级财政和党费补助资金，及时足额发放到位。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按时完成老党员补贴发放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足额完成老党员补贴发放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按照数量全部完成党员补贴发放</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老党员生活补贴补助资金发放人数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所有建国前入党的农村老党员和未享受离退休待遇的城镇老党员</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全部完成发放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经费足额拨付率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是否足额完成老党员补贴发放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足额完成发放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补助资金及时拨付率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是否按时完成老党员补贴发放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项目预算控制率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是否按照预算严格控制执行</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严格控制预算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老党员生活情况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服务群众，增加老党员收入</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有效改善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老党员生活情况有效改善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老党员对该项工作实施满意度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老党员对补贴发放满意</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7" w:name="_Toc65939981"/>
      <w:r>
        <w:rPr>
          <w:rFonts w:hint="eastAsia" w:ascii="方正仿宋_GBK" w:eastAsia="方正仿宋_GBK"/>
          <w:b/>
          <w:sz w:val="28"/>
        </w:rPr>
        <w:t>4.网信队伍建设工作经费绩效目标表</w:t>
      </w:r>
      <w:bookmarkEnd w:id="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4、网信队伍建设工作经费绩效目标表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130525214SN842CPO7MQ1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网信队伍建设工作经费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0.</w:t>
            </w:r>
            <w:r>
              <w:rPr>
                <w:rFonts w:ascii="方正书宋_GBK" w:eastAsia="方正书宋_GBK"/>
              </w:rPr>
              <w:t>60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0.</w:t>
            </w:r>
            <w:r>
              <w:rPr>
                <w:rFonts w:ascii="方正书宋_GBK" w:eastAsia="方正书宋_GBK"/>
              </w:rPr>
              <w:t>60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按照《隆尧县贯彻落实党委</w:t>
            </w:r>
            <w:r>
              <w:rPr>
                <w:rFonts w:ascii="方正书宋_GBK" w:eastAsia="方正书宋_GBK"/>
              </w:rPr>
              <w:t>(</w:t>
            </w:r>
            <w:r>
              <w:rPr>
                <w:rFonts w:hint="eastAsia" w:ascii="方正书宋_GBK" w:eastAsia="方正书宋_GBK"/>
              </w:rPr>
              <w:t>党组</w:t>
            </w:r>
            <w:r>
              <w:rPr>
                <w:rFonts w:ascii="方正书宋_GBK" w:eastAsia="方正书宋_GBK"/>
              </w:rPr>
              <w:t>)</w:t>
            </w:r>
            <w:r>
              <w:rPr>
                <w:rFonts w:hint="eastAsia" w:ascii="方正书宋_GBK" w:eastAsia="方正书宋_GBK"/>
              </w:rPr>
              <w:t>网络意识形态工作责任制的实施细则》等文件要求，进一步加强和改进网络意识形态工作，推动党委</w:t>
            </w:r>
            <w:r>
              <w:rPr>
                <w:rFonts w:ascii="方正书宋_GBK" w:eastAsia="方正书宋_GBK"/>
              </w:rPr>
              <w:t>(</w:t>
            </w:r>
            <w:r>
              <w:rPr>
                <w:rFonts w:hint="eastAsia" w:ascii="方正书宋_GBK" w:eastAsia="方正书宋_GBK"/>
              </w:rPr>
              <w:t>党组</w:t>
            </w:r>
            <w:r>
              <w:rPr>
                <w:rFonts w:ascii="方正书宋_GBK" w:eastAsia="方正书宋_GBK"/>
              </w:rPr>
              <w:t>)</w:t>
            </w:r>
            <w:r>
              <w:rPr>
                <w:rFonts w:hint="eastAsia" w:ascii="方正书宋_GBK" w:eastAsia="方正书宋_GBK"/>
              </w:rPr>
              <w:t>网络意识形态工作责任制落实，培养造就忠诚干净担当的高素质专业化网宣干部队伍，强化新闻网络宣传科的职能建设。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统筹协调组织组织部门网络意识形态管理和舆论引导工作，维护网络意识形态安全。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积极支持、配合县委网络安全和信息化委员会办公室工作，适时开展相关技能培训。</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分清主流支流，辨析网上突出问题，动态感知网络舆情态势、网络行为趋势。</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网宣培训人数覆盖率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分类分级完成培训指标的人数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网宣培训内容精准率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按不同类别层次岗位干部的需求，按需完成施教。</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网宣培训计划按时完成率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按照年初培训计划按时完成相应培训的情况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开展网宣培训成本控制率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培训平均实际成本不超过预算比率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网宣工作带动经济发展率</w:t>
            </w:r>
            <w:r>
              <w:rPr>
                <w:rFonts w:ascii="方正书宋_GBK" w:eastAsia="方正书宋_GBK"/>
              </w:rPr>
              <w:t xml:space="preserve"> </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培训工作促进经济发展情况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网宣工作所产生的社会综合效益率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项目完成对社会稳定的保障情况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网宣工作对县域正面影响率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培训工作对县域整体工作持续影响率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服务对象所在党委满意率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服务对象所在党委反馈满意和较满意的数量占调查用户总数量的比率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8" w:name="_Toc65939982"/>
      <w:r>
        <w:rPr>
          <w:rFonts w:hint="eastAsia" w:ascii="方正仿宋_GBK" w:eastAsia="方正仿宋_GBK"/>
          <w:b/>
          <w:sz w:val="28"/>
        </w:rPr>
        <w:t>5.“三优融合、聚才兴隆”人才集聚项目工作经费绩效目标表</w:t>
      </w:r>
      <w:bookmarkEnd w:id="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5、\“三优融合、聚才兴隆\”人才集聚项目工作经费绩效目标表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1305252156OIAMQ74RA9T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三优融合、聚才兴隆</w:t>
            </w:r>
            <w:r>
              <w:rPr>
                <w:rFonts w:hint="cs" w:ascii="方正书宋_GBK" w:eastAsia="方正书宋_GBK"/>
              </w:rPr>
              <w:t>”</w:t>
            </w:r>
            <w:r>
              <w:rPr>
                <w:rFonts w:hint="eastAsia" w:ascii="方正书宋_GBK" w:eastAsia="方正书宋_GBK"/>
              </w:rPr>
              <w:t>人才集聚项目工作经费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按照《中共邢台市委、邢台市人民政府关于高标准打造人才生态的实施意见》《隆尧县人才集聚</w:t>
            </w:r>
            <w:r>
              <w:rPr>
                <w:rFonts w:hint="cs" w:ascii="方正书宋_GBK" w:eastAsia="方正书宋_GBK"/>
              </w:rPr>
              <w:t>“</w:t>
            </w:r>
            <w:r>
              <w:rPr>
                <w:rFonts w:hint="eastAsia" w:ascii="方正书宋_GBK" w:eastAsia="方正书宋_GBK"/>
              </w:rPr>
              <w:t>三优融合</w:t>
            </w:r>
            <w:r>
              <w:rPr>
                <w:rFonts w:hint="cs" w:ascii="方正书宋_GBK" w:eastAsia="方正书宋_GBK"/>
              </w:rPr>
              <w:t>”</w:t>
            </w:r>
            <w:r>
              <w:rPr>
                <w:rFonts w:hint="eastAsia" w:ascii="方正书宋_GBK" w:eastAsia="方正书宋_GBK"/>
              </w:rPr>
              <w:t>活动实施方案》等文件要求，紧紧围绕高标准打造人才生态，深入实施</w:t>
            </w:r>
            <w:r>
              <w:rPr>
                <w:rFonts w:hint="cs" w:ascii="方正书宋_GBK" w:eastAsia="方正书宋_GBK"/>
              </w:rPr>
              <w:t>“</w:t>
            </w:r>
            <w:r>
              <w:rPr>
                <w:rFonts w:hint="eastAsia" w:ascii="方正书宋_GBK" w:eastAsia="方正书宋_GBK"/>
              </w:rPr>
              <w:t>聚才兴隆</w:t>
            </w:r>
            <w:r>
              <w:rPr>
                <w:rFonts w:hint="cs" w:ascii="方正书宋_GBK" w:eastAsia="方正书宋_GBK"/>
              </w:rPr>
              <w:t>”</w:t>
            </w:r>
            <w:r>
              <w:rPr>
                <w:rFonts w:hint="eastAsia" w:ascii="方正书宋_GBK" w:eastAsia="方正书宋_GBK"/>
              </w:rPr>
              <w:t>人才强县战略，开展人才集聚行动，重点做好大招生招引、高层次人才引进和大学生实习基地建设等工作，不断加大人才的引进、培养、支持、保障力度，为促进全县经济社会高质量赶超发展提供了坚强有力的人才支撑和智力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年度大学生招引工作完成率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年度高层次人才引进完成率</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年度大学生实习基地建设完成率</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招引各层次人才数量完成率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完成各层次人才的招引数量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招引高层次人才完成率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按照年初招引计划按时完成高层次人才的招引数量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招引各层次人才任务按时完成率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按照年初招引计划按时完成相应层次人才招引的情况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招引各层次人才成本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按计划招引各层次人才实际成本不超过预算比率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招引各层次人才带动经济发展率</w:t>
            </w:r>
            <w:r>
              <w:rPr>
                <w:rFonts w:ascii="方正书宋_GBK" w:eastAsia="方正书宋_GBK"/>
              </w:rPr>
              <w:t xml:space="preserve"> </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招引各层次人才带动经济发展率</w:t>
            </w:r>
            <w:r>
              <w:rPr>
                <w:rFonts w:ascii="方正书宋_GBK" w:eastAsia="方正书宋_GBK"/>
              </w:rPr>
              <w:t xml:space="preserve"> </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人才工作所产生的社会综合效益率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招引各层次人才所产生的社会综合效益率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人才工作对县域持续正面影响率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招引各层次人才对县域整体工作持续正面影响率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招引各层次人才满意率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招引各层次人才反馈满意和较满意的数量占调查用户总数量的比率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招引各层次人才所在单位满意率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招引各层次人才所在单位反馈满意和较满意的数量占调查用户总数量的比率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9" w:name="_Toc65939983"/>
      <w:r>
        <w:rPr>
          <w:rFonts w:hint="eastAsia" w:ascii="方正仿宋_GBK" w:eastAsia="方正仿宋_GBK"/>
          <w:b/>
          <w:sz w:val="28"/>
        </w:rPr>
        <w:t>6.工资管理信息化建设经费绩效目标表</w:t>
      </w:r>
      <w:bookmarkEnd w:id="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6、工资管理信息化建设经费绩效目标表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1305252157HGHNRA28OQX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工资管理信息化建设经费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根据《中共邢台市委组织部、中共邢台市委保密机要局关于开展工资福利业务网上审批工作的通知》，开展工资管理</w:t>
            </w:r>
            <w:r>
              <w:rPr>
                <w:rFonts w:hint="cs" w:ascii="方正书宋_GBK" w:eastAsia="方正书宋_GBK"/>
              </w:rPr>
              <w:t>“</w:t>
            </w:r>
            <w:r>
              <w:rPr>
                <w:rFonts w:hint="eastAsia" w:ascii="方正书宋_GBK" w:eastAsia="方正书宋_GBK"/>
              </w:rPr>
              <w:t>大数据</w:t>
            </w:r>
            <w:r>
              <w:rPr>
                <w:rFonts w:hint="cs" w:ascii="方正书宋_GBK" w:eastAsia="方正书宋_GBK"/>
              </w:rPr>
              <w:t>”</w:t>
            </w:r>
            <w:r>
              <w:rPr>
                <w:rFonts w:hint="eastAsia" w:ascii="方正书宋_GBK" w:eastAsia="方正书宋_GBK"/>
              </w:rPr>
              <w:t>信息平台网络建设，严格按照中央、省、市工资福利政策规定，及时兑现各项工资福利待遇</w:t>
            </w:r>
            <w:r>
              <w:rPr>
                <w:rFonts w:ascii="方正书宋_GBK" w:eastAsia="方正书宋_GBK"/>
              </w:rPr>
              <w:t>,</w:t>
            </w:r>
            <w:r>
              <w:rPr>
                <w:rFonts w:hint="eastAsia" w:ascii="方正书宋_GBK" w:eastAsia="方正书宋_GBK"/>
              </w:rPr>
              <w:t>进一步提高工作效率和服务水平，实现工资管理信息化建设。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4.00%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按照市委要求，贯彻落实工资管理信息化建设工作。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按照省市标准，合理安全高效的使用工资系统，提高工资审批效率和水平。</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按照中央、省、市工资福利政策规定，完成工资系统升级工作，及时兑现各项工资福利待遇。</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工资系统安装、使用覆盖率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县直、乡镇单位工资系统及</w:t>
            </w:r>
            <w:r>
              <w:rPr>
                <w:rFonts w:ascii="方正书宋_GBK" w:eastAsia="方正书宋_GBK"/>
              </w:rPr>
              <w:t>UKEY</w:t>
            </w:r>
            <w:r>
              <w:rPr>
                <w:rFonts w:hint="eastAsia" w:ascii="方正书宋_GBK" w:eastAsia="方正书宋_GBK"/>
              </w:rPr>
              <w:t>安装、使用数量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工资管理信息化网络铺设质量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工资系统使用的情况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工资管理信息化计划按时完成率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按照年初制作计划按时完成工资管理信息化网络铺设的情况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工资系统使用率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工资系统使用率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精确调整工资率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工资调整情况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工资关系人民群众切身利益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工资调整落实的情况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工资工作对县域正面影响率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工资工作对县域整体工作持续影响率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各单位和干部满意率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调资对象反馈满意和较满意的数量占调查用户总数量的比率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县委领导干部满意率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调资对象所在县委领导干部反馈满意和较满意的数量占调查用户总数量的比率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0" w:name="_Toc65939984"/>
      <w:r>
        <w:rPr>
          <w:rFonts w:hint="eastAsia" w:ascii="方正仿宋_GBK" w:eastAsia="方正仿宋_GBK"/>
          <w:b/>
          <w:sz w:val="28"/>
        </w:rPr>
        <w:t>7.全县县乡村三级换届工作经费绩效目标表</w:t>
      </w:r>
      <w:bookmarkEnd w:id="1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7、全县县乡村三级换届工作经费绩效目标表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1305252177WDUX3Y28K25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全县县乡村三级换届工作经费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33.00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33.00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按照省市县委关于换届工作文件要求，高标准完成县乡村三级换届工作。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完成县换届工作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完成乡及换届工作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完成农村两委换届工作</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换届党组织覆盖率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全县完成换届党组织数占比</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党组织换届完成质量提升率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党组织换届完成质量提升率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换届工作按时完成率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换届工作按时完成率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换届工作费用控制率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换届工作费用控制率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带动经济社会发展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发挥党组织领头羊作用，发展壮大集体经济，以党建促发展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换届工作产生的社会效益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项目完成对社会稳定带来的效益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对县域整体工作持续正面影响率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对县域整体工作持续影响率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党组织满意率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使用对象反馈满意和较满意的数量占调查用户总数量的比率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党员群众满意率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使用对象所在党委反馈满意和较满意的数量占调查用户总数量的比率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1" w:name="_Toc65939985"/>
      <w:r>
        <w:rPr>
          <w:rFonts w:hint="eastAsia" w:ascii="方正仿宋_GBK" w:eastAsia="方正仿宋_GBK"/>
          <w:b/>
          <w:sz w:val="28"/>
        </w:rPr>
        <w:t>8.选调生到村任职工作县配套补助资金绩效目标表</w:t>
      </w:r>
      <w:bookmarkEnd w:id="1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8、选调生到村任职工作县配套补助资金绩效目标表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13052521ARZS4LU3HN54Q</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选调生到村任职工作县配套补助资金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14</w:t>
            </w:r>
            <w:r>
              <w:rPr>
                <w:rFonts w:hint="eastAsia" w:ascii="方正书宋_GBK" w:eastAsia="方正书宋_GBK"/>
              </w:rPr>
              <w:t>.</w:t>
            </w:r>
            <w:r>
              <w:rPr>
                <w:rFonts w:ascii="方正书宋_GBK" w:eastAsia="方正书宋_GBK"/>
              </w:rPr>
              <w:t>15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14</w:t>
            </w:r>
            <w:r>
              <w:rPr>
                <w:rFonts w:hint="eastAsia" w:ascii="方正书宋_GBK" w:eastAsia="方正书宋_GBK"/>
              </w:rPr>
              <w:t>.</w:t>
            </w:r>
            <w:r>
              <w:rPr>
                <w:rFonts w:ascii="方正书宋_GBK" w:eastAsia="方正书宋_GBK"/>
              </w:rPr>
              <w:t>15</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按照选调生管理工作规定，用于保障选调生到村任职工作顺利开展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保障选调生教育培训工作顺利进行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保障选调生国情调研顺利</w:t>
            </w:r>
            <w:r>
              <w:rPr>
                <w:rFonts w:ascii="方正书宋_GBK" w:eastAsia="方正书宋_GBK"/>
              </w:rPr>
              <w:t xml:space="preserve"> </w:t>
            </w:r>
            <w:r>
              <w:rPr>
                <w:rFonts w:hint="eastAsia" w:ascii="方正书宋_GBK" w:eastAsia="方正书宋_GBK"/>
              </w:rPr>
              <w:t>进行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保障选调生服务群众工作顺利进行</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保障补贴对象人数占应保人数之比</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保障补贴对象人数占应保人数的比例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形成一批较高水平的优秀调研成果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形成一批较高水平的优秀调研成果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成效明显</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保障补贴发放及时率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是否按时发放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实际补贴成本超概（预）算比率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实际成本超概（预）算比率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到村工作下派选调生工作水平提高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到村工作下派选调生在农村干事创业，农村基层党建工作水平逐步提高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成效明显</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村任职选调生满意占应保人数之比</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对政策落实情况满意的到村任职选调生占应保人数之比</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2" w:name="_Toc65939986"/>
      <w:r>
        <w:rPr>
          <w:rFonts w:hint="eastAsia" w:ascii="方正仿宋_GBK" w:eastAsia="方正仿宋_GBK"/>
          <w:b/>
          <w:sz w:val="28"/>
        </w:rPr>
        <w:t>9.选调生、公务员管理经费绩效目标表</w:t>
      </w:r>
      <w:bookmarkEnd w:id="1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9、选调生、公务员管理经费绩效目标表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13052521BUG9G53SGF3Q3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选调生、公务员管理经费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按照《河北省选调神管理办法》等文件要求，加强选调生、公务员管理，做好新入职人员和重点培养期内选调生职业教育和履职能力专题培训。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帮助新录用公务员适应基层、扎根基层，不断扎实业务、提高水平。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联合培训科开展在村任职选调生、重点培养期内选调生、公务员等培训工作，提高工作能力。</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通过开展选调生述职工作、调阅《工作日志》等，了解选调生、新录用人员工作状态，帮助大家解决工作、生活中存在的问题。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选调生培训人数覆盖率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分类分级完成培训指标的人数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培训内容实操性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按不同类别层次岗位干部的需求，按需完成施教。</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选调生工作述职开展次数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按照年初培训计划按时完成相应培训的情况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管理经费成本控制率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培训平均实际成本不超过预算比率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管理工作推动经济发展率</w:t>
            </w:r>
            <w:r>
              <w:rPr>
                <w:rFonts w:ascii="方正书宋_GBK" w:eastAsia="方正书宋_GBK"/>
              </w:rPr>
              <w:t xml:space="preserve"> </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培训工作促进经济发展情况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管理工作对社会发展影响率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项目完成对社会稳定的保障情况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管理工作对县域持续正面影响率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培训工作对县域整体工作持续影响率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管理对象满意率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培训对象反馈满意和较满意的数量占调查用户总数量的比率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管理对象所在党委满意率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培训对象所在党委反馈满意和较满意的数量占调查用户总数量的比率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3" w:name="_Toc65939987"/>
      <w:r>
        <w:rPr>
          <w:rFonts w:hint="eastAsia" w:ascii="方正仿宋_GBK" w:eastAsia="方正仿宋_GBK"/>
          <w:b/>
          <w:sz w:val="28"/>
        </w:rPr>
        <w:t>10.农村党员远程教育终端站点使用与维护费用绩效目标表</w:t>
      </w:r>
      <w:bookmarkEnd w:id="1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10、农村党员远程教育终端站点使用与维护费用绩效目标表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13052521CQAVWYS6M1IXA</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农村党员远程教育终端站点使用与维护费用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rPr>
              <w:t>.</w:t>
            </w:r>
            <w:r>
              <w:rPr>
                <w:rFonts w:ascii="方正书宋_GBK" w:eastAsia="方正书宋_GBK"/>
              </w:rPr>
              <w:t>8</w:t>
            </w:r>
            <w:r>
              <w:rPr>
                <w:rFonts w:hint="eastAsia" w:ascii="方正书宋_GBK" w:eastAsia="方正书宋_GBK"/>
              </w:rPr>
              <w:t>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rPr>
              <w:t>.</w:t>
            </w:r>
            <w:r>
              <w:rPr>
                <w:rFonts w:ascii="方正书宋_GBK" w:eastAsia="方正书宋_GBK"/>
              </w:rPr>
              <w:t>8</w:t>
            </w:r>
            <w:r>
              <w:rPr>
                <w:rFonts w:hint="eastAsia" w:ascii="方正书宋_GBK" w:eastAsia="方正书宋_GBK"/>
              </w:rPr>
              <w:t>7</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根据中共河北省委组织部《关于升级和扩展省远程教育系统的通知》要求，对全县农村党员远程教育终端站点进行升级扩展。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全县农村党员远程教育终端站点和社会党员远程教育终端站点能够正常使用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农村党员和社区党员使用远程教育终端站点使用频率较高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将远程教育终端站点作为党员教育管理的重要形式</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正常使用、新建设数量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正常维护已建成站点设备，建设新站点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正常使用且熟练操作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能够正常使用视频会议系统</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定期维护、使用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定期进行维护，观看远程教育视频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建设维护资金不超出预算额度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年初单位足额制定预算资金</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带动经济社会发展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通过远程教育站点，农村党员群众可以了解党组织生活、农业技术等方面内容。</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远程教育终端站点产生的社会效益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项目完成对社会稳定带来的效益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对县域整体工作持续正面影响率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对县域整体工作持续影响率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使用对象满意率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使用对象反馈满意和较满意的数量占调查用户总数量的比率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使用对象所在党委满意率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使用对象所在党委反馈满意和较满意的数量占调查用户总数量的比率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4" w:name="_Toc65939988"/>
      <w:r>
        <w:rPr>
          <w:rFonts w:hint="eastAsia" w:ascii="方正仿宋_GBK" w:eastAsia="方正仿宋_GBK"/>
          <w:b/>
          <w:sz w:val="28"/>
        </w:rPr>
        <w:t>11.脱贫攻坚工作经费绩效目标表</w:t>
      </w:r>
      <w:bookmarkEnd w:id="1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11、脱贫攻坚工作经费绩效目标表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13052521DF2O17EK3GGDL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脱贫攻坚工作经费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按照中央</w:t>
            </w:r>
            <w:r>
              <w:rPr>
                <w:rFonts w:hint="cs" w:ascii="方正书宋_GBK" w:eastAsia="方正书宋_GBK"/>
              </w:rPr>
              <w:t>“</w:t>
            </w:r>
            <w:r>
              <w:rPr>
                <w:rFonts w:hint="eastAsia" w:ascii="方正书宋_GBK" w:eastAsia="方正书宋_GBK"/>
              </w:rPr>
              <w:t>四个不摘</w:t>
            </w:r>
            <w:r>
              <w:rPr>
                <w:rFonts w:hint="cs" w:ascii="方正书宋_GBK" w:eastAsia="方正书宋_GBK"/>
              </w:rPr>
              <w:t>”</w:t>
            </w:r>
            <w:r>
              <w:rPr>
                <w:rFonts w:hint="eastAsia" w:ascii="方正书宋_GBK" w:eastAsia="方正书宋_GBK"/>
              </w:rPr>
              <w:t>、《河北省扶贫帮扶责任人管理办法》等工作要求，加强结对帮扶工作人员充分发挥自身职能，有效提高帮扶工作质量，持续推进扶贫帮扶工作有序开展，培养造就忠诚干净担当的高素质帮扶干部队伍。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各项扶贫攻坚资料的完善，有助于加强帮扶责任人的管理和监督，有效提高帮扶工作质量。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最新扶贫政策的培训，进一步增强帮扶责任人政策的熟悉程度、通晓业务能力，提高全县帮扶责任人的业务水平和能力素质。</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确保我县剩余贫困人口如期实现脱贫</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帮扶责任人培训覆盖率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分级分批次完成培训指标的人数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最新扶贫政策掌握和落实率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最新扶贫帮扶政策清楚，落实到有需求的贫困户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每季度培训计划按时完成率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每季度完成培训</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成本控制不超过预算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平均实际成本不超过预算比率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帮助贫困户脱贫率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促进脱贫情况、经济发展情况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农村贫困人口满意率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农村贫困人口对脱贫工作的满意情况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对我县整体脱贫致富影响率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我县整体工作的积极影响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帮扶责任人知识掌握满意率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帮扶责任人对帮扶政策的掌握情况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贫困人口脱贫满意率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农村贫困人口对脱贫工作的满意情况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5" w:name="_Toc65939989"/>
      <w:r>
        <w:rPr>
          <w:rFonts w:hint="eastAsia" w:ascii="方正仿宋_GBK" w:eastAsia="方正仿宋_GBK"/>
          <w:b/>
          <w:sz w:val="28"/>
        </w:rPr>
        <w:t>12.建党100周年系列活动经费绩效目标表</w:t>
      </w:r>
      <w:bookmarkEnd w:id="1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12、建党100周年系列活动经费绩效目标表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13052521EGIRMET87S971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建党</w:t>
            </w:r>
            <w:r>
              <w:rPr>
                <w:rFonts w:ascii="方正书宋_GBK" w:eastAsia="方正书宋_GBK"/>
              </w:rPr>
              <w:t>100</w:t>
            </w:r>
            <w:r>
              <w:rPr>
                <w:rFonts w:hint="eastAsia" w:ascii="方正书宋_GBK" w:eastAsia="方正书宋_GBK"/>
              </w:rPr>
              <w:t>周年系列活动经费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按照《中共中央关于中国共产党成立</w:t>
            </w:r>
            <w:r>
              <w:rPr>
                <w:rFonts w:ascii="方正书宋_GBK" w:eastAsia="方正书宋_GBK"/>
              </w:rPr>
              <w:t>100</w:t>
            </w:r>
            <w:r>
              <w:rPr>
                <w:rFonts w:hint="eastAsia" w:ascii="方正书宋_GBK" w:eastAsia="方正书宋_GBK"/>
              </w:rPr>
              <w:t>周年庆祝活动的通知》，举办建党</w:t>
            </w:r>
            <w:r>
              <w:rPr>
                <w:rFonts w:ascii="方正书宋_GBK" w:eastAsia="方正书宋_GBK"/>
              </w:rPr>
              <w:t>100</w:t>
            </w:r>
            <w:r>
              <w:rPr>
                <w:rFonts w:hint="eastAsia" w:ascii="方正书宋_GBK" w:eastAsia="方正书宋_GBK"/>
              </w:rPr>
              <w:t>周年系列活动，进一步激励和动员全党全县人民不忘初心、牢记使命，为全面建设社会主义现代化国家、实现中华民族伟大复兴中国梦而继续奋斗。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通过举办系列庆祝活动，充分展示我们党的百年伟大成就和宝贵经验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突出展示党的十八大以来，以习近平同志为核心的党中央坚持和加强党的全面领导，全心全意为人民服务。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激励和动员全党全军全国各族人民更加紧密团结在党中央周围，不忘初心、牢记使命，为实现中华民族伟大复兴的中国梦而继续奋斗。</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庆祝活动党员覆盖率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建党</w:t>
            </w:r>
            <w:r>
              <w:rPr>
                <w:rFonts w:ascii="方正书宋_GBK" w:eastAsia="方正书宋_GBK"/>
              </w:rPr>
              <w:t>100</w:t>
            </w:r>
            <w:r>
              <w:rPr>
                <w:rFonts w:hint="eastAsia" w:ascii="方正书宋_GBK" w:eastAsia="方正书宋_GBK"/>
              </w:rPr>
              <w:t>周年系列活动覆盖党员数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系列庆祝活动精准率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按不同类别层次党员，按方案组织活动。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庆祝活动按时完成率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按照活动安排按时完成相应活动的情况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开展活动成本控制率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活动平均实际成本不超过预算比率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系列庆祝活动带动经济发展率</w:t>
            </w:r>
            <w:r>
              <w:rPr>
                <w:rFonts w:ascii="方正书宋_GBK" w:eastAsia="方正书宋_GBK"/>
              </w:rPr>
              <w:t xml:space="preserve"> </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系列庆祝活动促进经济发展情况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活动所产生的社会综合效益率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系列庆祝活动对社会稳定的保障情况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活动对县域持续正面影响率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系列庆祝活动对县域整体工作持续影响率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党员群众满意率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党员群众反馈满意和较满意的数量占调查用户总数量的比率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党员所在党委满意率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党员所在党委反馈满意和较满意的数量占调查用户总数量的比率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6" w:name="_Toc65939990"/>
      <w:r>
        <w:rPr>
          <w:rFonts w:hint="eastAsia" w:ascii="方正仿宋_GBK" w:eastAsia="方正仿宋_GBK"/>
          <w:b/>
          <w:sz w:val="28"/>
        </w:rPr>
        <w:t>13.智慧党建融平台视频会议系统建设维护费用绩效目标表</w:t>
      </w:r>
      <w:bookmarkEnd w:id="1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13、智慧党建融平台视频会议系统建设维护费用绩效目标表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13052521EK9RDC47IYAVL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智慧党建融平台视频会议系统建设维护费用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147</w:t>
            </w:r>
            <w:r>
              <w:rPr>
                <w:rFonts w:hint="eastAsia" w:ascii="方正书宋_GBK" w:eastAsia="方正书宋_GBK"/>
              </w:rPr>
              <w:t>.</w:t>
            </w:r>
            <w:r>
              <w:rPr>
                <w:rFonts w:ascii="方正书宋_GBK" w:eastAsia="方正书宋_GBK"/>
              </w:rPr>
              <w:t>32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147</w:t>
            </w:r>
            <w:r>
              <w:rPr>
                <w:rFonts w:hint="eastAsia" w:ascii="方正书宋_GBK" w:eastAsia="方正书宋_GBK"/>
              </w:rPr>
              <w:t>.</w:t>
            </w:r>
            <w:r>
              <w:rPr>
                <w:rFonts w:ascii="方正书宋_GBK" w:eastAsia="方正书宋_GBK"/>
              </w:rPr>
              <w:t>32</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维护已建成的</w:t>
            </w:r>
            <w:r>
              <w:rPr>
                <w:rFonts w:ascii="方正书宋_GBK" w:eastAsia="方正书宋_GBK"/>
              </w:rPr>
              <w:t>323</w:t>
            </w:r>
            <w:r>
              <w:rPr>
                <w:rFonts w:hint="eastAsia" w:ascii="方正书宋_GBK" w:eastAsia="方正书宋_GBK"/>
              </w:rPr>
              <w:t>个视频会议点的网络链路费用、公网费用，</w:t>
            </w:r>
            <w:r>
              <w:rPr>
                <w:rFonts w:ascii="方正书宋_GBK" w:eastAsia="方正书宋_GBK"/>
              </w:rPr>
              <w:t>2020</w:t>
            </w:r>
            <w:r>
              <w:rPr>
                <w:rFonts w:hint="eastAsia" w:ascii="方正书宋_GBK" w:eastAsia="方正书宋_GBK"/>
              </w:rPr>
              <w:t>年智慧党建可视化系统保证金，新建视频会议站点的建设与网络费用。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实现县乡村三级联通，实现无障碍召开视频会议。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扩建县直单位会议站点，扩大全县视频会议系统覆盖范围。</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维护建设使用智慧党建融平台视频会议系统，定期召开视频会议，提高工作效率。</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正常使用、新建设数量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正常维护已建成站点设备，建设新站点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正常使用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能够正常使用视频会议系统</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定期维护、使用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定期进行维护，不定期使用系统</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建设维护资金不超出预算额度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年初单位足额制定预算资金</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减少不必要的费用支出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通过视频会议系统，减少路上的费用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项目完成对社会稳定带来的效益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对县域整体工作持续正面影响率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对县域整体工作持续影响率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使用对象满意率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使用对象反馈满意和较满意的数量占调查用户总数量的比率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使用对象所在党委满意率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使用对象所在党委反馈满意和较满意的数量占调查用户总数量的比率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7" w:name="_Toc65939991"/>
      <w:r>
        <w:rPr>
          <w:rFonts w:hint="eastAsia" w:ascii="方正仿宋_GBK" w:eastAsia="方正仿宋_GBK"/>
          <w:b/>
          <w:sz w:val="28"/>
        </w:rPr>
        <w:t>14.第八卷组织史征编工作经费绩效目标表</w:t>
      </w:r>
      <w:bookmarkEnd w:id="1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14、第八卷组织史征编工作经费绩效目标表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13052521EX2RTX4YOX8X4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第八卷组织史征编工作经费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0.</w:t>
            </w:r>
            <w:r>
              <w:rPr>
                <w:rFonts w:ascii="方正书宋_GBK" w:eastAsia="方正书宋_GBK"/>
              </w:rPr>
              <w:t>60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0.</w:t>
            </w:r>
            <w:r>
              <w:rPr>
                <w:rFonts w:ascii="方正书宋_GBK" w:eastAsia="方正书宋_GBK"/>
              </w:rPr>
              <w:t>60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按照《关于解决中共组织史资料征编工作经费问题的通知》《中共组织史资料》续编工作等文件要求，推动组织史征编工作常态化、科学化、精细化。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应收尽收，争取覆盖全部单位，最大限度体现创新性、反应时代发展。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根据工作要求开展组织史征编培训。</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继续对续编内容、收编范围、编纂方法、文述撰写进等进行专题调研</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组织史征收覆盖率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覆盖各级单位</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征收内容精准率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按不同类别层次岗位需求，按需征收。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培训计划按时完成率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按照年初培训计划按时完成相应组织史培训的情况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开展组织史征收成本控制率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培训平均实际成本不超过预算比率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组织史工作带动社会文明进步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组织史作为组织工作的重要依据</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工作所产生的社会综合效益率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项目完成对社会稳定的保障情况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组织史对县域持续正面影响率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组织史对县域整体工作持续影响率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征收对象满意率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组织史征收对象反馈满意和较满意的数量占调查用户总数量的比率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组织史征收对象所在党委满意率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组织史征收对象所在党委反馈满意和较满意的数量占调查用户总数量的比率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8" w:name="_Toc65939992"/>
      <w:r>
        <w:rPr>
          <w:rFonts w:hint="eastAsia" w:ascii="方正仿宋_GBK" w:eastAsia="方正仿宋_GBK"/>
          <w:b/>
          <w:sz w:val="28"/>
        </w:rPr>
        <w:t>15.干部考核监督工作经费绩效目标表</w:t>
      </w:r>
      <w:bookmarkEnd w:id="1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15、干部考核监督工作经费绩效目标表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13052521FP2XTYWZVX902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干部考核监督工作经费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按照省市考核办法，组织我县考核测评会议、推动考核指标进展调度会。制定我县考核文件，组织考核工作人员培训等。根据上级干部监督要求，印制相关文件，组织相关人员填写个人事项报告。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承办省考核县委书记牵头配合工作，承担市考核市管领导班子和领导干部考核的牵头配合</w:t>
            </w:r>
            <w:r>
              <w:rPr>
                <w:rFonts w:ascii="方正书宋_GBK" w:eastAsia="方正书宋_GBK"/>
              </w:rPr>
              <w:t xml:space="preserve"> </w:t>
            </w:r>
            <w:r>
              <w:rPr>
                <w:rFonts w:hint="eastAsia" w:ascii="方正书宋_GBK" w:eastAsia="方正书宋_GBK"/>
              </w:rPr>
              <w:t>。</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按照有关要求，组织实施对乡局级领导班子和领导干部的考核，对管理范围内一般人员的考核备案。</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全面抓好干部监督相关工作。</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考核机构和人员覆盖率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分类分级完成年度考核的单位数和人数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考核结果精准率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考核结果准确真实，符合有关要求</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考核计划按时完成率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及时完成年度考核的情况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开展考核监督成本控制率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考核监督平均实际成本不超过预算比率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考核监督工作带动经济发展率</w:t>
            </w:r>
            <w:r>
              <w:rPr>
                <w:rFonts w:ascii="方正书宋_GBK" w:eastAsia="方正书宋_GBK"/>
              </w:rPr>
              <w:t xml:space="preserve"> </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考核监督工作促进经济发展情况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工作所产生的社会综合效益率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项目完成对社会稳定的保障情况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工作对县域持续正面影响率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考核监督工作对县域整体工作持续影响率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考核监督对象所在党委满意率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考核监督对象所在党委反馈满意和较满意的数量占调查用户总数量的比率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考核监督对象满意率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考核监督对象反馈满意和较满意的数量占调查用户总数量的比率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9" w:name="_Toc65939993"/>
      <w:r>
        <w:rPr>
          <w:rFonts w:hint="eastAsia" w:ascii="方正仿宋_GBK" w:eastAsia="方正仿宋_GBK"/>
          <w:b/>
          <w:sz w:val="28"/>
        </w:rPr>
        <w:t>16.县级配套/建国前老党员生活补贴绩效目标表</w:t>
      </w:r>
      <w:bookmarkEnd w:id="1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16、县级配套/建国前老党员生活补贴绩效目标表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13052521FTQEMV65FH19O</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县级配套</w:t>
            </w:r>
            <w:r>
              <w:rPr>
                <w:rFonts w:ascii="方正书宋_GBK" w:eastAsia="方正书宋_GBK"/>
              </w:rPr>
              <w:t>/</w:t>
            </w:r>
            <w:r>
              <w:rPr>
                <w:rFonts w:hint="eastAsia" w:ascii="方正书宋_GBK" w:eastAsia="方正书宋_GBK"/>
              </w:rPr>
              <w:t>建国前老党员生活补贴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9</w:t>
            </w:r>
            <w:r>
              <w:rPr>
                <w:rFonts w:hint="eastAsia" w:ascii="方正书宋_GBK" w:eastAsia="方正书宋_GBK"/>
              </w:rPr>
              <w:t>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9</w:t>
            </w:r>
            <w:r>
              <w:rPr>
                <w:rFonts w:hint="eastAsia" w:ascii="方正书宋_GBK" w:eastAsia="方正书宋_GBK"/>
              </w:rPr>
              <w:t>5</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该项资金专项用于向建国前入党的农村老党员和未享受离退休待遇的城镇老党员发放生活补贴补助，各地要按照规定的补贴标准，统筹使用各级财政和党费补助资金，及时足额发放到位。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按时完成老党员补贴发放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足额完成老党员补贴发放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按照数量全部完成党员补贴发放</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老党员生活补贴补助资金发放人数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所有建国前入党的农村老党员和未享受离退休待遇的城镇老党员</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全部完成发放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经费足额拨付率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是否足额完成老党员补贴发放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足额完成发放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补助资金及时拨付率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是否按时完成老党员补贴发放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项目预算控制数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是否按照预算控制发放数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按照预算控制发放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老党员生活情况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服务群众，增加老党员收入</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有效改善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老党员生活情况有效改善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老党员对该项工作实施满意度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老党员对补贴发放满意</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0" w:name="_Toc65939994"/>
      <w:r>
        <w:rPr>
          <w:rFonts w:hint="eastAsia" w:ascii="方正仿宋_GBK" w:eastAsia="方正仿宋_GBK"/>
          <w:b/>
          <w:sz w:val="28"/>
        </w:rPr>
        <w:t>17.冀财行[2020]159号/省级/2021年老党员生活补助绩效目标表</w:t>
      </w:r>
      <w:bookmarkEnd w:id="2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17、冀财行[2020]159号/省级/2021年老党员生活补助绩效目标表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13052521I1XQUBT2GCR0K</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冀财行</w:t>
            </w:r>
            <w:r>
              <w:rPr>
                <w:rFonts w:ascii="方正书宋_GBK" w:eastAsia="方正书宋_GBK"/>
              </w:rPr>
              <w:t>[2020]159</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年老党员生活补助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w:t>
            </w:r>
            <w:r>
              <w:rPr>
                <w:rFonts w:ascii="方正书宋_GBK" w:eastAsia="方正书宋_GBK"/>
              </w:rPr>
              <w:t>71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w:t>
            </w:r>
            <w:r>
              <w:rPr>
                <w:rFonts w:ascii="方正书宋_GBK" w:eastAsia="方正书宋_GBK"/>
              </w:rPr>
              <w:t>71</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该项资金专项用于向建国前入党的农村老党员和未享受离退休待遇的城镇老党员发放生活补贴补助，各地要按照规定的补贴标准，统筹使用各级财政和党费补助资金，及时足额发放到位。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按时完成老党员补贴发放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足额完成老党员补贴发放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按照数量全部完成党员补贴发放</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老党员生活补贴补助资金发放人数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所有建国前入党的农村老党员和未享受离退休待遇的城镇老党员</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全部完成发放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经费足额拨付率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是否足额完成老党员补贴发放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足额完成发放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补助资金及时拨付率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是否按时完成老党员补贴发放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项目预算控制率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是否按照预算严格控制执行</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严格控制预算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老党员生活情况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服务群众，增加老党员收入</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有效改善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老党员生活情况有效改善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老党员对该项工作实施满意度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老党员对补贴发放满意</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1" w:name="_Toc65939995"/>
      <w:r>
        <w:rPr>
          <w:rFonts w:hint="eastAsia" w:ascii="方正仿宋_GBK" w:eastAsia="方正仿宋_GBK"/>
          <w:b/>
          <w:sz w:val="28"/>
        </w:rPr>
        <w:t>18.基层组织强化提升工作经费绩效目标表</w:t>
      </w:r>
      <w:bookmarkEnd w:id="2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18、基层组织强化提升工作经费绩效目标表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13052521ICMFUUR5BZS2G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基层组织强化提升工作经费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根据《邢台市农村（社区）党组织建设三年行动计划工作方案》《邢台市农村党员档案管理工作实施办法》等文件精神，全面提升我县基层组织建设水平。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全县基层组织</w:t>
            </w:r>
            <w:r>
              <w:rPr>
                <w:rFonts w:hint="cs" w:ascii="方正书宋_GBK" w:eastAsia="方正书宋_GBK"/>
              </w:rPr>
              <w:t>“</w:t>
            </w:r>
            <w:r>
              <w:rPr>
                <w:rFonts w:hint="eastAsia" w:ascii="方正书宋_GBK" w:eastAsia="方正书宋_GBK"/>
              </w:rPr>
              <w:t>两室</w:t>
            </w:r>
            <w:r>
              <w:rPr>
                <w:rFonts w:hint="cs" w:ascii="方正书宋_GBK" w:eastAsia="方正书宋_GBK"/>
              </w:rPr>
              <w:t>”</w:t>
            </w:r>
            <w:r>
              <w:rPr>
                <w:rFonts w:hint="eastAsia" w:ascii="方正书宋_GBK" w:eastAsia="方正书宋_GBK"/>
              </w:rPr>
              <w:t>建设标准再提高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全县基层党组织充分发挥战斗堡垒作用，党员充分发挥先锋模范作用</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全县农村党员档案实现规范管理</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正常使用、新建设数量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w:t>
            </w:r>
            <w:r>
              <w:rPr>
                <w:rFonts w:hint="cs" w:ascii="方正书宋_GBK" w:eastAsia="方正书宋_GBK"/>
              </w:rPr>
              <w:t>“</w:t>
            </w:r>
            <w:r>
              <w:rPr>
                <w:rFonts w:hint="eastAsia" w:ascii="方正书宋_GBK" w:eastAsia="方正书宋_GBK"/>
              </w:rPr>
              <w:t>两室</w:t>
            </w:r>
            <w:r>
              <w:rPr>
                <w:rFonts w:hint="cs" w:ascii="方正书宋_GBK" w:eastAsia="方正书宋_GBK"/>
              </w:rPr>
              <w:t>”</w:t>
            </w:r>
            <w:r>
              <w:rPr>
                <w:rFonts w:hint="eastAsia" w:ascii="方正书宋_GBK" w:eastAsia="方正书宋_GBK"/>
              </w:rPr>
              <w:t>建设、新建档案管理中心</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两室</w:t>
            </w:r>
            <w:r>
              <w:rPr>
                <w:rFonts w:hint="cs" w:ascii="方正书宋_GBK" w:eastAsia="方正书宋_GBK"/>
              </w:rPr>
              <w:t>”</w:t>
            </w:r>
            <w:r>
              <w:rPr>
                <w:rFonts w:hint="eastAsia" w:ascii="方正书宋_GBK" w:eastAsia="方正书宋_GBK"/>
              </w:rPr>
              <w:t>建设达标</w:t>
            </w:r>
          </w:p>
        </w:tc>
        <w:tc>
          <w:tcPr>
            <w:tcW w:w="2891" w:type="dxa"/>
            <w:shd w:val="clear" w:color="auto" w:fill="auto"/>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两室</w:t>
            </w:r>
            <w:r>
              <w:rPr>
                <w:rFonts w:hint="cs" w:ascii="方正书宋_GBK" w:eastAsia="方正书宋_GBK"/>
              </w:rPr>
              <w:t>”</w:t>
            </w:r>
            <w:r>
              <w:rPr>
                <w:rFonts w:hint="eastAsia" w:ascii="方正书宋_GBK" w:eastAsia="方正书宋_GBK"/>
              </w:rPr>
              <w:t>建设达到</w:t>
            </w:r>
            <w:r>
              <w:rPr>
                <w:rFonts w:hint="cs" w:ascii="方正书宋_GBK" w:eastAsia="方正书宋_GBK"/>
              </w:rPr>
              <w:t>“</w:t>
            </w:r>
            <w:r>
              <w:rPr>
                <w:rFonts w:hint="eastAsia" w:ascii="方正书宋_GBK" w:eastAsia="方正书宋_GBK"/>
              </w:rPr>
              <w:t>八有</w:t>
            </w:r>
            <w:r>
              <w:rPr>
                <w:rFonts w:hint="cs" w:ascii="方正书宋_GBK" w:eastAsia="方正书宋_GBK"/>
              </w:rPr>
              <w:t>”</w:t>
            </w:r>
            <w:r>
              <w:rPr>
                <w:rFonts w:hint="eastAsia" w:ascii="方正书宋_GBK" w:eastAsia="方正书宋_GBK"/>
              </w:rPr>
              <w:t>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每天正常使用，充分发挥作用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每天正常使用，为民办实事办好事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建设维护资金不超出预算额度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年初单位足额制定预算资金</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带动经济社会发展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发挥党组织领头羊作用，发展壮大集体经济，以党建促发展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两室</w:t>
            </w:r>
            <w:r>
              <w:rPr>
                <w:rFonts w:hint="cs" w:ascii="方正书宋_GBK" w:eastAsia="方正书宋_GBK"/>
              </w:rPr>
              <w:t>”</w:t>
            </w:r>
            <w:r>
              <w:rPr>
                <w:rFonts w:hint="eastAsia" w:ascii="方正书宋_GBK" w:eastAsia="方正书宋_GBK"/>
              </w:rPr>
              <w:t>建设产生的社会效益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项目完成对社会稳定带来的效益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对县域整体工作持续正面影响率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对县域整体工作持续影响率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使用对象满意率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使用对象反馈满意和较满意的数量占调查用户总数量的比率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使用对象所在党委满意率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使用对象所在党委反馈满意和较满意的数量占调查用户总数量的比率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2" w:name="_Toc65939996"/>
      <w:r>
        <w:rPr>
          <w:rFonts w:hint="eastAsia" w:ascii="方正仿宋_GBK" w:eastAsia="方正仿宋_GBK"/>
          <w:b/>
          <w:sz w:val="28"/>
        </w:rPr>
        <w:t>19.领导班子规划建设经费绩效目标表</w:t>
      </w:r>
      <w:bookmarkEnd w:id="2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19、领导班子规划建设经费绩效目标表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13052521N0075X653T05U</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领导班子规划建设经费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推进领导班子建设规划各项任务特别是关于干部队伍结构刚性指标的落实，及时全面掌握进度、发现问题、指导工作。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建设素质过硬的领导班子</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建设结构合理的领导班子</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做好领导班子换届干部储备工作</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根据上级部门要求情况落实</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分类分级完成培训指标的人数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年龄结构优化</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按不同类别层次岗位干部的需求，按需完成施教。</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领导班子建设各项任务全面推进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按照年初培训计划按时完成相应培训的情况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管理经费成本控制率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培训平均实际成本不超过预算比率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建设工作推动经济发展率</w:t>
            </w:r>
            <w:r>
              <w:rPr>
                <w:rFonts w:ascii="方正书宋_GBK" w:eastAsia="方正书宋_GBK"/>
              </w:rPr>
              <w:t xml:space="preserve"> </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培训工作促进经济发展情况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管理工作对社会稳定影响率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项目完成对社会稳定的保障情况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建设工作对县域持续正面影响率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培训工作对县域整体工作持续影响率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干部满意率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培训对象反馈满意和较满意的数量占调查用户总数量的比率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培训对象所在党委反馈满意和较满意的数量占调查用户总数量的比率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3" w:name="_Toc65939997"/>
      <w:r>
        <w:rPr>
          <w:rFonts w:hint="eastAsia" w:ascii="方正仿宋_GBK" w:eastAsia="方正仿宋_GBK"/>
          <w:b/>
          <w:sz w:val="28"/>
        </w:rPr>
        <w:t>20.九届市委第十轮市县联动巡察选人用人专项检查工作经费绩效目标表</w:t>
      </w:r>
      <w:bookmarkEnd w:id="2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20、九届市委第十轮市县联动巡察选人用人专项检查工作经费绩效目标表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13052521QX2KN0YTK37RA</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九届市委第十轮市县联动巡察选人用人专项检查工作经费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w:t>
            </w:r>
            <w:r>
              <w:rPr>
                <w:rFonts w:ascii="方正书宋_GBK" w:eastAsia="方正书宋_GBK"/>
              </w:rPr>
              <w:t>4</w:t>
            </w:r>
            <w:r>
              <w:rPr>
                <w:rFonts w:hint="eastAsia" w:ascii="方正书宋_GBK" w:eastAsia="方正书宋_GBK"/>
              </w:rPr>
              <w:t>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w:t>
            </w:r>
            <w:r>
              <w:rPr>
                <w:rFonts w:ascii="方正书宋_GBK" w:eastAsia="方正书宋_GBK"/>
              </w:rPr>
              <w:t>4</w:t>
            </w:r>
            <w:r>
              <w:rPr>
                <w:rFonts w:hint="eastAsia" w:ascii="方正书宋_GBK" w:eastAsia="方正书宋_GBK"/>
              </w:rPr>
              <w:t>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用于九届市委第十轮市县联动巡察选人用人专项检查组的食宿、办公、会务等正常工作开展的费用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确保九届市委第十轮市县联动巡察选人用人专项检查工作后勤保障正常运行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高质量九届市委第十轮市县联动巡察选人用人专项检查工作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进一步提升选人用人工作质量</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巡察工作会议正常召开率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巡察工作会议正常召开次数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后勤保障工作完成质量率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后勤保障工作高质量完成情况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后勤保障工作按时完成率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巡察保障工作成本控制率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平均实际成本不超过预算比率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带动经济发展率</w:t>
            </w:r>
            <w:r>
              <w:rPr>
                <w:rFonts w:ascii="方正书宋_GBK" w:eastAsia="方正书宋_GBK"/>
              </w:rPr>
              <w:t xml:space="preserve"> </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促进经济发展情况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所产生的社会综合效益率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项目完成对社会稳定的保障情况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对县域整体工作持续正面影响率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对县域整体工作持续影响率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巡察对象满意率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对县域整体工作持续影响率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巡察对象满意率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使用对象反馈满意和较满意的数量占调查用户总数量的比率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巡察组满意度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使用对象反馈满意和较满意的数量占调查用户总数量的比率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4" w:name="_Toc65939998"/>
      <w:r>
        <w:rPr>
          <w:rFonts w:hint="eastAsia" w:ascii="方正仿宋_GBK" w:eastAsia="方正仿宋_GBK"/>
          <w:b/>
          <w:sz w:val="28"/>
        </w:rPr>
        <w:t>21.干部人事档案三化建设工作经费绩效目标表</w:t>
      </w:r>
      <w:bookmarkEnd w:id="2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21、干部人事档案三化建设工作经费绩效目标表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13052521R9HH70ZZRMYV4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干部人事档案三化建设工作经费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77</w:t>
            </w:r>
            <w:r>
              <w:rPr>
                <w:rFonts w:hint="eastAsia" w:ascii="方正书宋_GBK" w:eastAsia="方正书宋_GBK"/>
              </w:rPr>
              <w:t>.</w:t>
            </w:r>
            <w:r>
              <w:rPr>
                <w:rFonts w:ascii="方正书宋_GBK" w:eastAsia="方正书宋_GBK"/>
              </w:rPr>
              <w:t>87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77</w:t>
            </w:r>
            <w:r>
              <w:rPr>
                <w:rFonts w:hint="eastAsia" w:ascii="方正书宋_GBK" w:eastAsia="方正书宋_GBK"/>
              </w:rPr>
              <w:t>.</w:t>
            </w:r>
            <w:r>
              <w:rPr>
                <w:rFonts w:ascii="方正书宋_GBK" w:eastAsia="方正书宋_GBK"/>
              </w:rPr>
              <w:t>87</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根据《中共邢台市委组织部印发</w:t>
            </w:r>
            <w:r>
              <w:rPr>
                <w:rFonts w:ascii="方正书宋_GBK" w:eastAsia="方正书宋_GBK"/>
              </w:rPr>
              <w:t>&lt;</w:t>
            </w:r>
            <w:r>
              <w:rPr>
                <w:rFonts w:hint="eastAsia" w:ascii="方正书宋_GBK" w:eastAsia="方正书宋_GBK"/>
              </w:rPr>
              <w:t>关于大力推进县市区干部人事档案集中化规范化数字化的意见</w:t>
            </w:r>
            <w:r>
              <w:rPr>
                <w:rFonts w:ascii="方正书宋_GBK" w:eastAsia="方正书宋_GBK"/>
              </w:rPr>
              <w:t>&gt;</w:t>
            </w:r>
            <w:r>
              <w:rPr>
                <w:rFonts w:hint="eastAsia" w:ascii="方正书宋_GBK" w:eastAsia="方正书宋_GBK"/>
              </w:rPr>
              <w:t>的通知》《关于稳妥推进干部数字档案建设工作的补充通知》和《中共邢台市组织部办公室关于转发冀组办字</w:t>
            </w:r>
            <w:r>
              <w:rPr>
                <w:rFonts w:ascii="方正书宋_GBK" w:eastAsia="方正书宋_GBK"/>
              </w:rPr>
              <w:t>[2020]74</w:t>
            </w:r>
            <w:r>
              <w:rPr>
                <w:rFonts w:hint="eastAsia" w:ascii="方正书宋_GBK" w:eastAsia="方正书宋_GBK"/>
              </w:rPr>
              <w:t>号文件的通知》，持续推进档案集中化、规范化、数字化建设工作，打造全市一流的安全智能高效的公职人员信息管理中心，为全县干部科学决策提供干部详实、快捷的干部信息服务。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按照服务大局，贯彻落实档案集中化、规范化、数字化建设工作。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按照省市标准，打造安全智能高效的公职人员信息管理中心。</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按照</w:t>
            </w:r>
            <w:r>
              <w:rPr>
                <w:rFonts w:hint="cs" w:ascii="方正书宋_GBK" w:eastAsia="方正书宋_GBK"/>
              </w:rPr>
              <w:t>“</w:t>
            </w:r>
            <w:r>
              <w:rPr>
                <w:rFonts w:hint="eastAsia" w:ascii="方正书宋_GBK" w:eastAsia="方正书宋_GBK"/>
              </w:rPr>
              <w:t>全面完整、客观真实、准确无误</w:t>
            </w:r>
            <w:r>
              <w:rPr>
                <w:rFonts w:hint="cs" w:ascii="方正书宋_GBK" w:eastAsia="方正书宋_GBK"/>
              </w:rPr>
              <w:t>”</w:t>
            </w:r>
            <w:r>
              <w:rPr>
                <w:rFonts w:hint="eastAsia" w:ascii="方正书宋_GBK" w:eastAsia="方正书宋_GBK"/>
              </w:rPr>
              <w:t>标准，健全干部信息数据库，为全县干部科学决策提供干部详实、快捷的干部信息服务。</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档案三化化建设覆盖率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档案集中化、规范化、数字化完成指标的卷数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数字档案和纸质档案精准率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数字档案和纸质档案完成率。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数字档案计划按时完成率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按照年初制作计划按时完成相应制作的情况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开展数字档案和纸质档案制作率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制作平均实际成本不超过预算比率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选准用准干部率</w:t>
            </w:r>
            <w:r>
              <w:rPr>
                <w:rFonts w:ascii="方正书宋_GBK" w:eastAsia="方正书宋_GBK"/>
              </w:rPr>
              <w:t xml:space="preserve"> </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档案工作促进经济发展情况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档案是党和国家的宝贵财富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档案安全工作的情况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档案工作持续正面影响率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档案工作对县域整体工作持续影响率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各单位和干部满意率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档案对象反馈满意和较满意的数量占调查用户总数量的比率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县委领导干部满意率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档案对象所在县委领导干部反馈满意和较满意的数量占调查用户总数量的比率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5" w:name="_Toc65939999"/>
      <w:r>
        <w:rPr>
          <w:rFonts w:hint="eastAsia" w:ascii="方正仿宋_GBK" w:eastAsia="方正仿宋_GBK"/>
          <w:b/>
          <w:sz w:val="28"/>
        </w:rPr>
        <w:t>22.无纸化办公平台系统维护费绩效目标表</w:t>
      </w:r>
      <w:bookmarkEnd w:id="2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22、无纸化办公平台系统维护费绩效目标表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13052521VZEAC8KGLPH9Z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无纸化办公平台系统维护费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经领导批示，为做好县委组织部无纸化办公系统日常维护</w:t>
            </w:r>
            <w:r>
              <w:rPr>
                <w:rFonts w:ascii="方正书宋_GBK" w:eastAsia="方正书宋_GBK"/>
              </w:rPr>
              <w:t xml:space="preserve"> </w:t>
            </w:r>
            <w:r>
              <w:rPr>
                <w:rFonts w:hint="eastAsia" w:ascii="方正书宋_GBK" w:eastAsia="方正书宋_GBK"/>
              </w:rPr>
              <w:t>，确保系统正常运行，</w:t>
            </w:r>
            <w:r>
              <w:rPr>
                <w:rFonts w:ascii="方正书宋_GBK" w:eastAsia="方正书宋_GBK"/>
              </w:rPr>
              <w:t>2020</w:t>
            </w:r>
            <w:r>
              <w:rPr>
                <w:rFonts w:hint="eastAsia" w:ascii="方正书宋_GBK" w:eastAsia="方正书宋_GBK"/>
              </w:rPr>
              <w:t>年需支付短信费</w:t>
            </w:r>
            <w:r>
              <w:rPr>
                <w:rFonts w:ascii="方正书宋_GBK" w:eastAsia="方正书宋_GBK"/>
              </w:rPr>
              <w:t>2000</w:t>
            </w:r>
            <w:r>
              <w:rPr>
                <w:rFonts w:hint="eastAsia" w:ascii="方正书宋_GBK" w:eastAsia="方正书宋_GBK"/>
              </w:rPr>
              <w:t>元用于计算机终端与手机终端共享办公，支付</w:t>
            </w:r>
            <w:r>
              <w:rPr>
                <w:rFonts w:ascii="方正书宋_GBK" w:eastAsia="方正书宋_GBK"/>
              </w:rPr>
              <w:t>40000</w:t>
            </w:r>
            <w:r>
              <w:rPr>
                <w:rFonts w:hint="eastAsia" w:ascii="方正书宋_GBK" w:eastAsia="方正书宋_GBK"/>
              </w:rPr>
              <w:t>元维护费用于服务器硬件软件维护。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确保无纸化办公系统正常运行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高质量开展机关无纸化办公工作，提升工作效率</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保障服务器和后台软件日常维护</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无纸化办公系统覆盖率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无纸化办公系统覆盖率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百分率</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无纸化办公工作质量提升率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无纸化办公工作质量提升率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百分率</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按照维护时间完成系统维护</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按照维护时间完成系统维护</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百分率</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维护成本与预算持平率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维护成本与预算持平率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百分率</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工作效率提升率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工作效率提升率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百分率</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系统对社会影响率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系统对社会影响率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百分率</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系统对生态环境提升率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系统对生态环境提升率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百分率</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机关工作人员满意度</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机关工作人员满意度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百分率</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autoSpaceDE w:val="0"/>
        <w:autoSpaceDN w:val="0"/>
        <w:adjustRightInd w:val="0"/>
        <w:jc w:val="left"/>
        <w:rPr>
          <w:rFonts w:ascii="黑体" w:hAnsi="黑体" w:eastAsia="黑体"/>
          <w:sz w:val="32"/>
          <w:szCs w:val="32"/>
        </w:rPr>
      </w:pPr>
    </w:p>
    <w:p>
      <w:pPr>
        <w:autoSpaceDE w:val="0"/>
        <w:autoSpaceDN w:val="0"/>
        <w:adjustRightInd w:val="0"/>
        <w:jc w:val="left"/>
        <w:rPr>
          <w:rFonts w:ascii="黑体" w:hAnsi="黑体" w:eastAsia="黑体"/>
          <w:sz w:val="32"/>
          <w:szCs w:val="32"/>
        </w:rPr>
      </w:pPr>
      <w:r>
        <w:rPr>
          <w:rFonts w:hint="eastAsia" w:ascii="黑体" w:hAnsi="黑体" w:eastAsia="黑体"/>
          <w:sz w:val="32"/>
          <w:szCs w:val="32"/>
        </w:rPr>
        <w:t>六、政府采购预算情况</w:t>
      </w:r>
    </w:p>
    <w:p>
      <w:pPr>
        <w:ind w:firstLine="640" w:firstLineChars="200"/>
        <w:outlineLvl w:val="1"/>
        <w:rPr>
          <w:rFonts w:ascii="Times New Roman" w:hAnsi="Times New Roman" w:eastAsia="方正仿宋_GBK"/>
          <w:sz w:val="32"/>
          <w:szCs w:val="24"/>
        </w:rPr>
      </w:pPr>
      <w:bookmarkStart w:id="26" w:name="_Toc471398468"/>
      <w:r>
        <w:rPr>
          <w:rFonts w:ascii="Times New Roman" w:hAnsi="Times New Roman" w:eastAsia="方正仿宋_GBK"/>
          <w:sz w:val="32"/>
          <w:szCs w:val="24"/>
        </w:rPr>
        <w:t>2021</w:t>
      </w:r>
      <w:r>
        <w:rPr>
          <w:rFonts w:hint="eastAsia" w:ascii="Times New Roman" w:hAnsi="Times New Roman" w:eastAsia="方正仿宋_GBK"/>
          <w:sz w:val="32"/>
          <w:szCs w:val="24"/>
        </w:rPr>
        <w:t>年，我厅安排政府采购预算166.913万元。具体内容见下表。</w:t>
      </w:r>
      <w:bookmarkStart w:id="27" w:name="_Toc64379203"/>
    </w:p>
    <w:bookmarkEnd w:id="26"/>
    <w:bookmarkEnd w:id="27"/>
    <w:p>
      <w:pPr>
        <w:jc w:val="center"/>
        <w:outlineLvl w:val="1"/>
        <w:rPr>
          <w:rFonts w:ascii="Times New Roman" w:hAnsi="宋体"/>
          <w:sz w:val="32"/>
        </w:rPr>
      </w:pPr>
      <w:bookmarkStart w:id="28" w:name="_Toc66007653"/>
      <w:r>
        <w:rPr>
          <w:rFonts w:hint="eastAsia" w:ascii="方正小标宋_GBK" w:eastAsia="方正小标宋_GBK"/>
          <w:sz w:val="32"/>
        </w:rPr>
        <w:t>部门政府采购预算</w:t>
      </w:r>
      <w:bookmarkEnd w:id="28"/>
    </w:p>
    <w:tbl>
      <w:tblPr>
        <w:tblStyle w:val="11"/>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203</w:t>
            </w:r>
            <w:r>
              <w:rPr>
                <w:rFonts w:hint="eastAsia" w:ascii="方正小标宋_GBK" w:eastAsia="方正小标宋_GBK"/>
                <w:sz w:val="24"/>
              </w:rPr>
              <w:t>隆尧县委组织部</w:t>
            </w:r>
          </w:p>
        </w:tc>
        <w:tc>
          <w:tcPr>
            <w:tcW w:w="680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709" w:type="dxa"/>
            <w:vMerge w:val="continue"/>
            <w:shd w:val="clear" w:color="auto" w:fill="auto"/>
            <w:vAlign w:val="center"/>
          </w:tcPr>
          <w:p>
            <w:pPr>
              <w:spacing w:line="300" w:lineRule="exact"/>
              <w:jc w:val="left"/>
              <w:outlineLvl w:val="1"/>
              <w:rPr>
                <w:rFonts w:ascii="Times New Roman" w:eastAsia="方正仿宋_GBK"/>
                <w:sz w:val="28"/>
              </w:rPr>
            </w:pPr>
          </w:p>
        </w:tc>
        <w:tc>
          <w:tcPr>
            <w:tcW w:w="907" w:type="dxa"/>
            <w:vMerge w:val="continue"/>
            <w:shd w:val="clear" w:color="auto" w:fill="auto"/>
            <w:vAlign w:val="center"/>
          </w:tcPr>
          <w:p>
            <w:pPr>
              <w:spacing w:line="300" w:lineRule="exact"/>
              <w:jc w:val="left"/>
              <w:outlineLvl w:val="1"/>
              <w:rPr>
                <w:rFonts w:ascii="Times New Roman" w:eastAsia="方正仿宋_GBK"/>
                <w:sz w:val="28"/>
              </w:rPr>
            </w:pPr>
          </w:p>
        </w:tc>
        <w:tc>
          <w:tcPr>
            <w:tcW w:w="907" w:type="dxa"/>
            <w:vMerge w:val="continue"/>
            <w:shd w:val="clear" w:color="auto" w:fill="auto"/>
            <w:vAlign w:val="center"/>
          </w:tcPr>
          <w:p>
            <w:pPr>
              <w:spacing w:line="300" w:lineRule="exact"/>
              <w:jc w:val="left"/>
              <w:outlineLvl w:val="1"/>
              <w:rPr>
                <w:rFonts w:ascii="Times New Roman" w:eastAsia="方正仿宋_GBK"/>
                <w:sz w:val="28"/>
              </w:rPr>
            </w:pP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vAlign w:val="bottom"/>
          </w:tcPr>
          <w:p>
            <w:pPr>
              <w:jc w:val="right"/>
              <w:rPr>
                <w:rFonts w:ascii="宋体" w:hAnsi="宋体" w:cs="宋体"/>
                <w:color w:val="000000"/>
                <w:sz w:val="22"/>
              </w:rPr>
            </w:pPr>
          </w:p>
        </w:tc>
        <w:tc>
          <w:tcPr>
            <w:tcW w:w="1531" w:type="dxa"/>
            <w:shd w:val="clear" w:color="auto" w:fill="auto"/>
            <w:vAlign w:val="bottom"/>
          </w:tcPr>
          <w:p>
            <w:pPr>
              <w:rPr>
                <w:rFonts w:ascii="方正书宋_GBK" w:hAnsi="宋体" w:eastAsia="方正书宋_GBK" w:cs="宋体"/>
                <w:b/>
                <w:bCs/>
                <w:color w:val="000000"/>
                <w:szCs w:val="21"/>
              </w:rPr>
            </w:pPr>
            <w:r>
              <w:rPr>
                <w:rFonts w:hint="eastAsia" w:ascii="方正书宋_GBK" w:eastAsia="方正书宋_GBK"/>
                <w:b/>
                <w:bCs/>
                <w:color w:val="000000"/>
                <w:szCs w:val="21"/>
              </w:rPr>
              <w:t>　</w:t>
            </w:r>
          </w:p>
        </w:tc>
        <w:tc>
          <w:tcPr>
            <w:tcW w:w="1531" w:type="dxa"/>
            <w:shd w:val="clear" w:color="auto" w:fill="auto"/>
            <w:vAlign w:val="bottom"/>
          </w:tcPr>
          <w:p>
            <w:pPr>
              <w:rPr>
                <w:rFonts w:ascii="方正书宋_GBK" w:hAnsi="宋体" w:eastAsia="方正书宋_GBK" w:cs="宋体"/>
                <w:b/>
                <w:bCs/>
                <w:color w:val="000000"/>
                <w:szCs w:val="21"/>
              </w:rPr>
            </w:pPr>
            <w:r>
              <w:rPr>
                <w:rFonts w:hint="eastAsia" w:ascii="方正书宋_GBK" w:eastAsia="方正书宋_GBK"/>
                <w:b/>
                <w:bCs/>
                <w:color w:val="000000"/>
                <w:szCs w:val="21"/>
              </w:rPr>
              <w:t>　</w:t>
            </w:r>
          </w:p>
        </w:tc>
        <w:tc>
          <w:tcPr>
            <w:tcW w:w="709" w:type="dxa"/>
            <w:shd w:val="clear" w:color="auto" w:fill="auto"/>
            <w:vAlign w:val="bottom"/>
          </w:tcPr>
          <w:p>
            <w:pPr>
              <w:jc w:val="center"/>
              <w:rPr>
                <w:rFonts w:ascii="方正书宋_GBK" w:hAnsi="宋体" w:eastAsia="方正书宋_GBK" w:cs="宋体"/>
                <w:b/>
                <w:bCs/>
                <w:color w:val="000000"/>
                <w:szCs w:val="21"/>
              </w:rPr>
            </w:pPr>
            <w:r>
              <w:rPr>
                <w:rFonts w:hint="eastAsia" w:ascii="方正书宋_GBK" w:eastAsia="方正书宋_GBK"/>
                <w:b/>
                <w:bCs/>
                <w:color w:val="000000"/>
                <w:szCs w:val="21"/>
              </w:rPr>
              <w:t>　</w:t>
            </w:r>
          </w:p>
        </w:tc>
        <w:tc>
          <w:tcPr>
            <w:tcW w:w="907" w:type="dxa"/>
            <w:shd w:val="clear" w:color="auto" w:fill="auto"/>
            <w:vAlign w:val="bottom"/>
          </w:tcPr>
          <w:p>
            <w:pPr>
              <w:jc w:val="right"/>
              <w:rPr>
                <w:rFonts w:ascii="宋体" w:hAnsi="宋体" w:cs="宋体"/>
                <w:color w:val="000000"/>
                <w:sz w:val="22"/>
              </w:rPr>
            </w:pPr>
          </w:p>
        </w:tc>
        <w:tc>
          <w:tcPr>
            <w:tcW w:w="907" w:type="dxa"/>
            <w:shd w:val="clear" w:color="auto" w:fill="auto"/>
            <w:vAlign w:val="bottom"/>
          </w:tcPr>
          <w:p>
            <w:pPr>
              <w:jc w:val="right"/>
              <w:rPr>
                <w:rFonts w:ascii="宋体" w:hAnsi="宋体" w:cs="宋体"/>
                <w:color w:val="000000"/>
                <w:sz w:val="22"/>
              </w:rPr>
            </w:pP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166.913</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166.913</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中国共产党隆尧县委员会组织部本级小计</w:t>
            </w:r>
          </w:p>
        </w:tc>
        <w:tc>
          <w:tcPr>
            <w:tcW w:w="1134" w:type="dxa"/>
            <w:shd w:val="clear" w:color="auto" w:fill="auto"/>
            <w:vAlign w:val="bottom"/>
          </w:tcPr>
          <w:p>
            <w:pPr>
              <w:jc w:val="right"/>
              <w:rPr>
                <w:rFonts w:ascii="宋体" w:hAnsi="宋体" w:cs="宋体"/>
                <w:color w:val="000000"/>
                <w:sz w:val="22"/>
              </w:rPr>
            </w:pPr>
          </w:p>
        </w:tc>
        <w:tc>
          <w:tcPr>
            <w:tcW w:w="1531" w:type="dxa"/>
            <w:shd w:val="clear" w:color="auto" w:fill="auto"/>
            <w:vAlign w:val="bottom"/>
          </w:tcPr>
          <w:p>
            <w:pPr>
              <w:rPr>
                <w:rFonts w:ascii="方正书宋_GBK" w:hAnsi="宋体" w:eastAsia="方正书宋_GBK" w:cs="宋体"/>
                <w:b/>
                <w:bCs/>
                <w:color w:val="000000"/>
                <w:szCs w:val="21"/>
              </w:rPr>
            </w:pPr>
          </w:p>
        </w:tc>
        <w:tc>
          <w:tcPr>
            <w:tcW w:w="1531" w:type="dxa"/>
            <w:shd w:val="clear" w:color="auto" w:fill="auto"/>
            <w:vAlign w:val="bottom"/>
          </w:tcPr>
          <w:p>
            <w:pPr>
              <w:rPr>
                <w:rFonts w:ascii="方正书宋_GBK" w:hAnsi="宋体" w:eastAsia="方正书宋_GBK" w:cs="宋体"/>
                <w:b/>
                <w:bCs/>
                <w:color w:val="000000"/>
                <w:szCs w:val="21"/>
              </w:rPr>
            </w:pPr>
            <w:r>
              <w:rPr>
                <w:rFonts w:hint="eastAsia" w:ascii="方正书宋_GBK" w:eastAsia="方正书宋_GBK"/>
                <w:b/>
                <w:bCs/>
                <w:color w:val="000000"/>
                <w:szCs w:val="21"/>
              </w:rPr>
              <w:t>　</w:t>
            </w:r>
          </w:p>
        </w:tc>
        <w:tc>
          <w:tcPr>
            <w:tcW w:w="709" w:type="dxa"/>
            <w:shd w:val="clear" w:color="auto" w:fill="auto"/>
            <w:vAlign w:val="bottom"/>
          </w:tcPr>
          <w:p>
            <w:pPr>
              <w:jc w:val="center"/>
              <w:rPr>
                <w:rFonts w:ascii="方正书宋_GBK" w:hAnsi="宋体" w:eastAsia="方正书宋_GBK" w:cs="宋体"/>
                <w:b/>
                <w:bCs/>
                <w:color w:val="000000"/>
                <w:szCs w:val="21"/>
              </w:rPr>
            </w:pPr>
            <w:r>
              <w:rPr>
                <w:rFonts w:hint="eastAsia" w:ascii="方正书宋_GBK" w:eastAsia="方正书宋_GBK"/>
                <w:b/>
                <w:bCs/>
                <w:color w:val="000000"/>
                <w:szCs w:val="21"/>
              </w:rPr>
              <w:t>　</w:t>
            </w:r>
          </w:p>
        </w:tc>
        <w:tc>
          <w:tcPr>
            <w:tcW w:w="907" w:type="dxa"/>
            <w:shd w:val="clear" w:color="auto" w:fill="auto"/>
            <w:vAlign w:val="bottom"/>
          </w:tcPr>
          <w:p>
            <w:pPr>
              <w:jc w:val="right"/>
              <w:rPr>
                <w:rFonts w:ascii="宋体" w:hAnsi="宋体" w:cs="宋体"/>
                <w:color w:val="000000"/>
                <w:sz w:val="22"/>
              </w:rPr>
            </w:pPr>
          </w:p>
        </w:tc>
        <w:tc>
          <w:tcPr>
            <w:tcW w:w="907" w:type="dxa"/>
            <w:shd w:val="clear" w:color="auto" w:fill="auto"/>
            <w:vAlign w:val="bottom"/>
          </w:tcPr>
          <w:p>
            <w:pPr>
              <w:jc w:val="right"/>
              <w:rPr>
                <w:rFonts w:ascii="宋体" w:hAnsi="宋体" w:cs="宋体"/>
                <w:color w:val="000000"/>
                <w:sz w:val="22"/>
              </w:rPr>
            </w:pP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166.913</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166.913</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运转类公用项目</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18.62</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复印纸</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A090101</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箱</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96</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0.0175</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1.68</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1.68</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运转类公用项目</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18.62</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其他印刷服务</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C08140199</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次</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100</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0.015</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1.5</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1.5</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三优融合、聚才兴隆</w:t>
            </w:r>
            <w:r>
              <w:rPr>
                <w:rFonts w:hint="cs" w:ascii="方正书宋_GBK" w:eastAsia="方正书宋_GBK"/>
              </w:rPr>
              <w:t>”</w:t>
            </w:r>
            <w:r>
              <w:rPr>
                <w:rFonts w:hint="eastAsia" w:ascii="方正书宋_GBK" w:eastAsia="方正书宋_GBK"/>
              </w:rPr>
              <w:t>人才集聚项目工作经费</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6</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复印纸</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A090101</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箱</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50</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0.02</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干部考核监督工作经费</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3</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复印纸</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A090101</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箱</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10</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0.02</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0.2</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0.2</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干部人事档案三化建设工作经费</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77.87</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台式计算机</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A02010104</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台</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3</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0.4</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1.2</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1.2</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干部人事档案三化建设工作经费</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77.87</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空调机</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A0206180203</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台</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6</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0.4</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2.4</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2.4</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干部人事档案三化建设工作经费</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77.87</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复印纸</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A090101</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箱</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60</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0.02</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1.2</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1.2</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工资管理信息化建设经费</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8</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台式计算机</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A02010104</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台</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2</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0.45</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0.9</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0.9</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基层组织强化提升工作经费</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10</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复印纸</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A090101</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箱</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100</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0.02</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2</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2</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建党</w:t>
            </w:r>
            <w:r>
              <w:rPr>
                <w:rFonts w:ascii="方正书宋_GBK" w:eastAsia="方正书宋_GBK"/>
              </w:rPr>
              <w:t>100</w:t>
            </w:r>
            <w:r>
              <w:rPr>
                <w:rFonts w:hint="eastAsia" w:ascii="方正书宋_GBK" w:eastAsia="方正书宋_GBK"/>
              </w:rPr>
              <w:t>周年系列活动经费</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30</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复印纸</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A090101</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箱</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200</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0.02</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4</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4</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领导班子规划建设经费</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7</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复印纸</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A090101</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箱</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10</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0.02</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0.2</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0.2</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全县县乡村三级换届工作经费</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33</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台式计算机</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A02010104</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台</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4</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0.45</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1.8</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1.8</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全县县乡村三级换届工作经费</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33</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激光打印机</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A0201060102</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台</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1</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0.1</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0.1</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0.1</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全县县乡村三级换届工作经费</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33</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多功能一体机</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A020204</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台</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1</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0.21</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0.21</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0.21</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全县县乡村三级换届工作经费</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33</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复印纸</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A090101</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箱</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50</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0.02</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选调生、公务员管理经费</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3</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复印纸</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A090101</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箱</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10</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0.02</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0.2</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0.2</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智慧党建融平台视频会议系统建设维护费用</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147.323</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视频会议会议室终端</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A02080803</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套</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1</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82.583</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82.583</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82.583</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智慧党建融平台视频会议系统建设维护费用</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147.323</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其他运行维护服务</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C020699</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年</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1</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64.74</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64.74</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64.74</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spacing w:line="300" w:lineRule="exact"/>
        <w:jc w:val="left"/>
        <w:outlineLvl w:val="1"/>
        <w:rPr>
          <w:rFonts w:ascii="Times New Roman" w:eastAsia="方正仿宋_GBK"/>
          <w:sz w:val="28"/>
        </w:rPr>
        <w:sectPr>
          <w:pgSz w:w="16839" w:h="11907" w:orient="landscape"/>
          <w:pgMar w:top="1361" w:right="1020" w:bottom="1361" w:left="1020" w:header="851" w:footer="992" w:gutter="0"/>
          <w:cols w:space="425" w:num="1"/>
          <w:docGrid w:type="lines" w:linePitch="312" w:charSpace="0"/>
        </w:sectPr>
      </w:pP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七、国有资产信息</w:t>
      </w:r>
    </w:p>
    <w:p>
      <w:pPr>
        <w:ind w:firstLine="640" w:firstLineChars="200"/>
        <w:rPr>
          <w:rFonts w:ascii="仿宋_GB2312" w:hAnsi="黑体" w:eastAsia="仿宋_GB2312"/>
          <w:sz w:val="32"/>
          <w:szCs w:val="32"/>
        </w:rPr>
      </w:pPr>
      <w:r>
        <w:rPr>
          <w:rFonts w:hint="eastAsia" w:ascii="仿宋_GB2312" w:hAnsi="黑体" w:eastAsia="仿宋_GB2312"/>
          <w:sz w:val="32"/>
          <w:szCs w:val="32"/>
        </w:rPr>
        <w:t>隆尧县委组织部（含所属单位）上年末固定资产金额为</w:t>
      </w:r>
      <w:r>
        <w:rPr>
          <w:rFonts w:ascii="仿宋_GB2312" w:hAnsi="黑体" w:eastAsia="仿宋_GB2312"/>
          <w:sz w:val="32"/>
          <w:szCs w:val="32"/>
        </w:rPr>
        <w:t>354</w:t>
      </w:r>
      <w:r>
        <w:rPr>
          <w:rFonts w:hint="eastAsia" w:ascii="仿宋_GB2312" w:hAnsi="黑体" w:eastAsia="仿宋_GB2312"/>
          <w:sz w:val="32"/>
          <w:szCs w:val="32"/>
        </w:rPr>
        <w:t>.</w:t>
      </w:r>
      <w:r>
        <w:rPr>
          <w:rFonts w:ascii="仿宋_GB2312" w:hAnsi="黑体" w:eastAsia="仿宋_GB2312"/>
          <w:sz w:val="32"/>
          <w:szCs w:val="32"/>
        </w:rPr>
        <w:t>13</w:t>
      </w:r>
      <w:r>
        <w:rPr>
          <w:rFonts w:hint="eastAsia" w:ascii="仿宋_GB2312" w:hAnsi="黑体" w:eastAsia="仿宋_GB2312"/>
          <w:sz w:val="32"/>
          <w:szCs w:val="32"/>
        </w:rPr>
        <w:t>万元（</w:t>
      </w:r>
      <w:r>
        <w:rPr>
          <w:rFonts w:hint="eastAsia" w:ascii="Times New Roman" w:hAnsi="Times New Roman" w:eastAsia="方正仿宋_GBK"/>
          <w:sz w:val="32"/>
          <w:szCs w:val="32"/>
        </w:rPr>
        <w:t>详见下表），</w:t>
      </w:r>
      <w:r>
        <w:rPr>
          <w:rFonts w:hint="eastAsia" w:ascii="仿宋_GB2312" w:hAnsi="黑体" w:eastAsia="仿宋_GB2312"/>
          <w:sz w:val="32"/>
          <w:szCs w:val="32"/>
        </w:rPr>
        <w:t>本年度各单位（处室）拟购置固定资产总额为87.99万元，主要为计算机设备、打印设备、空调、视频会议系统设备等，已列入政府采购预算，详见政府采购预算表。</w:t>
      </w:r>
    </w:p>
    <w:tbl>
      <w:tblPr>
        <w:tblStyle w:val="11"/>
        <w:tblW w:w="13482" w:type="dxa"/>
        <w:tblInd w:w="93" w:type="dxa"/>
        <w:tblLayout w:type="autofit"/>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noWrap/>
            <w:vAlign w:val="center"/>
          </w:tcPr>
          <w:p>
            <w:pPr>
              <w:widowControl/>
              <w:jc w:val="center"/>
              <w:rPr>
                <w:rFonts w:ascii="宋体" w:cs="宋体"/>
                <w:b/>
                <w:bCs/>
                <w:kern w:val="0"/>
                <w:sz w:val="32"/>
                <w:szCs w:val="32"/>
              </w:rPr>
            </w:pPr>
            <w:r>
              <w:rPr>
                <w:rFonts w:hint="eastAsia" w:ascii="宋体" w:hAnsi="宋体" w:cs="宋体"/>
                <w:b/>
                <w:bCs/>
                <w:kern w:val="0"/>
                <w:sz w:val="32"/>
                <w:szCs w:val="32"/>
              </w:rPr>
              <w:t>河北省省直部门固定资产占用情况表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noWrap/>
            <w:vAlign w:val="center"/>
          </w:tcPr>
          <w:p>
            <w:pPr>
              <w:widowControl/>
              <w:jc w:val="left"/>
              <w:rPr>
                <w:rFonts w:ascii="宋体" w:cs="宋体"/>
                <w:kern w:val="0"/>
                <w:sz w:val="22"/>
              </w:rPr>
            </w:pPr>
            <w:r>
              <w:rPr>
                <w:rFonts w:hint="eastAsia" w:ascii="宋体" w:hAnsi="宋体" w:cs="宋体"/>
                <w:kern w:val="0"/>
                <w:sz w:val="22"/>
              </w:rPr>
              <w:t>编制部门：隆尧县委组织部</w:t>
            </w:r>
          </w:p>
        </w:tc>
        <w:tc>
          <w:tcPr>
            <w:tcW w:w="5103" w:type="dxa"/>
            <w:tcBorders>
              <w:top w:val="nil"/>
              <w:left w:val="nil"/>
              <w:bottom w:val="nil"/>
              <w:right w:val="nil"/>
            </w:tcBorders>
            <w:noWrap/>
            <w:vAlign w:val="center"/>
          </w:tcPr>
          <w:p>
            <w:pPr>
              <w:widowControl/>
              <w:jc w:val="left"/>
              <w:rPr>
                <w:rFonts w:ascii="宋体" w:cs="宋体"/>
                <w:kern w:val="0"/>
                <w:sz w:val="22"/>
              </w:rPr>
            </w:pPr>
            <w:r>
              <w:rPr>
                <w:rFonts w:hint="eastAsia" w:ascii="宋体" w:hAnsi="宋体" w:cs="宋体"/>
                <w:kern w:val="0"/>
                <w:sz w:val="22"/>
              </w:rPr>
              <w:t>截止时间：</w:t>
            </w:r>
            <w:r>
              <w:rPr>
                <w:rFonts w:ascii="宋体" w:hAnsi="宋体" w:cs="宋体"/>
                <w:kern w:val="0"/>
                <w:sz w:val="22"/>
              </w:rPr>
              <w:t>2020</w:t>
            </w:r>
            <w:r>
              <w:rPr>
                <w:rFonts w:hint="eastAsia" w:ascii="宋体" w:hAnsi="宋体" w:cs="宋体"/>
                <w:kern w:val="0"/>
                <w:sz w:val="22"/>
              </w:rPr>
              <w:t>年</w:t>
            </w:r>
            <w:r>
              <w:rPr>
                <w:rFonts w:ascii="宋体" w:hAnsi="宋体" w:cs="宋体"/>
                <w:kern w:val="0"/>
                <w:sz w:val="22"/>
              </w:rPr>
              <w:t>12</w:t>
            </w:r>
            <w:r>
              <w:rPr>
                <w:rFonts w:hint="eastAsia" w:ascii="宋体" w:hAnsi="宋体" w:cs="宋体"/>
                <w:kern w:val="0"/>
                <w:sz w:val="22"/>
              </w:rPr>
              <w:t>月</w:t>
            </w:r>
            <w:r>
              <w:rPr>
                <w:rFonts w:ascii="宋体" w:hAnsi="宋体" w:cs="宋体"/>
                <w:kern w:val="0"/>
                <w:sz w:val="22"/>
              </w:rPr>
              <w:t>31</w:t>
            </w:r>
            <w:r>
              <w:rPr>
                <w:rFonts w:hint="eastAsia" w:ascii="宋体" w:hAnsi="宋体" w:cs="宋体"/>
                <w:kern w:val="0"/>
                <w:sz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noWrap/>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noWrap/>
            <w:vAlign w:val="center"/>
          </w:tcPr>
          <w:p>
            <w:pPr>
              <w:widowControl/>
              <w:jc w:val="center"/>
              <w:rPr>
                <w:rFonts w:asci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center"/>
              <w:rPr>
                <w:rFonts w:ascii="宋体" w:cs="宋体"/>
                <w:kern w:val="0"/>
                <w:sz w:val="22"/>
              </w:rPr>
            </w:pPr>
            <w:r>
              <w:rPr>
                <w:rFonts w:hint="eastAsia" w:ascii="宋体" w:hAnsi="宋体" w:cs="宋体"/>
                <w:kern w:val="0"/>
                <w:sz w:val="22"/>
              </w:rPr>
              <w:t>资产总额</w:t>
            </w:r>
          </w:p>
        </w:tc>
        <w:tc>
          <w:tcPr>
            <w:tcW w:w="3155" w:type="dxa"/>
            <w:tcBorders>
              <w:top w:val="nil"/>
              <w:left w:val="nil"/>
              <w:bottom w:val="single" w:color="auto" w:sz="4" w:space="0"/>
              <w:right w:val="single" w:color="auto" w:sz="4" w:space="0"/>
            </w:tcBorders>
            <w:noWrap/>
            <w:vAlign w:val="center"/>
          </w:tcPr>
          <w:p>
            <w:pPr>
              <w:widowControl/>
              <w:jc w:val="center"/>
              <w:rPr>
                <w:rFonts w:ascii="Times New Roman" w:hAnsi="Times New Roman"/>
                <w:kern w:val="0"/>
                <w:sz w:val="22"/>
              </w:rPr>
            </w:pPr>
            <w:r>
              <w:rPr>
                <w:rFonts w:ascii="Times New Roman" w:hAnsi="Times New Roman"/>
                <w:kern w:val="0"/>
                <w:sz w:val="22"/>
              </w:rPr>
              <w:t>——</w:t>
            </w:r>
          </w:p>
        </w:tc>
        <w:tc>
          <w:tcPr>
            <w:tcW w:w="5103" w:type="dxa"/>
            <w:tcBorders>
              <w:top w:val="nil"/>
              <w:left w:val="nil"/>
              <w:bottom w:val="single" w:color="auto" w:sz="4" w:space="0"/>
              <w:right w:val="single" w:color="auto" w:sz="4" w:space="0"/>
            </w:tcBorders>
            <w:noWrap/>
            <w:vAlign w:val="center"/>
          </w:tcPr>
          <w:p>
            <w:pPr>
              <w:widowControl/>
              <w:jc w:val="center"/>
              <w:rPr>
                <w:rFonts w:ascii="Times New Roman" w:hAnsi="Times New Roman"/>
                <w:kern w:val="0"/>
                <w:sz w:val="22"/>
              </w:rPr>
            </w:pPr>
            <w:r>
              <w:rPr>
                <w:rFonts w:hint="eastAsia" w:ascii="Times New Roman" w:hAnsi="Times New Roman"/>
                <w:kern w:val="0"/>
                <w:sz w:val="22"/>
              </w:rPr>
              <w:t>354.13</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left"/>
              <w:rPr>
                <w:rFonts w:ascii="宋体" w:cs="宋体"/>
                <w:kern w:val="0"/>
                <w:sz w:val="22"/>
              </w:rPr>
            </w:pPr>
            <w:r>
              <w:rPr>
                <w:rFonts w:ascii="宋体" w:hAnsi="宋体" w:cs="宋体"/>
                <w:kern w:val="0"/>
                <w:sz w:val="22"/>
              </w:rPr>
              <w:t>1</w:t>
            </w:r>
            <w:r>
              <w:rPr>
                <w:rFonts w:hint="eastAsia" w:ascii="宋体" w:hAnsi="宋体" w:cs="宋体"/>
                <w:kern w:val="0"/>
                <w:sz w:val="22"/>
              </w:rPr>
              <w:t>、房屋（平方米）</w:t>
            </w:r>
          </w:p>
        </w:tc>
        <w:tc>
          <w:tcPr>
            <w:tcW w:w="3155"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 xml:space="preserve"> </w:t>
            </w:r>
          </w:p>
        </w:tc>
        <w:tc>
          <w:tcPr>
            <w:tcW w:w="5103"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 xml:space="preserve"> </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left"/>
              <w:rPr>
                <w:rFonts w:ascii="宋体" w:cs="宋体"/>
                <w:kern w:val="0"/>
                <w:sz w:val="22"/>
              </w:rPr>
            </w:pPr>
            <w:r>
              <w:rPr>
                <w:rFonts w:hint="eastAsia" w:ascii="宋体" w:hAnsi="宋体" w:cs="宋体"/>
                <w:kern w:val="0"/>
                <w:sz w:val="22"/>
              </w:rPr>
              <w:t>其中：办公用房（平方米）</w:t>
            </w:r>
          </w:p>
        </w:tc>
        <w:tc>
          <w:tcPr>
            <w:tcW w:w="3155"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 xml:space="preserve"> </w:t>
            </w:r>
          </w:p>
        </w:tc>
        <w:tc>
          <w:tcPr>
            <w:tcW w:w="5103"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 xml:space="preserve"> </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left"/>
              <w:rPr>
                <w:rFonts w:ascii="宋体" w:cs="宋体"/>
                <w:kern w:val="0"/>
                <w:sz w:val="22"/>
              </w:rPr>
            </w:pPr>
            <w:r>
              <w:rPr>
                <w:rFonts w:ascii="宋体" w:hAnsi="宋体" w:cs="宋体"/>
                <w:kern w:val="0"/>
                <w:sz w:val="22"/>
              </w:rPr>
              <w:t>2</w:t>
            </w:r>
            <w:r>
              <w:rPr>
                <w:rFonts w:hint="eastAsia" w:ascii="宋体" w:hAnsi="宋体" w:cs="宋体"/>
                <w:kern w:val="0"/>
                <w:sz w:val="22"/>
              </w:rPr>
              <w:t>、车辆（台、辆）</w:t>
            </w:r>
          </w:p>
        </w:tc>
        <w:tc>
          <w:tcPr>
            <w:tcW w:w="3155"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 xml:space="preserve"> </w:t>
            </w:r>
          </w:p>
        </w:tc>
        <w:tc>
          <w:tcPr>
            <w:tcW w:w="5103"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 xml:space="preserve"> </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3</w:t>
            </w:r>
            <w:r>
              <w:rPr>
                <w:rFonts w:hint="eastAsia" w:ascii="宋体" w:hAnsi="宋体" w:cs="宋体"/>
                <w:kern w:val="0"/>
                <w:sz w:val="22"/>
              </w:rPr>
              <w:t>、单价在</w:t>
            </w:r>
            <w:r>
              <w:rPr>
                <w:rFonts w:ascii="宋体" w:hAnsi="宋体" w:cs="宋体"/>
                <w:kern w:val="0"/>
                <w:sz w:val="22"/>
              </w:rPr>
              <w:t>20</w:t>
            </w:r>
            <w:r>
              <w:rPr>
                <w:rFonts w:hint="eastAsia" w:ascii="宋体" w:hAnsi="宋体" w:cs="宋体"/>
                <w:kern w:val="0"/>
                <w:sz w:val="22"/>
              </w:rPr>
              <w:t>万元以上的设备</w:t>
            </w:r>
          </w:p>
        </w:tc>
        <w:tc>
          <w:tcPr>
            <w:tcW w:w="3155"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ascii="Times New Roman" w:hAnsi="Times New Roman"/>
                <w:sz w:val="22"/>
              </w:rPr>
              <w:t>2</w:t>
            </w:r>
          </w:p>
        </w:tc>
        <w:tc>
          <w:tcPr>
            <w:tcW w:w="5103"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308</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left"/>
              <w:rPr>
                <w:rFonts w:ascii="宋体" w:cs="宋体"/>
                <w:kern w:val="0"/>
                <w:sz w:val="22"/>
              </w:rPr>
            </w:pPr>
            <w:r>
              <w:rPr>
                <w:rFonts w:ascii="宋体" w:hAnsi="宋体" w:cs="宋体"/>
                <w:kern w:val="0"/>
                <w:sz w:val="22"/>
              </w:rPr>
              <w:t>4</w:t>
            </w:r>
            <w:r>
              <w:rPr>
                <w:rFonts w:hint="eastAsia" w:ascii="宋体" w:hAnsi="宋体" w:cs="宋体"/>
                <w:kern w:val="0"/>
                <w:sz w:val="22"/>
              </w:rPr>
              <w:t>、其他固定资产</w:t>
            </w:r>
          </w:p>
        </w:tc>
        <w:tc>
          <w:tcPr>
            <w:tcW w:w="3155"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ascii="Times New Roman" w:hAnsi="Times New Roman"/>
                <w:kern w:val="0"/>
                <w:sz w:val="22"/>
              </w:rPr>
              <w:t>——</w:t>
            </w:r>
          </w:p>
        </w:tc>
        <w:tc>
          <w:tcPr>
            <w:tcW w:w="5103"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46.13</w:t>
            </w:r>
          </w:p>
        </w:tc>
      </w:tr>
    </w:tbl>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八、名词解释</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1</w:t>
      </w:r>
      <w:r>
        <w:rPr>
          <w:rFonts w:hint="eastAsia" w:ascii="Times New Roman" w:hAnsi="Times New Roman" w:eastAsia="方正仿宋_GBK"/>
          <w:b/>
          <w:sz w:val="32"/>
          <w:szCs w:val="32"/>
        </w:rPr>
        <w:t>、一般公共预算拨款收入：</w:t>
      </w:r>
      <w:r>
        <w:rPr>
          <w:rFonts w:hint="eastAsia" w:ascii="Times New Roman" w:hAnsi="Times New Roman" w:eastAsia="方正仿宋_GBK"/>
          <w:sz w:val="32"/>
          <w:szCs w:val="32"/>
        </w:rPr>
        <w:t>指县级财政当年拨付的资金。</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2</w:t>
      </w:r>
      <w:r>
        <w:rPr>
          <w:rFonts w:hint="eastAsia" w:ascii="Times New Roman" w:hAnsi="Times New Roman" w:eastAsia="方正仿宋_GBK"/>
          <w:b/>
          <w:sz w:val="32"/>
          <w:szCs w:val="32"/>
        </w:rPr>
        <w:t>、事业收入：</w:t>
      </w:r>
      <w:r>
        <w:rPr>
          <w:rFonts w:hint="eastAsia" w:ascii="Times New Roman" w:hAnsi="Times New Roman" w:eastAsia="方正仿宋_GBK"/>
          <w:sz w:val="32"/>
          <w:szCs w:val="32"/>
        </w:rPr>
        <w:t>指事业单位开展专业业务活动及辅助活动所取得的收入。</w:t>
      </w:r>
    </w:p>
    <w:p>
      <w:pPr>
        <w:tabs>
          <w:tab w:val="left" w:pos="11490"/>
        </w:tabs>
        <w:ind w:firstLine="640" w:firstLineChars="200"/>
        <w:rPr>
          <w:rFonts w:ascii="Times New Roman" w:hAnsi="Times New Roman" w:eastAsia="方正仿宋_GBK"/>
          <w:b/>
          <w:sz w:val="32"/>
          <w:szCs w:val="32"/>
        </w:rPr>
      </w:pPr>
      <w:r>
        <w:rPr>
          <w:rFonts w:ascii="Times New Roman" w:hAnsi="Times New Roman" w:eastAsia="方正仿宋_GBK"/>
          <w:b/>
          <w:sz w:val="32"/>
          <w:szCs w:val="32"/>
        </w:rPr>
        <w:t>3</w:t>
      </w:r>
      <w:r>
        <w:rPr>
          <w:rFonts w:hint="eastAsia" w:ascii="Times New Roman" w:hAnsi="Times New Roman" w:eastAsia="方正仿宋_GBK"/>
          <w:b/>
          <w:sz w:val="32"/>
          <w:szCs w:val="32"/>
        </w:rPr>
        <w:t>、其他收入：</w:t>
      </w:r>
      <w:r>
        <w:rPr>
          <w:rFonts w:hint="eastAsia" w:ascii="Times New Roman" w:hAnsi="Times New Roman" w:eastAsia="方正仿宋_GBK"/>
          <w:sz w:val="32"/>
          <w:szCs w:val="32"/>
        </w:rPr>
        <w:t>指除</w:t>
      </w:r>
      <w:r>
        <w:rPr>
          <w:rFonts w:ascii="Times New Roman" w:hAnsi="Times New Roman" w:eastAsia="方正仿宋_GBK"/>
          <w:sz w:val="32"/>
          <w:szCs w:val="32"/>
        </w:rPr>
        <w:t>“</w:t>
      </w:r>
      <w:r>
        <w:rPr>
          <w:rFonts w:hint="eastAsia" w:ascii="Times New Roman" w:hAnsi="Times New Roman" w:eastAsia="方正仿宋_GBK"/>
          <w:sz w:val="32"/>
          <w:szCs w:val="32"/>
        </w:rPr>
        <w:t>一般公共预算拨款收入</w:t>
      </w:r>
      <w:r>
        <w:rPr>
          <w:rFonts w:ascii="Times New Roman" w:hAnsi="Times New Roman" w:eastAsia="方正仿宋_GBK"/>
          <w:sz w:val="32"/>
          <w:szCs w:val="32"/>
        </w:rPr>
        <w:t>”</w:t>
      </w:r>
      <w:r>
        <w:rPr>
          <w:rFonts w:hint="eastAsia" w:ascii="Times New Roman" w:hAnsi="Times New Roman" w:eastAsia="方正仿宋_GBK"/>
          <w:sz w:val="32"/>
          <w:szCs w:val="32"/>
        </w:rPr>
        <w:t>、</w:t>
      </w:r>
      <w:r>
        <w:rPr>
          <w:rFonts w:ascii="Times New Roman" w:hAnsi="Times New Roman" w:eastAsia="方正仿宋_GBK"/>
          <w:sz w:val="32"/>
          <w:szCs w:val="32"/>
        </w:rPr>
        <w:t>“</w:t>
      </w:r>
      <w:r>
        <w:rPr>
          <w:rFonts w:hint="eastAsia" w:ascii="Times New Roman" w:hAnsi="Times New Roman" w:eastAsia="方正仿宋_GBK"/>
          <w:sz w:val="32"/>
          <w:szCs w:val="32"/>
        </w:rPr>
        <w:t>事业收入</w:t>
      </w:r>
      <w:r>
        <w:rPr>
          <w:rFonts w:ascii="Times New Roman" w:hAnsi="Times New Roman" w:eastAsia="方正仿宋_GBK"/>
          <w:sz w:val="32"/>
          <w:szCs w:val="32"/>
        </w:rPr>
        <w:t>”</w:t>
      </w:r>
      <w:r>
        <w:rPr>
          <w:rFonts w:hint="eastAsia" w:ascii="Times New Roman" w:hAnsi="Times New Roman" w:eastAsia="方正仿宋_GBK"/>
          <w:sz w:val="32"/>
          <w:szCs w:val="32"/>
        </w:rPr>
        <w:t>等以外的收入。主要是按规定动用的租房收入、存款利息收入等。</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4</w:t>
      </w:r>
      <w:r>
        <w:rPr>
          <w:rFonts w:hint="eastAsia" w:ascii="Times New Roman" w:hAnsi="Times New Roman" w:eastAsia="方正仿宋_GBK"/>
          <w:b/>
          <w:sz w:val="32"/>
          <w:szCs w:val="32"/>
        </w:rPr>
        <w:t>、基本支出：</w:t>
      </w:r>
      <w:r>
        <w:rPr>
          <w:rFonts w:hint="eastAsia" w:ascii="Times New Roman" w:hAnsi="Times New Roman" w:eastAsia="方正仿宋_GBK"/>
          <w:sz w:val="32"/>
          <w:szCs w:val="32"/>
        </w:rPr>
        <w:t>指为保障机构正常运转、完成日常工作任务而发生的人员支出和公用支出。</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5</w:t>
      </w:r>
      <w:r>
        <w:rPr>
          <w:rFonts w:hint="eastAsia" w:ascii="Times New Roman" w:hAnsi="Times New Roman" w:eastAsia="方正仿宋_GBK"/>
          <w:b/>
          <w:sz w:val="32"/>
          <w:szCs w:val="32"/>
        </w:rPr>
        <w:t>、项目支出：</w:t>
      </w:r>
      <w:r>
        <w:rPr>
          <w:rFonts w:hint="eastAsia" w:ascii="Times New Roman" w:hAnsi="Times New Roman" w:eastAsia="方正仿宋_GBK"/>
          <w:sz w:val="32"/>
          <w:szCs w:val="32"/>
        </w:rPr>
        <w:t>指在基本支出之外为完成特定行政任务和事业发展目标所发生的支出。</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6</w:t>
      </w:r>
      <w:r>
        <w:rPr>
          <w:rFonts w:hint="eastAsia" w:ascii="Times New Roman" w:hAnsi="Times New Roman" w:eastAsia="方正仿宋_GBK"/>
          <w:b/>
          <w:sz w:val="32"/>
          <w:szCs w:val="32"/>
        </w:rPr>
        <w:t>、上缴上级支出：</w:t>
      </w:r>
      <w:r>
        <w:rPr>
          <w:rFonts w:hint="eastAsia" w:ascii="Times New Roman" w:hAnsi="Times New Roman" w:eastAsia="方正仿宋_GBK"/>
          <w:sz w:val="32"/>
          <w:szCs w:val="32"/>
        </w:rPr>
        <w:t>指下级单位上缴上级的支出。</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7</w:t>
      </w:r>
      <w:r>
        <w:rPr>
          <w:rFonts w:hint="eastAsia" w:ascii="Times New Roman" w:hAnsi="Times New Roman" w:eastAsia="方正仿宋_GBK"/>
          <w:b/>
          <w:sz w:val="32"/>
          <w:szCs w:val="32"/>
        </w:rPr>
        <w:t>、</w:t>
      </w:r>
      <w:r>
        <w:rPr>
          <w:rFonts w:ascii="Times New Roman" w:hAnsi="Times New Roman" w:eastAsia="方正仿宋_GBK"/>
          <w:b/>
          <w:sz w:val="32"/>
          <w:szCs w:val="32"/>
        </w:rPr>
        <w:t>“</w:t>
      </w:r>
      <w:r>
        <w:rPr>
          <w:rFonts w:hint="eastAsia" w:ascii="Times New Roman" w:hAnsi="Times New Roman" w:eastAsia="方正仿宋_GBK"/>
          <w:b/>
          <w:sz w:val="32"/>
          <w:szCs w:val="32"/>
        </w:rPr>
        <w:t>三公</w:t>
      </w:r>
      <w:r>
        <w:rPr>
          <w:rFonts w:ascii="Times New Roman" w:hAnsi="Times New Roman" w:eastAsia="方正仿宋_GBK"/>
          <w:b/>
          <w:sz w:val="32"/>
          <w:szCs w:val="32"/>
        </w:rPr>
        <w:t>”</w:t>
      </w:r>
      <w:r>
        <w:rPr>
          <w:rFonts w:hint="eastAsia" w:ascii="Times New Roman" w:hAnsi="Times New Roman" w:eastAsia="方正仿宋_GBK"/>
          <w:b/>
          <w:sz w:val="32"/>
          <w:szCs w:val="32"/>
        </w:rPr>
        <w:t>经费：</w:t>
      </w:r>
      <w:r>
        <w:rPr>
          <w:rFonts w:hint="eastAsia" w:ascii="Times New Roman" w:hAnsi="Times New Roman" w:eastAsia="方正仿宋_GBK"/>
          <w:sz w:val="32"/>
          <w:szCs w:val="32"/>
        </w:rPr>
        <w:t>纳入县级财政预算管理的</w:t>
      </w:r>
      <w:r>
        <w:rPr>
          <w:rFonts w:ascii="Times New Roman" w:hAnsi="Times New Roman" w:eastAsia="方正仿宋_GBK"/>
          <w:sz w:val="32"/>
          <w:szCs w:val="32"/>
        </w:rPr>
        <w:t>“</w:t>
      </w:r>
      <w:r>
        <w:rPr>
          <w:rFonts w:hint="eastAsia" w:ascii="Times New Roman" w:hAnsi="Times New Roman" w:eastAsia="方正仿宋_GBK"/>
          <w:sz w:val="32"/>
          <w:szCs w:val="32"/>
        </w:rPr>
        <w:t>三公</w:t>
      </w:r>
      <w:r>
        <w:rPr>
          <w:rFonts w:ascii="Times New Roman" w:hAnsi="Times New Roman" w:eastAsia="方正仿宋_GBK"/>
          <w:sz w:val="32"/>
          <w:szCs w:val="32"/>
        </w:rPr>
        <w:t>”</w:t>
      </w:r>
      <w:r>
        <w:rPr>
          <w:rFonts w:hint="eastAsia" w:ascii="Times New Roman" w:hAnsi="Times New Roman" w:eastAsia="方正仿宋_GBK"/>
          <w:sz w:val="32"/>
          <w:szCs w:val="32"/>
        </w:rPr>
        <w:t>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8</w:t>
      </w:r>
      <w:r>
        <w:rPr>
          <w:rFonts w:hint="eastAsia" w:ascii="Times New Roman" w:hAnsi="Times New Roman" w:eastAsia="方正仿宋_GBK"/>
          <w:b/>
          <w:sz w:val="32"/>
          <w:szCs w:val="32"/>
        </w:rPr>
        <w:t>、机关运行费：</w:t>
      </w:r>
      <w:r>
        <w:rPr>
          <w:rFonts w:hint="eastAsia" w:ascii="Times New Roman" w:hAnsi="Times New Roman" w:eastAsia="方正仿宋_GBK"/>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9</w:t>
      </w:r>
      <w:r>
        <w:rPr>
          <w:rFonts w:hint="eastAsia" w:ascii="Times New Roman" w:hAnsi="Times New Roman" w:eastAsia="方正仿宋_GBK"/>
          <w:b/>
          <w:sz w:val="32"/>
          <w:szCs w:val="32"/>
        </w:rPr>
        <w:t>、上年结转：</w:t>
      </w:r>
      <w:r>
        <w:rPr>
          <w:rFonts w:hint="eastAsia" w:ascii="Times New Roman" w:hAnsi="Times New Roman" w:eastAsia="方正仿宋_GBK"/>
          <w:sz w:val="32"/>
          <w:szCs w:val="32"/>
        </w:rPr>
        <w:t>指以前年度尚未完成、结转到本年仍按原规定用途继续使用的资金。</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九、其他需要说明的事项</w:t>
      </w:r>
    </w:p>
    <w:p>
      <w:pPr>
        <w:ind w:firstLine="640" w:firstLineChars="200"/>
        <w:rPr>
          <w:rFonts w:ascii="仿宋_GB2312" w:hAnsi="Times New Roman" w:eastAsia="仿宋_GB2312"/>
          <w:sz w:val="32"/>
          <w:szCs w:val="32"/>
        </w:rPr>
      </w:pPr>
      <w:r>
        <w:rPr>
          <w:rFonts w:hint="eastAsia" w:ascii="仿宋_GB2312" w:hAnsi="Times New Roman" w:eastAsia="仿宋_GB2312"/>
          <w:sz w:val="32"/>
          <w:szCs w:val="32"/>
        </w:rPr>
        <w:t>我部门无其他需要说明的事项。</w:t>
      </w:r>
    </w:p>
    <w:p>
      <w:pPr>
        <w:spacing w:line="300" w:lineRule="exact"/>
        <w:jc w:val="left"/>
        <w:rPr>
          <w:rFonts w:ascii="宋体" w:cs="宋体"/>
        </w:rPr>
        <w:sectPr>
          <w:pgSz w:w="16839" w:h="11907" w:orient="landscape"/>
          <w:pgMar w:top="1304" w:right="1985" w:bottom="1304" w:left="1134" w:header="851" w:footer="992" w:gutter="0"/>
          <w:cols w:space="720" w:num="1"/>
          <w:docGrid w:type="linesAndChars" w:linePitch="312" w:charSpace="0"/>
        </w:sectPr>
      </w:pPr>
    </w:p>
    <w:bookmarkEnd w:id="0"/>
    <w:p>
      <w:pPr>
        <w:autoSpaceDE w:val="0"/>
        <w:autoSpaceDN w:val="0"/>
        <w:adjustRightInd w:val="0"/>
        <w:jc w:val="left"/>
      </w:pPr>
    </w:p>
    <w:sectPr>
      <w:headerReference r:id="rId7" w:type="first"/>
      <w:footerReference r:id="rId10" w:type="first"/>
      <w:headerReference r:id="rId5" w:type="default"/>
      <w:footerReference r:id="rId8" w:type="default"/>
      <w:headerReference r:id="rId6" w:type="even"/>
      <w:footerReference r:id="rId9" w:type="even"/>
      <w:pgSz w:w="16839" w:h="11907" w:orient="landscape"/>
      <w:pgMar w:top="1304" w:right="1985" w:bottom="1304" w:left="1134"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Cambria">
    <w:altName w:val="Noto Sans Syriac Eastern"/>
    <w:panose1 w:val="02040503050406030204"/>
    <w:charset w:val="00"/>
    <w:family w:val="roman"/>
    <w:pitch w:val="default"/>
    <w:sig w:usb0="00000000" w:usb1="00000000" w:usb2="00000000" w:usb3="00000000" w:csb0="0000019F" w:csb1="00000000"/>
  </w:font>
  <w:font w:name="Noto Sans Syriac Eastern">
    <w:panose1 w:val="02040503050306020203"/>
    <w:charset w:val="86"/>
    <w:family w:val="auto"/>
    <w:pitch w:val="default"/>
    <w:sig w:usb0="00000000" w:usb1="00000000" w:usb2="00000080" w:usb3="00000000" w:csb0="203E0161" w:csb1="D7FF0000"/>
  </w:font>
  <w:font w:name="方正小标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00000001" w:usb1="08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panose1 w:val="02000000000000000000"/>
    <w:charset w:val="86"/>
    <w:family w:val="script"/>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58420" cy="278765"/>
              <wp:effectExtent l="0" t="0" r="0" b="0"/>
              <wp:wrapNone/>
              <wp:docPr id="1" name="文本框 7"/>
              <wp:cNvGraphicFramePr/>
              <a:graphic xmlns:a="http://schemas.openxmlformats.org/drawingml/2006/main">
                <a:graphicData uri="http://schemas.microsoft.com/office/word/2010/wordprocessingShape">
                  <wps:wsp>
                    <wps:cNvSpPr txBox="1"/>
                    <wps:spPr>
                      <a:xfrm>
                        <a:off x="0" y="0"/>
                        <a:ext cx="58420" cy="278765"/>
                      </a:xfrm>
                      <a:prstGeom prst="rect">
                        <a:avLst/>
                      </a:prstGeom>
                      <a:noFill/>
                      <a:ln>
                        <a:noFill/>
                      </a:ln>
                      <a:effectLst/>
                    </wps:spPr>
                    <wps:txbx>
                      <w:txbxContent>
                        <w:p>
                          <w:pPr>
                            <w:pStyle w:val="5"/>
                            <w:rPr>
                              <w:rStyle w:val="13"/>
                            </w:rPr>
                          </w:pPr>
                          <w:r>
                            <w:rPr>
                              <w:rStyle w:val="13"/>
                            </w:rPr>
                            <w:fldChar w:fldCharType="begin"/>
                          </w:r>
                          <w:r>
                            <w:rPr>
                              <w:rStyle w:val="13"/>
                            </w:rPr>
                            <w:instrText xml:space="preserve">PAGE  </w:instrText>
                          </w:r>
                          <w:r>
                            <w:rPr>
                              <w:rStyle w:val="13"/>
                            </w:rPr>
                            <w:fldChar w:fldCharType="separate"/>
                          </w:r>
                          <w:r>
                            <w:rPr>
                              <w:rStyle w:val="13"/>
                            </w:rPr>
                            <w:t>4</w:t>
                          </w:r>
                          <w:r>
                            <w:rPr>
                              <w:rStyle w:val="13"/>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21.95pt;width:4.6pt;mso-position-horizontal:center;mso-position-horizontal-relative:margin;mso-wrap-style:none;z-index:251659264;mso-width-relative:page;mso-height-relative:page;" filled="f" stroked="f" coordsize="21600,21600" o:gfxdata="UEsFBgAAAAAAAAAAAAAAAAAAAAAAAFBLAwQKAAAAAACHTuJAAAAAAAAAAAAAAAAABAAAAGRycy9Q&#10;SwMEFAAAAAgAh07iQJb4oDrRAAAAAgEAAA8AAABkcnMvZG93bnJldi54bWxNj8FOwzAQRO9I/Qdr&#10;K3GjTguCNsTpoVIvvVFQJW5uvI0j7HVku2ny9yxc4LLSaEYzb6vt6J0YMKYukILlogCB1ATTUavg&#10;433/sAaRsiajXSBUMGGCbT27q3Rpwo3ecDjmVnAJpVIrsDn3pZSpseh1WoQeib1LiF5nlrGVJuob&#10;l3snV0XxLL3uiBes7nFnsfk6Xr2Cl/EUsE+4w8/L0ETbTWt3mJS6ny+LVxAZx/wXhh98Roeamc7h&#10;SiYJp4Afyb+Xvc0KxFnB0+MGZF3J/+j1N1BLAwQUAAAACACHTuJAVGwdOtIBAACkAwAADgAAAGRy&#10;cy9lMm9Eb2MueG1srVPBbtswDL0P2D8Iui9OgrUJjDjFhqDDgGEb0O4DFFmOBUiiICqx8wPbH+y0&#10;y+77rnzHKNlJ1/bSwy4yRVKPfI/06qa3hh1UQA2u4rPJlDPlJNTa7Sr+7f72zZIzjMLVwoBTFT8q&#10;5Dfr169WnS/VHFowtQqMQByWna94G6MviwJlq6zACXjlKNhAsCLSNeyKOoiO0K0p5tPpddFBqH0A&#10;qRDJuxmCfEQMLwGEptFSbUDurXJxQA3KiEiUsNUe+Tp32zRKxi9NgyoyU3FiGvNJRcjeprNYr0S5&#10;C8K3Wo4tiJe08ISTFdpR0QvURkTB9kE/g7JaBkBo4kSCLQYiWRFiMZs+0eauFV5lLiQ1+ovo+P9g&#10;5efD18B0TZvAmROWBn76+eP068/p93e2SPJ0HkvKuvOUF/v30KfU0Y/kTKz7Jtj0JT6M4iTu8SKu&#10;6iOT5Lxavp1TQFJkvlgurq8SSPHw1geMHxRYloyKBxpdVlQcPmEcUs8pqZSDW20M+UVp3CMHYQ4e&#10;lec/vk40hnaTFfttP3LYQn0kah3tQMUdrTxn5qMjidO6nI1wNrZnY++D3rXU6Cx3if7dPlJLudNU&#10;YYAlhulCw8tcx0VL2/HvPWc9/Fzrv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FAAAAAgAh07i&#10;QIoUZjzRAAAAlAEAAAsAAAAAAAAAAQAgAAAAWAMAAF9yZWxzLy5yZWxzUEsBAhQACgAAAAAAh07i&#10;QAAAAAAAAAAAAAAAAAYAAAAAAAAAAAAQAAAANAMAAF9yZWxzL1BLAQIUABQAAAAIAIdO4kBUbB06&#10;0gEAAKQDAAAOAAAAAAAAAAEAIAAAADYBAABkcnMvZTJvRG9jLnhtbFBLAQIUABQAAAAIAIdO4kCW&#10;+KA60QAAAAIBAAAPAAAAAAAAAAEAIAAAADgAAABkcnMvZG93bnJldi54bWxQSwECFAAKAAAAAACH&#10;TuJAAAAAAAAAAAAAAAAABAAAAAAAAAAAABAAAAAWAAAAZHJzL1BLBQYAAAAABgAGAFkBAAB6BQAA&#10;AAA=&#10;">
              <v:fill on="f" focussize="0,0"/>
              <v:stroke on="f"/>
              <v:imagedata o:title=""/>
              <o:lock v:ext="edit" aspectratio="f"/>
              <v:textbox inset="0mm,0mm,0mm,0mm" style="mso-fit-shape-to-text:t;">
                <w:txbxContent>
                  <w:p>
                    <w:pPr>
                      <w:pStyle w:val="5"/>
                      <w:rPr>
                        <w:rStyle w:val="13"/>
                      </w:rPr>
                    </w:pPr>
                    <w:r>
                      <w:rPr>
                        <w:rStyle w:val="13"/>
                      </w:rPr>
                      <w:fldChar w:fldCharType="begin"/>
                    </w:r>
                    <w:r>
                      <w:rPr>
                        <w:rStyle w:val="13"/>
                      </w:rPr>
                      <w:instrText xml:space="preserve">PAGE  </w:instrText>
                    </w:r>
                    <w:r>
                      <w:rPr>
                        <w:rStyle w:val="13"/>
                      </w:rPr>
                      <w:fldChar w:fldCharType="separate"/>
                    </w:r>
                    <w:r>
                      <w:rPr>
                        <w:rStyle w:val="13"/>
                      </w:rPr>
                      <w:t>4</w:t>
                    </w:r>
                    <w:r>
                      <w:rPr>
                        <w:rStyle w:val="13"/>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D2EBEAF"/>
    <w:multiLevelType w:val="singleLevel"/>
    <w:tmpl w:val="9D2EBEAF"/>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layout v:ext="edit">
      <o:idmap v:ext="edit" data="1,3"/>
    </o:shapelayout>
  </w:hdrShapeDefaults>
  <w:compat>
    <w:spaceForUL/>
    <w:balanceSingleByteDoubleByteWidth/>
    <w:doNotLeaveBackslashAlone/>
    <w:ulTrailSpace/>
    <w:doNotExpandShiftReturn/>
    <w:adjustLineHeightInTable/>
    <w:useFELayout/>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BhZGFkMjg0MTBlYTllYWM3Mjc1ZWE5ZjdjZTg5Y2QifQ=="/>
  </w:docVars>
  <w:rsids>
    <w:rsidRoot w:val="00F66032"/>
    <w:rsid w:val="00001E74"/>
    <w:rsid w:val="00004436"/>
    <w:rsid w:val="00020BC9"/>
    <w:rsid w:val="00034786"/>
    <w:rsid w:val="00037AF6"/>
    <w:rsid w:val="000405D0"/>
    <w:rsid w:val="0004257D"/>
    <w:rsid w:val="00042F57"/>
    <w:rsid w:val="00054CDC"/>
    <w:rsid w:val="0006483E"/>
    <w:rsid w:val="000658A6"/>
    <w:rsid w:val="000677CB"/>
    <w:rsid w:val="00074766"/>
    <w:rsid w:val="00075D5F"/>
    <w:rsid w:val="0008102F"/>
    <w:rsid w:val="00086527"/>
    <w:rsid w:val="00087AAF"/>
    <w:rsid w:val="000B529B"/>
    <w:rsid w:val="000C3A19"/>
    <w:rsid w:val="000D52E9"/>
    <w:rsid w:val="000E1F02"/>
    <w:rsid w:val="000E617A"/>
    <w:rsid w:val="000E7D3F"/>
    <w:rsid w:val="00104D5C"/>
    <w:rsid w:val="001245BB"/>
    <w:rsid w:val="001251A3"/>
    <w:rsid w:val="001275A7"/>
    <w:rsid w:val="00133E19"/>
    <w:rsid w:val="001364F4"/>
    <w:rsid w:val="00145C78"/>
    <w:rsid w:val="00146AA7"/>
    <w:rsid w:val="00160D6E"/>
    <w:rsid w:val="00170CAA"/>
    <w:rsid w:val="00170D1F"/>
    <w:rsid w:val="0018714B"/>
    <w:rsid w:val="0019071F"/>
    <w:rsid w:val="00191B75"/>
    <w:rsid w:val="001A149B"/>
    <w:rsid w:val="001B4EF3"/>
    <w:rsid w:val="001B5B76"/>
    <w:rsid w:val="001D42D2"/>
    <w:rsid w:val="001E0757"/>
    <w:rsid w:val="001F5ED5"/>
    <w:rsid w:val="001F7873"/>
    <w:rsid w:val="001F7B5A"/>
    <w:rsid w:val="00201B2D"/>
    <w:rsid w:val="002174E4"/>
    <w:rsid w:val="00221DDC"/>
    <w:rsid w:val="00237E4E"/>
    <w:rsid w:val="00241FD4"/>
    <w:rsid w:val="00251B12"/>
    <w:rsid w:val="00296113"/>
    <w:rsid w:val="002A607E"/>
    <w:rsid w:val="002A673A"/>
    <w:rsid w:val="002B4DAA"/>
    <w:rsid w:val="002B7BC4"/>
    <w:rsid w:val="002C07BE"/>
    <w:rsid w:val="002C5E13"/>
    <w:rsid w:val="002C62BC"/>
    <w:rsid w:val="002C7DF9"/>
    <w:rsid w:val="002D3AEA"/>
    <w:rsid w:val="002D7683"/>
    <w:rsid w:val="002E0EB8"/>
    <w:rsid w:val="002E65C2"/>
    <w:rsid w:val="002F126F"/>
    <w:rsid w:val="002F1536"/>
    <w:rsid w:val="002F3E58"/>
    <w:rsid w:val="0030542C"/>
    <w:rsid w:val="00311B7A"/>
    <w:rsid w:val="00322EC1"/>
    <w:rsid w:val="00341046"/>
    <w:rsid w:val="00343CD7"/>
    <w:rsid w:val="0035104D"/>
    <w:rsid w:val="00372FA3"/>
    <w:rsid w:val="00394A20"/>
    <w:rsid w:val="003A6A7D"/>
    <w:rsid w:val="003B2422"/>
    <w:rsid w:val="003D24CB"/>
    <w:rsid w:val="003D2C83"/>
    <w:rsid w:val="003D417F"/>
    <w:rsid w:val="003E1B80"/>
    <w:rsid w:val="003F60E9"/>
    <w:rsid w:val="00400F01"/>
    <w:rsid w:val="00407D08"/>
    <w:rsid w:val="004248B8"/>
    <w:rsid w:val="00424943"/>
    <w:rsid w:val="004303AE"/>
    <w:rsid w:val="004315C7"/>
    <w:rsid w:val="0043175C"/>
    <w:rsid w:val="0043380A"/>
    <w:rsid w:val="00436327"/>
    <w:rsid w:val="00437296"/>
    <w:rsid w:val="00451590"/>
    <w:rsid w:val="00451871"/>
    <w:rsid w:val="0045609B"/>
    <w:rsid w:val="00461F76"/>
    <w:rsid w:val="004631FC"/>
    <w:rsid w:val="00467335"/>
    <w:rsid w:val="004706DE"/>
    <w:rsid w:val="00472923"/>
    <w:rsid w:val="00485694"/>
    <w:rsid w:val="0049455E"/>
    <w:rsid w:val="00496109"/>
    <w:rsid w:val="004A6DB1"/>
    <w:rsid w:val="004B0C3A"/>
    <w:rsid w:val="004C27AF"/>
    <w:rsid w:val="004D3AC8"/>
    <w:rsid w:val="004D5788"/>
    <w:rsid w:val="004E1BD7"/>
    <w:rsid w:val="004E3066"/>
    <w:rsid w:val="004E74CD"/>
    <w:rsid w:val="005024BE"/>
    <w:rsid w:val="005069C1"/>
    <w:rsid w:val="00516094"/>
    <w:rsid w:val="00516E04"/>
    <w:rsid w:val="0051791F"/>
    <w:rsid w:val="00545D0E"/>
    <w:rsid w:val="005557F0"/>
    <w:rsid w:val="00565588"/>
    <w:rsid w:val="00572067"/>
    <w:rsid w:val="00573562"/>
    <w:rsid w:val="005737E8"/>
    <w:rsid w:val="005810AD"/>
    <w:rsid w:val="00590ECE"/>
    <w:rsid w:val="00591078"/>
    <w:rsid w:val="005911E4"/>
    <w:rsid w:val="005915C2"/>
    <w:rsid w:val="00592ADD"/>
    <w:rsid w:val="005A2F44"/>
    <w:rsid w:val="005C5CF5"/>
    <w:rsid w:val="005D50A2"/>
    <w:rsid w:val="00602878"/>
    <w:rsid w:val="00605A11"/>
    <w:rsid w:val="00612D3C"/>
    <w:rsid w:val="00614A29"/>
    <w:rsid w:val="0061668A"/>
    <w:rsid w:val="0062201D"/>
    <w:rsid w:val="006364A7"/>
    <w:rsid w:val="00637255"/>
    <w:rsid w:val="00643AA7"/>
    <w:rsid w:val="00650D4B"/>
    <w:rsid w:val="00653C6B"/>
    <w:rsid w:val="0066346C"/>
    <w:rsid w:val="00673D76"/>
    <w:rsid w:val="00674CD7"/>
    <w:rsid w:val="00681162"/>
    <w:rsid w:val="006854F0"/>
    <w:rsid w:val="0069624B"/>
    <w:rsid w:val="006A0542"/>
    <w:rsid w:val="006A1B2A"/>
    <w:rsid w:val="006B1C4A"/>
    <w:rsid w:val="006B610D"/>
    <w:rsid w:val="006D2233"/>
    <w:rsid w:val="006E49F5"/>
    <w:rsid w:val="006E7E97"/>
    <w:rsid w:val="006F2193"/>
    <w:rsid w:val="007013C8"/>
    <w:rsid w:val="00704330"/>
    <w:rsid w:val="00717B1E"/>
    <w:rsid w:val="007431AB"/>
    <w:rsid w:val="00746441"/>
    <w:rsid w:val="00753836"/>
    <w:rsid w:val="0075393C"/>
    <w:rsid w:val="00754592"/>
    <w:rsid w:val="007556C0"/>
    <w:rsid w:val="00757DCE"/>
    <w:rsid w:val="007701B8"/>
    <w:rsid w:val="0077207E"/>
    <w:rsid w:val="00776C08"/>
    <w:rsid w:val="00786726"/>
    <w:rsid w:val="00792F3A"/>
    <w:rsid w:val="007C180B"/>
    <w:rsid w:val="007C219A"/>
    <w:rsid w:val="007C4F9B"/>
    <w:rsid w:val="007D50B5"/>
    <w:rsid w:val="007E1DA8"/>
    <w:rsid w:val="007E4BA0"/>
    <w:rsid w:val="007E4D52"/>
    <w:rsid w:val="007F6C26"/>
    <w:rsid w:val="00805873"/>
    <w:rsid w:val="00813208"/>
    <w:rsid w:val="00822135"/>
    <w:rsid w:val="0083214F"/>
    <w:rsid w:val="008334AE"/>
    <w:rsid w:val="00836FED"/>
    <w:rsid w:val="0083724E"/>
    <w:rsid w:val="00845CD2"/>
    <w:rsid w:val="00852B0D"/>
    <w:rsid w:val="00863385"/>
    <w:rsid w:val="00881692"/>
    <w:rsid w:val="00883D1A"/>
    <w:rsid w:val="008934A3"/>
    <w:rsid w:val="008A25C2"/>
    <w:rsid w:val="008A6576"/>
    <w:rsid w:val="008B3CC5"/>
    <w:rsid w:val="008B52CD"/>
    <w:rsid w:val="008D42CC"/>
    <w:rsid w:val="008E4261"/>
    <w:rsid w:val="008F4662"/>
    <w:rsid w:val="00900BF9"/>
    <w:rsid w:val="00904CDD"/>
    <w:rsid w:val="00905D08"/>
    <w:rsid w:val="00925753"/>
    <w:rsid w:val="00931831"/>
    <w:rsid w:val="00933239"/>
    <w:rsid w:val="009425F4"/>
    <w:rsid w:val="009537C8"/>
    <w:rsid w:val="00965683"/>
    <w:rsid w:val="00966C5C"/>
    <w:rsid w:val="009706EB"/>
    <w:rsid w:val="0097130F"/>
    <w:rsid w:val="00972D31"/>
    <w:rsid w:val="00973104"/>
    <w:rsid w:val="00987029"/>
    <w:rsid w:val="00987706"/>
    <w:rsid w:val="00995BF0"/>
    <w:rsid w:val="009A16D5"/>
    <w:rsid w:val="009A353D"/>
    <w:rsid w:val="009A3A11"/>
    <w:rsid w:val="009B0B77"/>
    <w:rsid w:val="009B511E"/>
    <w:rsid w:val="009B51E3"/>
    <w:rsid w:val="009D3DF1"/>
    <w:rsid w:val="009E0BB0"/>
    <w:rsid w:val="00A02FED"/>
    <w:rsid w:val="00A0345F"/>
    <w:rsid w:val="00A1538B"/>
    <w:rsid w:val="00A42BFB"/>
    <w:rsid w:val="00A44E3D"/>
    <w:rsid w:val="00A62942"/>
    <w:rsid w:val="00A72D2E"/>
    <w:rsid w:val="00A7347D"/>
    <w:rsid w:val="00A74447"/>
    <w:rsid w:val="00A74CE5"/>
    <w:rsid w:val="00A75DBE"/>
    <w:rsid w:val="00A910D2"/>
    <w:rsid w:val="00A911E7"/>
    <w:rsid w:val="00A939D9"/>
    <w:rsid w:val="00AC6958"/>
    <w:rsid w:val="00AD08A2"/>
    <w:rsid w:val="00AD32B2"/>
    <w:rsid w:val="00AF1C21"/>
    <w:rsid w:val="00AF4530"/>
    <w:rsid w:val="00B03617"/>
    <w:rsid w:val="00B07D9E"/>
    <w:rsid w:val="00B12122"/>
    <w:rsid w:val="00B20712"/>
    <w:rsid w:val="00B27FBD"/>
    <w:rsid w:val="00B33B75"/>
    <w:rsid w:val="00B43238"/>
    <w:rsid w:val="00B45DD3"/>
    <w:rsid w:val="00B52632"/>
    <w:rsid w:val="00B65FA4"/>
    <w:rsid w:val="00B665A2"/>
    <w:rsid w:val="00B727A9"/>
    <w:rsid w:val="00B75216"/>
    <w:rsid w:val="00B8062E"/>
    <w:rsid w:val="00B84D97"/>
    <w:rsid w:val="00B91D52"/>
    <w:rsid w:val="00B92986"/>
    <w:rsid w:val="00B9490F"/>
    <w:rsid w:val="00BA1ACD"/>
    <w:rsid w:val="00BA4785"/>
    <w:rsid w:val="00BA534E"/>
    <w:rsid w:val="00BB1A2F"/>
    <w:rsid w:val="00BC7AB2"/>
    <w:rsid w:val="00BD09F8"/>
    <w:rsid w:val="00BD4B2D"/>
    <w:rsid w:val="00BE0E8E"/>
    <w:rsid w:val="00C0360F"/>
    <w:rsid w:val="00C06277"/>
    <w:rsid w:val="00C16800"/>
    <w:rsid w:val="00C35176"/>
    <w:rsid w:val="00C46530"/>
    <w:rsid w:val="00C570A2"/>
    <w:rsid w:val="00C667DC"/>
    <w:rsid w:val="00C67658"/>
    <w:rsid w:val="00C67C66"/>
    <w:rsid w:val="00C67D14"/>
    <w:rsid w:val="00C7719B"/>
    <w:rsid w:val="00C869AA"/>
    <w:rsid w:val="00CA59B0"/>
    <w:rsid w:val="00CA7176"/>
    <w:rsid w:val="00CB3D48"/>
    <w:rsid w:val="00CB4665"/>
    <w:rsid w:val="00CC75B0"/>
    <w:rsid w:val="00CD0BF2"/>
    <w:rsid w:val="00CD1AE7"/>
    <w:rsid w:val="00CD23E7"/>
    <w:rsid w:val="00CD2773"/>
    <w:rsid w:val="00CD31CC"/>
    <w:rsid w:val="00CE143B"/>
    <w:rsid w:val="00CE3D34"/>
    <w:rsid w:val="00CF3455"/>
    <w:rsid w:val="00CF6673"/>
    <w:rsid w:val="00D0024A"/>
    <w:rsid w:val="00D01660"/>
    <w:rsid w:val="00D17ABB"/>
    <w:rsid w:val="00D27003"/>
    <w:rsid w:val="00D4166E"/>
    <w:rsid w:val="00D440D6"/>
    <w:rsid w:val="00D91D21"/>
    <w:rsid w:val="00D97D00"/>
    <w:rsid w:val="00DA7FF9"/>
    <w:rsid w:val="00DB4A9B"/>
    <w:rsid w:val="00DC6F06"/>
    <w:rsid w:val="00DD38EC"/>
    <w:rsid w:val="00DE0873"/>
    <w:rsid w:val="00DE666F"/>
    <w:rsid w:val="00E167C7"/>
    <w:rsid w:val="00E2482E"/>
    <w:rsid w:val="00E273A5"/>
    <w:rsid w:val="00E34E80"/>
    <w:rsid w:val="00E41AAA"/>
    <w:rsid w:val="00E61DF2"/>
    <w:rsid w:val="00E70C0A"/>
    <w:rsid w:val="00E73D47"/>
    <w:rsid w:val="00E76E4E"/>
    <w:rsid w:val="00E82C63"/>
    <w:rsid w:val="00E91254"/>
    <w:rsid w:val="00EA3186"/>
    <w:rsid w:val="00EA7492"/>
    <w:rsid w:val="00EB1BEC"/>
    <w:rsid w:val="00EC2F6B"/>
    <w:rsid w:val="00EC4247"/>
    <w:rsid w:val="00EC47F6"/>
    <w:rsid w:val="00ED2F22"/>
    <w:rsid w:val="00ED7CF6"/>
    <w:rsid w:val="00EE62A0"/>
    <w:rsid w:val="00EE65B8"/>
    <w:rsid w:val="00EF06C7"/>
    <w:rsid w:val="00EF68A1"/>
    <w:rsid w:val="00F10008"/>
    <w:rsid w:val="00F149E2"/>
    <w:rsid w:val="00F159B6"/>
    <w:rsid w:val="00F2436A"/>
    <w:rsid w:val="00F40CD8"/>
    <w:rsid w:val="00F449F1"/>
    <w:rsid w:val="00F66032"/>
    <w:rsid w:val="00F7114A"/>
    <w:rsid w:val="00F728BF"/>
    <w:rsid w:val="00F72D63"/>
    <w:rsid w:val="00F87A16"/>
    <w:rsid w:val="00F87C1E"/>
    <w:rsid w:val="00F93AD4"/>
    <w:rsid w:val="00F958C2"/>
    <w:rsid w:val="00F97C0C"/>
    <w:rsid w:val="00FA3D33"/>
    <w:rsid w:val="00FA66A5"/>
    <w:rsid w:val="00FB5FCB"/>
    <w:rsid w:val="00FC6F96"/>
    <w:rsid w:val="00FD351A"/>
    <w:rsid w:val="00FE75D7"/>
    <w:rsid w:val="00FF6131"/>
    <w:rsid w:val="246D14F0"/>
    <w:rsid w:val="2F9C71EB"/>
    <w:rsid w:val="417C1E33"/>
    <w:rsid w:val="4D583754"/>
    <w:rsid w:val="6B3B6738"/>
    <w:rsid w:val="6FF75C53"/>
    <w:rsid w:val="76405288"/>
    <w:rsid w:val="7BFF3346"/>
    <w:rsid w:val="CFAFB3C0"/>
    <w:rsid w:val="E46D5EE3"/>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nhideWhenUsed="0" w:uiPriority="99" w:semiHidden="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39" w:semiHidden="0" w:name="toc 2"/>
    <w:lsdException w:unhideWhenUsed="0" w:uiPriority="0" w:semiHidden="0" w:name="toc 3" w:locked="1"/>
    <w:lsdException w:qFormat="1" w:uiPriority="39"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18"/>
    <w:qFormat/>
    <w:locked/>
    <w:uiPriority w:val="99"/>
    <w:pPr>
      <w:keepNext/>
      <w:keepLines/>
      <w:spacing w:before="340" w:after="330" w:line="578" w:lineRule="auto"/>
      <w:outlineLvl w:val="0"/>
    </w:pPr>
    <w:rPr>
      <w:b/>
      <w:kern w:val="44"/>
      <w:sz w:val="44"/>
      <w:szCs w:val="20"/>
    </w:rPr>
  </w:style>
  <w:style w:type="paragraph" w:styleId="3">
    <w:name w:val="heading 2"/>
    <w:basedOn w:val="1"/>
    <w:next w:val="1"/>
    <w:link w:val="19"/>
    <w:qFormat/>
    <w:locked/>
    <w:uiPriority w:val="99"/>
    <w:pPr>
      <w:keepNext/>
      <w:keepLines/>
      <w:spacing w:before="260" w:after="260" w:line="416" w:lineRule="auto"/>
      <w:outlineLvl w:val="1"/>
    </w:pPr>
    <w:rPr>
      <w:rFonts w:ascii="Cambria" w:hAnsi="Cambria"/>
      <w:b/>
      <w:sz w:val="32"/>
      <w:szCs w:val="20"/>
    </w:rPr>
  </w:style>
  <w:style w:type="character" w:default="1" w:styleId="12">
    <w:name w:val="Default Paragraph Font"/>
    <w:semiHidden/>
    <w:unhideWhenUsed/>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22"/>
    <w:semiHidden/>
    <w:qFormat/>
    <w:uiPriority w:val="99"/>
    <w:rPr>
      <w:kern w:val="0"/>
      <w:sz w:val="18"/>
      <w:szCs w:val="20"/>
    </w:rPr>
  </w:style>
  <w:style w:type="paragraph" w:styleId="5">
    <w:name w:val="footer"/>
    <w:basedOn w:val="1"/>
    <w:link w:val="21"/>
    <w:qFormat/>
    <w:uiPriority w:val="99"/>
    <w:pPr>
      <w:tabs>
        <w:tab w:val="center" w:pos="4153"/>
        <w:tab w:val="right" w:pos="8306"/>
      </w:tabs>
      <w:snapToGrid w:val="0"/>
      <w:jc w:val="left"/>
    </w:pPr>
    <w:rPr>
      <w:rFonts w:ascii="Times New Roman" w:hAnsi="Times New Roman"/>
      <w:kern w:val="0"/>
      <w:sz w:val="18"/>
      <w:szCs w:val="20"/>
    </w:rPr>
  </w:style>
  <w:style w:type="paragraph" w:styleId="6">
    <w:name w:val="header"/>
    <w:basedOn w:val="1"/>
    <w:link w:val="20"/>
    <w:qFormat/>
    <w:uiPriority w:val="99"/>
    <w:pPr>
      <w:pBdr>
        <w:bottom w:val="single" w:color="auto" w:sz="6" w:space="1"/>
      </w:pBdr>
      <w:tabs>
        <w:tab w:val="center" w:pos="4153"/>
        <w:tab w:val="right" w:pos="8306"/>
      </w:tabs>
      <w:snapToGrid w:val="0"/>
      <w:jc w:val="center"/>
    </w:pPr>
    <w:rPr>
      <w:rFonts w:ascii="Times New Roman" w:hAnsi="Times New Roman"/>
      <w:kern w:val="0"/>
      <w:sz w:val="18"/>
      <w:szCs w:val="20"/>
    </w:rPr>
  </w:style>
  <w:style w:type="paragraph" w:styleId="7">
    <w:name w:val="toc 1"/>
    <w:basedOn w:val="1"/>
    <w:next w:val="1"/>
    <w:qFormat/>
    <w:uiPriority w:val="99"/>
    <w:rPr>
      <w:rFonts w:ascii="Times New Roman" w:hAnsi="Times New Roman"/>
      <w:szCs w:val="24"/>
    </w:rPr>
  </w:style>
  <w:style w:type="paragraph" w:styleId="8">
    <w:name w:val="toc 4"/>
    <w:basedOn w:val="1"/>
    <w:next w:val="1"/>
    <w:unhideWhenUsed/>
    <w:qFormat/>
    <w:locked/>
    <w:uiPriority w:val="39"/>
    <w:pPr>
      <w:ind w:left="1260" w:leftChars="600"/>
    </w:pPr>
  </w:style>
  <w:style w:type="paragraph" w:styleId="9">
    <w:name w:val="footnote text"/>
    <w:basedOn w:val="1"/>
    <w:link w:val="24"/>
    <w:semiHidden/>
    <w:qFormat/>
    <w:uiPriority w:val="99"/>
    <w:pPr>
      <w:snapToGrid w:val="0"/>
      <w:jc w:val="left"/>
    </w:pPr>
    <w:rPr>
      <w:kern w:val="0"/>
      <w:sz w:val="18"/>
      <w:szCs w:val="20"/>
    </w:rPr>
  </w:style>
  <w:style w:type="paragraph" w:styleId="10">
    <w:name w:val="toc 2"/>
    <w:basedOn w:val="1"/>
    <w:next w:val="1"/>
    <w:qFormat/>
    <w:uiPriority w:val="39"/>
    <w:pPr>
      <w:ind w:left="420" w:leftChars="200"/>
    </w:pPr>
    <w:rPr>
      <w:rFonts w:ascii="Times New Roman" w:hAnsi="Times New Roman"/>
      <w:szCs w:val="24"/>
    </w:rPr>
  </w:style>
  <w:style w:type="character" w:styleId="13">
    <w:name w:val="page number"/>
    <w:semiHidden/>
    <w:qFormat/>
    <w:uiPriority w:val="99"/>
    <w:rPr>
      <w:rFonts w:cs="Times New Roman"/>
    </w:rPr>
  </w:style>
  <w:style w:type="character" w:styleId="14">
    <w:name w:val="Hyperlink"/>
    <w:qFormat/>
    <w:uiPriority w:val="99"/>
    <w:rPr>
      <w:rFonts w:cs="Times New Roman"/>
      <w:color w:val="0000FF"/>
      <w:u w:val="single"/>
    </w:rPr>
  </w:style>
  <w:style w:type="character" w:styleId="15">
    <w:name w:val="footnote reference"/>
    <w:semiHidden/>
    <w:qFormat/>
    <w:uiPriority w:val="99"/>
    <w:rPr>
      <w:rFonts w:cs="Times New Roman"/>
      <w:vertAlign w:val="superscript"/>
    </w:rPr>
  </w:style>
  <w:style w:type="character" w:customStyle="1" w:styleId="16">
    <w:name w:val="Heading 1 Char"/>
    <w:qFormat/>
    <w:locked/>
    <w:uiPriority w:val="99"/>
    <w:rPr>
      <w:rFonts w:cs="Times New Roman"/>
      <w:b/>
      <w:kern w:val="44"/>
      <w:sz w:val="44"/>
    </w:rPr>
  </w:style>
  <w:style w:type="character" w:customStyle="1" w:styleId="17">
    <w:name w:val="Heading 2 Char"/>
    <w:semiHidden/>
    <w:qFormat/>
    <w:locked/>
    <w:uiPriority w:val="99"/>
    <w:rPr>
      <w:rFonts w:ascii="Cambria" w:hAnsi="Cambria" w:eastAsia="宋体" w:cs="Times New Roman"/>
      <w:b/>
      <w:sz w:val="32"/>
    </w:rPr>
  </w:style>
  <w:style w:type="character" w:customStyle="1" w:styleId="18">
    <w:name w:val="标题 1 Char"/>
    <w:link w:val="2"/>
    <w:qFormat/>
    <w:locked/>
    <w:uiPriority w:val="99"/>
    <w:rPr>
      <w:rFonts w:ascii="Calibri" w:hAnsi="Calibri" w:eastAsia="宋体"/>
      <w:b/>
      <w:kern w:val="44"/>
      <w:sz w:val="44"/>
      <w:lang w:val="en-US" w:eastAsia="zh-CN"/>
    </w:rPr>
  </w:style>
  <w:style w:type="character" w:customStyle="1" w:styleId="19">
    <w:name w:val="标题 2 Char"/>
    <w:link w:val="3"/>
    <w:qFormat/>
    <w:locked/>
    <w:uiPriority w:val="99"/>
    <w:rPr>
      <w:rFonts w:ascii="Cambria" w:hAnsi="Cambria" w:eastAsia="宋体"/>
      <w:b/>
      <w:kern w:val="2"/>
      <w:sz w:val="32"/>
      <w:lang w:val="en-US" w:eastAsia="zh-CN"/>
    </w:rPr>
  </w:style>
  <w:style w:type="character" w:customStyle="1" w:styleId="20">
    <w:name w:val="页眉 Char"/>
    <w:link w:val="6"/>
    <w:qFormat/>
    <w:locked/>
    <w:uiPriority w:val="99"/>
    <w:rPr>
      <w:rFonts w:ascii="Times New Roman" w:hAnsi="Times New Roman" w:eastAsia="宋体" w:cs="Times New Roman"/>
      <w:sz w:val="18"/>
    </w:rPr>
  </w:style>
  <w:style w:type="character" w:customStyle="1" w:styleId="21">
    <w:name w:val="页脚 Char"/>
    <w:link w:val="5"/>
    <w:qFormat/>
    <w:locked/>
    <w:uiPriority w:val="99"/>
    <w:rPr>
      <w:rFonts w:ascii="Times New Roman" w:hAnsi="Times New Roman" w:eastAsia="宋体" w:cs="Times New Roman"/>
      <w:sz w:val="18"/>
    </w:rPr>
  </w:style>
  <w:style w:type="character" w:customStyle="1" w:styleId="22">
    <w:name w:val="批注框文本 Char"/>
    <w:link w:val="4"/>
    <w:semiHidden/>
    <w:qFormat/>
    <w:locked/>
    <w:uiPriority w:val="99"/>
    <w:rPr>
      <w:rFonts w:cs="Times New Roman"/>
      <w:sz w:val="18"/>
    </w:rPr>
  </w:style>
  <w:style w:type="paragraph" w:customStyle="1" w:styleId="23">
    <w:name w:val="Default"/>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4">
    <w:name w:val="脚注文本 Char"/>
    <w:link w:val="9"/>
    <w:semiHidden/>
    <w:qFormat/>
    <w:locked/>
    <w:uiPriority w:val="99"/>
    <w:rPr>
      <w:rFonts w:ascii="Calibri" w:hAnsi="Calibri" w:eastAsia="宋体" w:cs="Times New Roman"/>
      <w:sz w:val="18"/>
    </w:rPr>
  </w:style>
  <w:style w:type="character" w:customStyle="1" w:styleId="25">
    <w:name w:val="Char Char1"/>
    <w:qFormat/>
    <w:uiPriority w:val="99"/>
    <w:rPr>
      <w:kern w:val="2"/>
      <w:sz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46</Pages>
  <Words>3764</Words>
  <Characters>21456</Characters>
  <Lines>178</Lines>
  <Paragraphs>50</Paragraphs>
  <TotalTime>7</TotalTime>
  <ScaleCrop>false</ScaleCrop>
  <LinksUpToDate>false</LinksUpToDate>
  <CharactersWithSpaces>25170</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2021-02-19T19:58:00Z</dcterms:created>
  <dc:creator>guest</dc:creator>
  <cp:lastModifiedBy>work</cp:lastModifiedBy>
  <cp:lastPrinted>2021-02-24T02:01:00Z</cp:lastPrinted>
  <dcterms:modified xsi:type="dcterms:W3CDTF">2024-04-25T16:12:35Z</dcterms:modified>
  <dc:title>河北省委办公厅2021年部门预算信息公开情况说明</dc:title>
  <cp:revision>56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26B38E8690F5E10973102A665C9D2355</vt:lpwstr>
  </property>
</Properties>
</file>