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p>
    <w:p>
      <w:pPr>
        <w:widowControl/>
        <w:spacing w:line="480" w:lineRule="exact"/>
        <w:jc w:val="left"/>
        <w:rPr>
          <w:rFonts w:ascii="宋体" w:hAnsi="宋体" w:eastAsia="宋体" w:cs="宋体"/>
          <w:b/>
          <w:color w:val="000000"/>
          <w:kern w:val="0"/>
          <w:sz w:val="44"/>
          <w:szCs w:val="44"/>
          <w:shd w:val="clear" w:color="auto" w:fill="FFFFFF"/>
        </w:rPr>
      </w:pPr>
      <w:r>
        <w:rPr>
          <w:rFonts w:hint="eastAsia" w:ascii="仿宋" w:hAnsi="仿宋" w:eastAsia="仿宋" w:cs="仿宋"/>
          <w:kern w:val="0"/>
          <w:sz w:val="32"/>
          <w:szCs w:val="32"/>
          <w:shd w:val="clear" w:color="auto" w:fill="FFFFFF"/>
        </w:rPr>
        <w:t>附件7：</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2.资产账务管理是否合规，帐实相符；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w:t>
            </w:r>
            <w:bookmarkStart w:id="0" w:name="_GoBack"/>
            <w:bookmarkEnd w:id="0"/>
            <w:r>
              <w:rPr>
                <w:rFonts w:hint="eastAsia" w:ascii="仿宋_GB2312" w:hAnsi="仿宋_GB2312" w:eastAsia="仿宋_GB2312" w:cs="仿宋_GB2312"/>
                <w:color w:val="000000"/>
                <w:kern w:val="0"/>
                <w:szCs w:val="21"/>
              </w:rPr>
              <w:t>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p>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keepNext w:val="0"/>
        <w:keepLines w:val="0"/>
        <w:pageBreakBefore w:val="0"/>
        <w:kinsoku/>
        <w:wordWrap/>
        <w:overflowPunct/>
        <w:topLinePunct w:val="0"/>
        <w:autoSpaceDE/>
        <w:autoSpaceDN/>
        <w:bidi w:val="0"/>
        <w:spacing w:line="560" w:lineRule="exact"/>
        <w:ind w:firstLine="560" w:firstLineChars="200"/>
        <w:textAlignment w:val="auto"/>
        <w:rPr>
          <w:rFonts w:ascii="仿宋" w:hAnsi="仿宋" w:eastAsia="仿宋" w:cs="仿宋"/>
          <w:color w:val="000000"/>
          <w:sz w:val="28"/>
          <w:szCs w:val="28"/>
        </w:rPr>
      </w:pPr>
      <w:r>
        <w:rPr>
          <w:rFonts w:hint="eastAsia" w:ascii="仿宋" w:hAnsi="仿宋" w:eastAsia="仿宋" w:cs="仿宋"/>
          <w:color w:val="000000"/>
          <w:sz w:val="28"/>
          <w:szCs w:val="28"/>
        </w:rPr>
        <w:t>本次绩效评价，我们根据实际情况，暂定项目绩效总分100分，确定了评分扣减项目，部门预算项目综合得分</w:t>
      </w:r>
      <w:r>
        <w:rPr>
          <w:rFonts w:hint="eastAsia" w:ascii="仿宋" w:hAnsi="仿宋" w:eastAsia="仿宋" w:cs="仿宋"/>
          <w:color w:val="000000"/>
          <w:sz w:val="28"/>
          <w:szCs w:val="28"/>
          <w:lang w:val="en-US" w:eastAsia="zh-CN"/>
        </w:rPr>
        <w:t>97</w:t>
      </w:r>
      <w:r>
        <w:rPr>
          <w:rFonts w:hint="eastAsia" w:ascii="仿宋" w:hAnsi="仿宋" w:eastAsia="仿宋" w:cs="仿宋"/>
          <w:color w:val="000000"/>
          <w:sz w:val="28"/>
          <w:szCs w:val="28"/>
        </w:rPr>
        <w:t>分，评价结论为良。</w:t>
      </w:r>
    </w:p>
    <w:p>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隆尧县东方食品城项目建设服务中心</w:t>
      </w:r>
    </w:p>
    <w:p>
      <w:pPr>
        <w:keepNext w:val="0"/>
        <w:keepLines w:val="0"/>
        <w:pageBreakBefore w:val="0"/>
        <w:kinsoku/>
        <w:wordWrap/>
        <w:overflowPunct/>
        <w:topLinePunct w:val="0"/>
        <w:autoSpaceDE/>
        <w:autoSpaceDN/>
        <w:bidi w:val="0"/>
        <w:spacing w:line="560" w:lineRule="exact"/>
        <w:jc w:val="center"/>
        <w:textAlignment w:val="auto"/>
        <w:rPr>
          <w:rFonts w:ascii="仿宋" w:hAnsi="仿宋" w:eastAsia="仿宋" w:cs="仿宋"/>
          <w:b/>
          <w:bCs/>
          <w:sz w:val="32"/>
          <w:szCs w:val="32"/>
        </w:rPr>
      </w:pPr>
      <w:r>
        <w:rPr>
          <w:rFonts w:hint="eastAsia" w:ascii="仿宋" w:hAnsi="仿宋" w:eastAsia="仿宋" w:cs="仿宋"/>
          <w:b/>
          <w:bCs/>
          <w:sz w:val="32"/>
          <w:szCs w:val="32"/>
        </w:rPr>
        <w:t>2019年本部门整体支出绩效评价报告</w:t>
      </w:r>
    </w:p>
    <w:p>
      <w:pPr>
        <w:keepNext w:val="0"/>
        <w:keepLines w:val="0"/>
        <w:pageBreakBefore w:val="0"/>
        <w:numPr>
          <w:ilvl w:val="0"/>
          <w:numId w:val="1"/>
        </w:numPr>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基本概况。</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1．主要职能。</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隆尧县东方食品城项目建设服务中心、党工委主要职责是贯彻执行党的路线、方针、政策、加强对辖区内各项工作的领导，加强辖区内基层党组织建设，深化改革，全面发展区域经济，加强精神文明建设，推动社会进步，实现共同富裕。</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(一)隆尧县东方食品城项目建设服务中心主要职责</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1、根据县国民经济和社会发展规划，责任编制辖区内经济、社会发展战略和中长期规划，并组织实施。2、负责编制食品城总体规划，并依法进行下去内土地规划、开发和土地利用管理工作。3、依据国家法律和有关规定，制定，辖区相关配套管理办法。4、按照国家产业政策，负责辖区内投资项目前期谋划，做好项目立项备案和申报工作。5、负责辖区内基础设施和公用事业的规划建设和日常管理工作。6、负责指导辖区内入驻企业的生产和经营管理，指导企业产品结构调整、环境保护和安全生产工作。7、为入驻辖区内企业提供政策、技术咨询和信息服务，指导企业开展经济技术合作和招商引资工作。8、负责辖区内企业的统计工作，并按规定统一辖区内企业规费征收工作。9、承办县委、县政府交办的其他事项。</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（二）东方食品城党工委主要职责：</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1、贯彻党的路线、方针、政策和上级党组织的指示、决定，讨论东方食品城委员会重大问题。2、抓好自身和所属党组织思想和作风建设。3、领导辖区内经济建设，制定本辖区内经济和社会发展规划组织实施。4、领导辖区内社会主义精神文明和民主法制建设，加强辖区内社会治安综合治理。领导并支持东方食品城依法行使各项行政管理职权。5、领导辖区内青年、妇女等工作。6、领导有关部门派驻辖区内单位的党建工作。7、完成上级党组织交办的其他任务。</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2．机构情况，包括当年变动情况及原因。</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隆尧县东方食品城项目建设服务中心内设5个内设机构：1、综合办公室；2、经济发展局；3、财政局；4、招商局；5、规划建设局。</w:t>
      </w:r>
    </w:p>
    <w:p>
      <w:pPr>
        <w:keepNext w:val="0"/>
        <w:keepLines w:val="0"/>
        <w:pageBreakBefore w:val="0"/>
        <w:widowControl/>
        <w:numPr>
          <w:ilvl w:val="0"/>
          <w:numId w:val="2"/>
        </w:numPr>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人员情况，包括当年变动情况及原因。</w:t>
      </w:r>
    </w:p>
    <w:p>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560" w:lineRule="exact"/>
        <w:ind w:leftChars="200" w:right="0" w:rightChars="0"/>
        <w:jc w:val="both"/>
        <w:textAlignment w:val="auto"/>
        <w:rPr>
          <w:rFonts w:hint="default"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新调入一般科员4人。</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
        </w:rPr>
        <w:t>（二）当年取得的主要事业成效。</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2019年，在县委县政府的正确领导下，东方食品城始终围绕县委县政府确定的目标任务，坚持以县“11446”发展思路和“135”发展布局为统领，深入贯彻落实“一二三四”工作思路，解放思想、抢抓机遇、攻坚克难、开拓进取，着力加强招商引资、项目建设、城镇建设、机关建设，有力地推动了食品城科学发展、跨越发展、创新发展，较好地完成了所承担的各项工作。</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2019年，园区经济运行态势总体良好，主要经济指标稳中有升。1-11月，完成主营业务收入110.61亿元，固定资产投资20.12亿元，税收3.04亿元。预计2019年底，园区可完成税收3.2亿元，同比增长20%，完成主营业务收入132亿元，同比增长15%，固定资产投资完成24亿元，与去年基本持平（全县2018年基数调低）。</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（一）招商引资成果丰硕</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东方食品城始终坚持“一业主导、多元发展”，全力开展招商引资工作。一方面走出去，突出“招大引强、强中选优”目标，通过领导带队招商、小组团招商、登门招商、专题对接会、推介会等形式，累计外出招商40余次, 参加全国性大型展会5次，尤其注重对旺旺集团、福建盼盼集团等全国性知名企业、龙头企业的对接力度，成功签约了县成发公司产业扶贫孵化园项目、河北恒创公司水饺项目、河北华遥公司方便粉丝项目、澳派客公司方便面项目、河北佰庆公司便粉丝项目、河北恭喜食品公司面皮项目、河北汉城食品公司方便粉丝项目、河北面香公司面皮项目等8个项目签约，总投资共4.99亿元。一方面请进来，邀请中国食品工业协会、秦皇岛海洋、河北宝峰、衡水东宝、北京锦尚高德投资公司等知名食品及配套企业到食品城考察，累计接待客商50余次。截至目前，东方食品城招商引资工作正在洽谈已达成初步合作意向的项目7个,仍需跟踪的项目8个。</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（二）项目建设成绩喜人</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1、坚持动态管理，助推园区发展。今年以来，我们坚持以项目建设为龙头，以服务企业为中心，积极创新服务理念，经过认真谋划，安排重点项目27个（投资超亿元项目13个），总投资40.09亿元，年度计划投资27.23亿元，截止11月底，完成投资22.75亿元，预计全年完成投资超25亿元，其中今麦郎饮品升级、红帽子瓶盖扩能、佰庆方便粉丝、华遥方便粉丝、恒创速冻水饺、碧霄薯类食品15个项目投产或试生产。在重点项目管理上，一方面创新推行了项目工地一线工作法，对亿元以上重大项目明确任务目标、责任人员、时间节点，全力为今麦郎未来面、高精料和膳工坊、荣和酵母、锦佳调味品、恒创公司速冻水饺、华遥公司方便粉丝和红帽子瓶盖扩能等项目跑办前期手续。一方面积极为企业协调外部发展环境。多次深入项目单位实地调研，详细了解项目建设进度及存在的问题，牢固树立了“抓项目就是抓发展、抓大项目好项目就是抓科学发展”的理念，坚持精力向项目倾斜，服务向项目聚集。协调恒创、汉诚等公司接入蒸汽，协助佰庆、加西亚、洋阳等19家申报科技型中小企业；全力培育高新技术企业，协助华丽、博志公司申报高新技术企业（目前正在公示）。 2020年，东方食品城将新增2家规上企业：平兴食品和沃食村食品公司。</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Calibri" w:eastAsia="仿宋_GB2312" w:cs="仿宋_GB2312"/>
          <w:kern w:val="2"/>
          <w:sz w:val="32"/>
          <w:szCs w:val="32"/>
          <w:lang w:val="en-US" w:eastAsia="zh-CN" w:bidi="ar"/>
        </w:rPr>
      </w:pPr>
      <w:r>
        <w:rPr>
          <w:rFonts w:hint="eastAsia" w:ascii="仿宋_GB2312" w:hAnsi="Calibri" w:eastAsia="仿宋_GB2312" w:cs="仿宋_GB2312"/>
          <w:kern w:val="2"/>
          <w:sz w:val="32"/>
          <w:szCs w:val="32"/>
          <w:lang w:val="en-US" w:eastAsia="zh-CN" w:bidi="ar"/>
        </w:rPr>
        <w:t>2、狠抓土地要素、破解项目落地难题。签约项目抓落地、落地项目抓建设、建设项目抓投产。土地为项目落地的第一要素，在当前国土形势趋紧的情况下，我们狠抓土地组卷、出让工作，全力夯实项目落地基础。今年先后完成龙大二期45亩土地执法处罚和卷宗组卷报批工作，目前已报到省人民政府等待审批；新得力36.2亩组卷工作正在进行，目前已完成前期数据测绘。同时还协助今麦郎未来面、今麦郎饮品、锦佳调味品、荣和酵母、远东二期、尧鑫调味品、尧俊等7个项目摘牌及办理土地证。同时，大力推进批而未供土地工作，平兴、联农、保德利等15块批而未供土地已完成地形测绘并已出具规划条件，其中8个项目已公示，其余将近期陆续进入招拍挂公示。</w:t>
      </w:r>
    </w:p>
    <w:p>
      <w:pPr>
        <w:pStyle w:val="17"/>
        <w:keepNext w:val="0"/>
        <w:keepLines w:val="0"/>
        <w:pageBreakBefore w:val="0"/>
        <w:kinsoku/>
        <w:wordWrap/>
        <w:overflowPunct/>
        <w:topLinePunct w:val="0"/>
        <w:autoSpaceDE/>
        <w:autoSpaceDN/>
        <w:bidi w:val="0"/>
        <w:spacing w:line="560" w:lineRule="exact"/>
        <w:ind w:left="0" w:leftChars="0" w:firstLine="560" w:firstLineChars="175"/>
        <w:jc w:val="both"/>
        <w:textAlignment w:val="auto"/>
        <w:rPr>
          <w:rFonts w:hint="eastAsia" w:ascii="仿宋_GB2312" w:hAnsi="Calibri" w:eastAsia="仿宋_GB2312" w:cs="仿宋_GB2312"/>
          <w:kern w:val="2"/>
          <w:sz w:val="24"/>
          <w:szCs w:val="24"/>
          <w:lang w:val="en-US" w:eastAsia="zh-CN" w:bidi="ar"/>
        </w:rPr>
      </w:pPr>
      <w:r>
        <w:rPr>
          <w:rFonts w:hint="eastAsia" w:ascii="仿宋_GB2312" w:hAnsi="Calibri" w:eastAsia="仿宋_GB2312" w:cs="仿宋_GB2312"/>
          <w:kern w:val="2"/>
          <w:sz w:val="32"/>
          <w:szCs w:val="32"/>
          <w:lang w:val="en-US" w:eastAsia="zh-CN" w:bidi="ar"/>
        </w:rPr>
        <w:t>3、强推规建手续、促进项目良性发展。规建手续是否齐全，决定着项目是否能够合法合规建设以及资产的良性问题，为此，对重点项目，我们全程帮办、多方协调，完善规建手续。目前，今麦郎膳工坊、今麦郎高精料，建设工程规划许可、建筑工程施工许可均已齐全，正在全力建设；龙大纸容器项目已完成不动产登记，补办完成建设用地规划许可；红帽子瓶盖不动产登记正在进行；今麦郎未来面、锦佳调味品、尧鑫调味品，正在办理建设用地规划工程许可。荣和调味品通过“县承诺制改革”办法已经顺利进场施工，目前正在质量监督阶段。</w:t>
      </w:r>
    </w:p>
    <w:p>
      <w:pPr>
        <w:keepNext w:val="0"/>
        <w:keepLines w:val="0"/>
        <w:pageBreakBefore w:val="0"/>
        <w:numPr>
          <w:ilvl w:val="0"/>
          <w:numId w:val="0"/>
        </w:numPr>
        <w:kinsoku/>
        <w:wordWrap/>
        <w:overflowPunct/>
        <w:topLinePunct w:val="0"/>
        <w:autoSpaceDE/>
        <w:autoSpaceDN/>
        <w:bidi w:val="0"/>
        <w:spacing w:line="560" w:lineRule="exact"/>
        <w:ind w:left="0" w:leftChars="0" w:firstLine="419" w:firstLineChars="131"/>
        <w:textAlignment w:val="auto"/>
        <w:rPr>
          <w:rFonts w:hint="eastAsia" w:ascii="仿宋" w:hAnsi="仿宋" w:eastAsia="仿宋" w:cs="仿宋"/>
          <w:sz w:val="32"/>
          <w:szCs w:val="32"/>
        </w:rPr>
      </w:pPr>
      <w:r>
        <w:rPr>
          <w:rFonts w:hint="eastAsia" w:ascii="仿宋" w:hAnsi="仿宋" w:eastAsia="仿宋" w:cs="仿宋"/>
          <w:sz w:val="32"/>
          <w:szCs w:val="32"/>
          <w:lang w:eastAsia="zh-CN"/>
        </w:rPr>
        <w:t>（二）</w:t>
      </w:r>
      <w:r>
        <w:rPr>
          <w:rFonts w:hint="eastAsia" w:ascii="仿宋" w:hAnsi="仿宋" w:eastAsia="仿宋" w:cs="仿宋"/>
          <w:sz w:val="32"/>
          <w:szCs w:val="32"/>
        </w:rPr>
        <w:t>预算绩效管理开展及整体绩效实现情况。</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1、收入支出预算安排情况。</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2019年财政拨款收入数为3876.83万元,，2018年财政拨款收入数为4404.37万元；2019年支出数为3844.62万元，2018年支出数为4343.33万元。2018年相比2017年大幅度增加，增加原因主要是2019年支付基础设施建设工程款较多。</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（二）收入支出预算执行情况。</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kern w:val="2"/>
          <w:sz w:val="32"/>
          <w:szCs w:val="32"/>
          <w:lang w:val="en-US" w:eastAsia="zh-CN" w:bidi="ar"/>
        </w:rPr>
        <w:t>2019年财政拨款收入数为3876.83万元,，2018年财政拨款收入数为4404.37万元；2019年支出数为3844.62万元，2018年支出数为4343.33万元。</w:t>
      </w:r>
    </w:p>
    <w:p>
      <w:pPr>
        <w:keepNext w:val="0"/>
        <w:keepLines w:val="0"/>
        <w:pageBreakBefore w:val="0"/>
        <w:kinsoku/>
        <w:wordWrap/>
        <w:overflowPunct/>
        <w:topLinePunct w:val="0"/>
        <w:autoSpaceDE/>
        <w:autoSpaceDN/>
        <w:bidi w:val="0"/>
        <w:spacing w:line="560" w:lineRule="exact"/>
        <w:ind w:left="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我单位圆满完成了各项工作任务。</w:t>
      </w:r>
    </w:p>
    <w:p>
      <w:pPr>
        <w:keepNext w:val="0"/>
        <w:keepLines w:val="0"/>
        <w:pageBreakBefore w:val="0"/>
        <w:numPr>
          <w:ilvl w:val="0"/>
          <w:numId w:val="1"/>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绩效评价的组织实施情况。</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隆尧县</w:t>
      </w:r>
      <w:r>
        <w:rPr>
          <w:rFonts w:hint="eastAsia" w:ascii="仿宋_GB2312" w:hAnsi="仿宋_GB2312" w:eastAsia="仿宋_GB2312" w:cs="仿宋_GB2312"/>
          <w:color w:val="000000"/>
          <w:sz w:val="32"/>
          <w:szCs w:val="32"/>
          <w:lang w:eastAsia="zh-CN"/>
        </w:rPr>
        <w:t>东方食品城项目建设服务中心</w:t>
      </w:r>
      <w:r>
        <w:rPr>
          <w:rFonts w:hint="eastAsia" w:ascii="仿宋_GB2312" w:hAnsi="仿宋_GB2312" w:eastAsia="仿宋_GB2312" w:cs="仿宋_GB2312"/>
          <w:color w:val="000000"/>
          <w:sz w:val="32"/>
          <w:szCs w:val="32"/>
        </w:rPr>
        <w:t>根据项目情况设置2个绩效目标评价标准：实际完成工程工程量占比(%)（评价标准： 100%以上为“优”、90%-99%为“良”、80%-89%为“中”、80%以下为“差”）与工程质量达标率（%）（评价标准：100%以上为“优”、90%-99%为“良”、80%-89%为“中”、80%以下为“差”）。设定2个效果指标：群众安全是否得到保障(%)（评价标准：9：100%以上为“优”、90%-99%以上为“良”、80%-89%以上为“中”、80%以下为“差”）与群众对该工程整体满意程度（%）（评价标准：9：100%以上为“优”、90%-99%以上为“良”、80%-89%以上为“中”、80%以下为“差”）。绩效目标指向不明确、细化不充分，项目执行过程有效约束不够，绩效指标体系设计有待完善。</w:t>
      </w:r>
    </w:p>
    <w:p>
      <w:pPr>
        <w:keepNext w:val="0"/>
        <w:keepLines w:val="0"/>
        <w:pageBreakBefore w:val="0"/>
        <w:numPr>
          <w:ilvl w:val="0"/>
          <w:numId w:val="0"/>
        </w:numPr>
        <w:kinsoku/>
        <w:wordWrap/>
        <w:overflowPunct/>
        <w:topLinePunct w:val="0"/>
        <w:autoSpaceDE/>
        <w:autoSpaceDN/>
        <w:bidi w:val="0"/>
        <w:spacing w:line="560" w:lineRule="exact"/>
        <w:ind w:left="420" w:leftChars="200" w:firstLine="217" w:firstLineChars="68"/>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各项绩效目标的实现程度及差异性原因分析。</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隆尧县</w:t>
      </w:r>
      <w:r>
        <w:rPr>
          <w:rFonts w:hint="eastAsia" w:ascii="仿宋_GB2312" w:hAnsi="仿宋_GB2312" w:eastAsia="仿宋_GB2312" w:cs="仿宋_GB2312"/>
          <w:color w:val="000000"/>
          <w:sz w:val="32"/>
          <w:szCs w:val="32"/>
          <w:lang w:eastAsia="zh-CN"/>
        </w:rPr>
        <w:t>东方食品城项目建设服务中心</w:t>
      </w:r>
      <w:r>
        <w:rPr>
          <w:rFonts w:hint="eastAsia" w:ascii="仿宋_GB2312" w:hAnsi="仿宋_GB2312" w:eastAsia="仿宋_GB2312" w:cs="仿宋_GB2312"/>
          <w:color w:val="000000"/>
          <w:sz w:val="32"/>
          <w:szCs w:val="32"/>
        </w:rPr>
        <w:t>规划工作绩效总体目标和阶段性绩效目标基本完成。但仍然存在绩效目标指向不明确、细化不充分，项目执行过程有效约束不够，绩效指标体系设计有待完善。</w:t>
      </w:r>
    </w:p>
    <w:p>
      <w:pPr>
        <w:ind w:left="640"/>
        <w:rPr>
          <w:rFonts w:ascii="仿宋" w:hAnsi="仿宋" w:eastAsia="仿宋"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EDEA68"/>
    <w:multiLevelType w:val="singleLevel"/>
    <w:tmpl w:val="41EDEA68"/>
    <w:lvl w:ilvl="0" w:tentative="0">
      <w:start w:val="1"/>
      <w:numFmt w:val="chineseCounting"/>
      <w:suff w:val="nothing"/>
      <w:lvlText w:val="（%1）"/>
      <w:lvlJc w:val="left"/>
      <w:rPr>
        <w:rFonts w:hint="eastAsia"/>
      </w:rPr>
    </w:lvl>
  </w:abstractNum>
  <w:abstractNum w:abstractNumId="1">
    <w:nsid w:val="5878B21A"/>
    <w:multiLevelType w:val="singleLevel"/>
    <w:tmpl w:val="5878B21A"/>
    <w:lvl w:ilvl="0" w:tentative="0">
      <w:start w:val="3"/>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jZjRjNmMxMjE1MDg4OTJhZmE0OTM3NDdkNjVhODE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0DF6"/>
    <w:rsid w:val="00233995"/>
    <w:rsid w:val="00235F0F"/>
    <w:rsid w:val="00255783"/>
    <w:rsid w:val="00290BA1"/>
    <w:rsid w:val="002A6AEA"/>
    <w:rsid w:val="002F2268"/>
    <w:rsid w:val="003C50C2"/>
    <w:rsid w:val="003F5A8D"/>
    <w:rsid w:val="0041099F"/>
    <w:rsid w:val="00436A1D"/>
    <w:rsid w:val="004379D7"/>
    <w:rsid w:val="004A68B1"/>
    <w:rsid w:val="004B64F3"/>
    <w:rsid w:val="004E3B64"/>
    <w:rsid w:val="005020C5"/>
    <w:rsid w:val="00567FE6"/>
    <w:rsid w:val="0058162A"/>
    <w:rsid w:val="005B3616"/>
    <w:rsid w:val="005E12FA"/>
    <w:rsid w:val="005F3541"/>
    <w:rsid w:val="006513B9"/>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8730A"/>
    <w:rsid w:val="009B0B5F"/>
    <w:rsid w:val="009C04DA"/>
    <w:rsid w:val="009C4C62"/>
    <w:rsid w:val="009E3627"/>
    <w:rsid w:val="009F53E7"/>
    <w:rsid w:val="00A11BF8"/>
    <w:rsid w:val="00A14A33"/>
    <w:rsid w:val="00A6449D"/>
    <w:rsid w:val="00A768DB"/>
    <w:rsid w:val="00AA09C8"/>
    <w:rsid w:val="00AD5F30"/>
    <w:rsid w:val="00AD66D4"/>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364D7"/>
    <w:rsid w:val="00EB16A8"/>
    <w:rsid w:val="00EC7904"/>
    <w:rsid w:val="00F72E93"/>
    <w:rsid w:val="00F81E90"/>
    <w:rsid w:val="00F87A11"/>
    <w:rsid w:val="00FB7E01"/>
    <w:rsid w:val="00FE5F4C"/>
    <w:rsid w:val="00FF39F6"/>
    <w:rsid w:val="05374814"/>
    <w:rsid w:val="08623356"/>
    <w:rsid w:val="0F8F6BFC"/>
    <w:rsid w:val="3791647A"/>
    <w:rsid w:val="404B26C6"/>
    <w:rsid w:val="455969D8"/>
    <w:rsid w:val="526A3656"/>
    <w:rsid w:val="5D643D56"/>
    <w:rsid w:val="69BD0A47"/>
    <w:rsid w:val="71A911C9"/>
    <w:rsid w:val="77A86A4F"/>
    <w:rsid w:val="7CCC213E"/>
    <w:rsid w:val="7E5E5D1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9</Pages>
  <Words>1040</Words>
  <Characters>5929</Characters>
  <Lines>49</Lines>
  <Paragraphs>13</Paragraphs>
  <TotalTime>5</TotalTime>
  <ScaleCrop>false</ScaleCrop>
  <LinksUpToDate>false</LinksUpToDate>
  <CharactersWithSpaces>6956</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童话故事书</cp:lastModifiedBy>
  <cp:lastPrinted>2018-11-29T03:23:00Z</cp:lastPrinted>
  <dcterms:modified xsi:type="dcterms:W3CDTF">2024-04-03T07:29:43Z</dcterms:modified>
  <cp:revision>73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34C279BED4694F01BD7E009BF4FF9FFE_12</vt:lpwstr>
  </property>
</Properties>
</file>