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pacing w:line="400" w:lineRule="exact"/>
        <w:jc w:val="left"/>
        <w:rPr>
          <w:rFonts w:ascii="仿宋" w:hAnsi="仿宋" w:eastAsia="仿宋" w:cs="仿宋"/>
          <w:kern w:val="0"/>
          <w:sz w:val="32"/>
          <w:szCs w:val="32"/>
          <w:shd w:val="clear" w:color="auto" w:fill="FFFFFF"/>
          <w:lang w:bidi="ar"/>
        </w:rPr>
      </w:pPr>
    </w:p>
    <w:p>
      <w:pPr>
        <w:widowControl/>
        <w:spacing w:line="480" w:lineRule="exact"/>
        <w:jc w:val="left"/>
        <w:rPr>
          <w:rFonts w:ascii="宋体" w:hAnsi="宋体" w:eastAsia="宋体" w:cs="宋体"/>
          <w:b/>
          <w:color w:val="000000"/>
          <w:kern w:val="0"/>
          <w:sz w:val="44"/>
          <w:szCs w:val="44"/>
          <w:shd w:val="clear" w:color="auto" w:fill="FFFFFF"/>
          <w:lang w:bidi="ar"/>
        </w:rPr>
      </w:pPr>
      <w:r>
        <w:rPr>
          <w:rFonts w:hint="eastAsia" w:ascii="仿宋" w:hAnsi="仿宋" w:eastAsia="仿宋" w:cs="仿宋"/>
          <w:kern w:val="0"/>
          <w:sz w:val="32"/>
          <w:szCs w:val="32"/>
          <w:shd w:val="clear" w:color="auto" w:fill="FFFFFF"/>
          <w:lang w:bidi="ar"/>
        </w:rPr>
        <w:t>附件7：</w:t>
      </w:r>
    </w:p>
    <w:p>
      <w:pPr>
        <w:spacing w:line="480" w:lineRule="exact"/>
        <w:jc w:val="center"/>
        <w:rPr>
          <w:rFonts w:ascii="仿宋" w:hAnsi="仿宋" w:eastAsia="仿宋" w:cs="仿宋"/>
          <w:sz w:val="32"/>
          <w:szCs w:val="32"/>
        </w:rPr>
      </w:pPr>
      <w:r>
        <w:rPr>
          <w:rFonts w:hint="eastAsia" w:ascii="宋体" w:hAnsi="宋体"/>
          <w:b/>
          <w:sz w:val="44"/>
          <w:szCs w:val="44"/>
          <w:lang w:eastAsia="zh-CN"/>
        </w:rPr>
        <w:t>交通运输局</w:t>
      </w:r>
      <w:r>
        <w:rPr>
          <w:rFonts w:hint="eastAsia" w:ascii="宋体" w:hAnsi="宋体"/>
          <w:b/>
          <w:sz w:val="44"/>
          <w:szCs w:val="44"/>
        </w:rPr>
        <w:t>部门整体支出绩效评价</w:t>
      </w:r>
      <w:r>
        <w:rPr>
          <w:rFonts w:hint="eastAsia" w:ascii="宋体" w:hAnsi="宋体" w:eastAsia="宋体" w:cs="宋体"/>
          <w:b/>
          <w:color w:val="000000"/>
          <w:kern w:val="0"/>
          <w:sz w:val="44"/>
          <w:szCs w:val="44"/>
          <w:shd w:val="clear" w:color="auto" w:fill="FFFFFF"/>
          <w:lang w:bidi="ar"/>
        </w:rPr>
        <w:t>指标体系评分表</w:t>
      </w:r>
    </w:p>
    <w:tbl>
      <w:tblPr>
        <w:tblStyle w:val="8"/>
        <w:tblW w:w="937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779"/>
        <w:gridCol w:w="743"/>
        <w:gridCol w:w="1275"/>
        <w:gridCol w:w="3436"/>
        <w:gridCol w:w="2373"/>
        <w:gridCol w:w="76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9"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b/>
              </w:rPr>
            </w:pPr>
            <w:r>
              <w:rPr>
                <w:rFonts w:ascii="仿宋_GB2312" w:hAnsi="新宋体" w:eastAsia="仿宋_GB2312" w:cs="仿宋_GB2312"/>
                <w:b/>
                <w:kern w:val="0"/>
                <w:sz w:val="24"/>
                <w:szCs w:val="24"/>
                <w:lang w:bidi="ar"/>
              </w:rPr>
              <w:t>一级指标</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b/>
              </w:rPr>
            </w:pPr>
            <w:r>
              <w:rPr>
                <w:rFonts w:ascii="仿宋_GB2312" w:hAnsi="新宋体" w:eastAsia="仿宋_GB2312" w:cs="仿宋_GB2312"/>
                <w:b/>
                <w:kern w:val="0"/>
                <w:sz w:val="24"/>
                <w:szCs w:val="24"/>
                <w:lang w:bidi="ar"/>
              </w:rPr>
              <w:t>二级指标</w:t>
            </w:r>
          </w:p>
        </w:tc>
        <w:tc>
          <w:tcPr>
            <w:tcW w:w="4711" w:type="dxa"/>
            <w:gridSpan w:val="2"/>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center"/>
              <w:rPr>
                <w:b/>
              </w:rPr>
            </w:pPr>
            <w:r>
              <w:rPr>
                <w:rFonts w:ascii="仿宋_GB2312" w:hAnsi="新宋体" w:eastAsia="仿宋_GB2312" w:cs="仿宋_GB2312"/>
                <w:b/>
                <w:kern w:val="0"/>
                <w:sz w:val="24"/>
                <w:szCs w:val="24"/>
                <w:lang w:bidi="ar"/>
              </w:rPr>
              <w:t>三级指标</w:t>
            </w:r>
          </w:p>
        </w:tc>
        <w:tc>
          <w:tcPr>
            <w:tcW w:w="2373" w:type="dxa"/>
            <w:vMerge w:val="restart"/>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center"/>
              <w:rPr>
                <w:b/>
              </w:rPr>
            </w:pPr>
            <w:r>
              <w:rPr>
                <w:rFonts w:ascii="仿宋_GB2312" w:hAnsi="新宋体" w:eastAsia="仿宋_GB2312" w:cs="仿宋_GB2312"/>
                <w:b/>
                <w:kern w:val="0"/>
                <w:sz w:val="24"/>
                <w:szCs w:val="24"/>
                <w:lang w:bidi="ar"/>
              </w:rPr>
              <w:t>评分标准</w:t>
            </w:r>
          </w:p>
        </w:tc>
        <w:tc>
          <w:tcPr>
            <w:tcW w:w="764" w:type="dxa"/>
            <w:vMerge w:val="restart"/>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b/>
              </w:rPr>
            </w:pPr>
            <w:r>
              <w:rPr>
                <w:rFonts w:ascii="仿宋_GB2312" w:hAnsi="新宋体" w:eastAsia="仿宋_GB2312" w:cs="仿宋_GB2312"/>
                <w:b/>
                <w:kern w:val="0"/>
                <w:sz w:val="24"/>
                <w:szCs w:val="24"/>
                <w:lang w:bidi="ar"/>
              </w:rPr>
              <w:t>得分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3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rPr>
                <w:rFonts w:ascii="宋体"/>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rPr>
                <w:rFonts w:ascii="宋体"/>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center"/>
              <w:rPr>
                <w:b/>
              </w:rPr>
            </w:pPr>
            <w:r>
              <w:rPr>
                <w:rFonts w:ascii="仿宋_GB2312" w:hAnsi="新宋体" w:eastAsia="仿宋_GB2312" w:cs="仿宋_GB2312"/>
                <w:b/>
                <w:kern w:val="0"/>
                <w:sz w:val="24"/>
                <w:szCs w:val="24"/>
                <w:lang w:bidi="ar"/>
              </w:rPr>
              <w:t>指标名称</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center"/>
              <w:rPr>
                <w:b/>
              </w:rPr>
            </w:pPr>
            <w:r>
              <w:rPr>
                <w:rFonts w:ascii="仿宋_GB2312" w:hAnsi="新宋体" w:eastAsia="仿宋_GB2312" w:cs="仿宋_GB2312"/>
                <w:b/>
                <w:kern w:val="0"/>
                <w:sz w:val="24"/>
                <w:szCs w:val="24"/>
                <w:lang w:bidi="ar"/>
              </w:rPr>
              <w:t>指标解释说明</w:t>
            </w:r>
          </w:p>
        </w:tc>
        <w:tc>
          <w:tcPr>
            <w:tcW w:w="2373" w:type="dxa"/>
            <w:vMerge w:val="continue"/>
            <w:tcBorders>
              <w:top w:val="single" w:color="000000" w:sz="4" w:space="0"/>
              <w:left w:val="single" w:color="auto" w:sz="4" w:space="0"/>
              <w:bottom w:val="single" w:color="000000" w:sz="4" w:space="0"/>
              <w:right w:val="single" w:color="auto" w:sz="4" w:space="0"/>
            </w:tcBorders>
            <w:vAlign w:val="center"/>
          </w:tcPr>
          <w:p>
            <w:pPr>
              <w:rPr>
                <w:rFonts w:ascii="宋体"/>
                <w:szCs w:val="21"/>
              </w:rPr>
            </w:pPr>
          </w:p>
        </w:tc>
        <w:tc>
          <w:tcPr>
            <w:tcW w:w="764" w:type="dxa"/>
            <w:vMerge w:val="continue"/>
            <w:tcBorders>
              <w:top w:val="single" w:color="000000" w:sz="4" w:space="0"/>
              <w:left w:val="single" w:color="auto" w:sz="4" w:space="0"/>
              <w:bottom w:val="single" w:color="000000" w:sz="4" w:space="0"/>
              <w:right w:val="single" w:color="auto" w:sz="4" w:space="0"/>
            </w:tcBorders>
            <w:vAlign w:val="center"/>
          </w:tcPr>
          <w:p>
            <w:pPr>
              <w:rPr>
                <w:rFonts w:asci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投入（10）</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绩效目标设定情况</w:t>
            </w:r>
          </w:p>
          <w:p>
            <w:pPr>
              <w:widowControl/>
              <w:spacing w:line="240" w:lineRule="exact"/>
              <w:jc w:val="left"/>
              <w:rPr>
                <w:rFonts w:hint="eastAsia" w:ascii="仿宋_GB2312" w:hAnsi="仿宋_GB2312" w:eastAsia="仿宋_GB2312" w:cs="仿宋_GB2312"/>
                <w:color w:val="FF0000"/>
                <w:szCs w:val="21"/>
              </w:rPr>
            </w:pPr>
            <w:r>
              <w:rPr>
                <w:rFonts w:hint="eastAsia" w:ascii="仿宋_GB2312" w:hAnsi="仿宋_GB2312" w:eastAsia="仿宋_GB2312" w:cs="仿宋_GB2312"/>
                <w:kern w:val="0"/>
                <w:szCs w:val="21"/>
                <w:lang w:bidi="ar"/>
              </w:rPr>
              <w:t>（5分）</w:t>
            </w:r>
          </w:p>
        </w:tc>
        <w:tc>
          <w:tcPr>
            <w:tcW w:w="1275" w:type="dxa"/>
            <w:tcBorders>
              <w:top w:val="single" w:color="000000" w:sz="4" w:space="0"/>
              <w:left w:val="single" w:color="000000" w:sz="4" w:space="0"/>
              <w:bottom w:val="single" w:color="auto"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职责明确 （1分）</w:t>
            </w:r>
          </w:p>
        </w:tc>
        <w:tc>
          <w:tcPr>
            <w:tcW w:w="3436"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部门的职责设定是否符合“三定”方案中所赋予的职责，用以反映和评价部门工作的目的性与计划性。</w:t>
            </w:r>
          </w:p>
        </w:tc>
        <w:tc>
          <w:tcPr>
            <w:tcW w:w="2373"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符合（1）；</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不符合（0）。</w:t>
            </w:r>
          </w:p>
        </w:tc>
        <w:tc>
          <w:tcPr>
            <w:tcW w:w="764"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3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auto"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活动合规性（2分）</w:t>
            </w:r>
          </w:p>
        </w:tc>
        <w:tc>
          <w:tcPr>
            <w:tcW w:w="3436"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部门的活动是否在职责范围之内并符合部门中长期规划，用以反映和评价部门活动目标与部门履职、年度工作任务的相符性情况。</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评价要点：</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1.部门活动的设定在部门所确定的职责范围之内；</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2.部门活动符合市委、市政府的发展规划及本部门的年度工作安排与发展规划。</w:t>
            </w:r>
          </w:p>
        </w:tc>
        <w:tc>
          <w:tcPr>
            <w:tcW w:w="2373"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全部符合（2）；</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其中一项不符合（0）。</w:t>
            </w:r>
          </w:p>
        </w:tc>
        <w:tc>
          <w:tcPr>
            <w:tcW w:w="764"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auto"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活动合理性（2分）</w:t>
            </w:r>
          </w:p>
        </w:tc>
        <w:tc>
          <w:tcPr>
            <w:tcW w:w="3436"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部门所设立的活动是否明确合理、活动的关键性指标设置是否可衡量，用以反映和评价部门活动目标设定的合理性。</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评价要点：</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1.活动目标的设定是可量化的，可通过清晰、可衡量的关键指标值予以体现；</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2.在活动目标设定时，将关键指标明细分解为具体的达成目标与工作任务。</w:t>
            </w:r>
          </w:p>
        </w:tc>
        <w:tc>
          <w:tcPr>
            <w:tcW w:w="2373"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全部符合（2）；</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其中一项不符合（0）。</w:t>
            </w:r>
          </w:p>
        </w:tc>
        <w:tc>
          <w:tcPr>
            <w:tcW w:w="764"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743" w:type="dxa"/>
            <w:vMerge w:val="restart"/>
            <w:tcBorders>
              <w:top w:val="single" w:color="000000" w:sz="4" w:space="0"/>
              <w:left w:val="single" w:color="000000" w:sz="4" w:space="0"/>
              <w:right w:val="single" w:color="000000"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预算配置情况(5分)</w:t>
            </w:r>
          </w:p>
        </w:tc>
        <w:tc>
          <w:tcPr>
            <w:tcW w:w="1275" w:type="dxa"/>
            <w:tcBorders>
              <w:top w:val="single" w:color="auto" w:sz="4" w:space="0"/>
              <w:left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在职人员控制率（1分）</w:t>
            </w:r>
          </w:p>
        </w:tc>
        <w:tc>
          <w:tcPr>
            <w:tcW w:w="3436" w:type="dxa"/>
            <w:tcBorders>
              <w:top w:val="single" w:color="auto"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部门本年度实际在职人员数与编制数的比率，用以反映和评价部门对人员成本的控制程度。</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在职人员控制率=（在职人员数/编制数）×100%。</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在职人员数：部门实际在职人数，以财政部确定的部门决算编制口径为准，由编制部门和人劳部门批复同意的临聘人员除外。</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编制数：机构编制部门核定批复的部门人员编制数。</w:t>
            </w:r>
          </w:p>
        </w:tc>
        <w:tc>
          <w:tcPr>
            <w:tcW w:w="2373" w:type="dxa"/>
            <w:tcBorders>
              <w:top w:val="single" w:color="auto"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1.在职人员控制率小于或等于100%的，得满分；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2.在职人员控制率大于或等于115%的，得0分；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3.在职人员控制率在100%-115%之间的，在0分和满分之间计算确定：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得分=[max（在职人员控制率）－某部门在职人员控制率]/[max（在职人员控制率）－min（在职人员控制率）]×该指标分值。</w:t>
            </w:r>
          </w:p>
        </w:tc>
        <w:tc>
          <w:tcPr>
            <w:tcW w:w="764"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779" w:type="dxa"/>
            <w:vMerge w:val="restart"/>
            <w:tcBorders>
              <w:top w:val="single" w:color="000000" w:sz="4" w:space="0"/>
              <w:left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743" w:type="dxa"/>
            <w:vMerge w:val="continue"/>
            <w:tcBorders>
              <w:left w:val="single" w:color="000000" w:sz="4" w:space="0"/>
              <w:right w:val="single" w:color="000000" w:sz="4" w:space="0"/>
            </w:tcBorders>
            <w:vAlign w:val="center"/>
          </w:tcPr>
          <w:p>
            <w:pPr>
              <w:widowControl/>
              <w:spacing w:line="240" w:lineRule="exact"/>
              <w:jc w:val="left"/>
              <w:rPr>
                <w:rFonts w:hint="eastAsia" w:ascii="仿宋_GB2312" w:hAnsi="仿宋_GB2312" w:eastAsia="仿宋_GB2312" w:cs="仿宋_GB2312"/>
                <w:kern w:val="0"/>
                <w:szCs w:val="21"/>
                <w:lang w:bidi="ar"/>
              </w:rPr>
            </w:pPr>
          </w:p>
        </w:tc>
        <w:tc>
          <w:tcPr>
            <w:tcW w:w="1275" w:type="dxa"/>
            <w:tcBorders>
              <w:top w:val="single" w:color="auto" w:sz="4" w:space="0"/>
              <w:left w:val="single" w:color="000000" w:sz="4" w:space="0"/>
              <w:right w:val="single" w:color="auto" w:sz="4" w:space="0"/>
            </w:tcBorders>
            <w:vAlign w:val="center"/>
          </w:tcPr>
          <w:p>
            <w:pPr>
              <w:widowControl/>
              <w:spacing w:line="240" w:lineRule="exact"/>
              <w:jc w:val="left"/>
              <w:textAlignment w:val="center"/>
              <w:rPr>
                <w:rFonts w:hint="eastAsia" w:ascii="仿宋_GB2312" w:hAnsi="仿宋_GB2312" w:eastAsia="仿宋_GB2312" w:cs="仿宋_GB2312"/>
                <w:kern w:val="0"/>
                <w:szCs w:val="21"/>
                <w:lang w:bidi="ar"/>
              </w:rPr>
            </w:pPr>
            <w:r>
              <w:rPr>
                <w:rFonts w:hint="eastAsia" w:ascii="仿宋_GB2312" w:hAnsi="仿宋_GB2312" w:eastAsia="仿宋_GB2312" w:cs="仿宋_GB2312"/>
                <w:color w:val="000000"/>
                <w:kern w:val="0"/>
                <w:szCs w:val="21"/>
                <w:lang w:bidi="ar"/>
              </w:rPr>
              <w:t>“三公经费”变动率（2分）</w:t>
            </w:r>
          </w:p>
        </w:tc>
        <w:tc>
          <w:tcPr>
            <w:tcW w:w="3436" w:type="dxa"/>
            <w:tcBorders>
              <w:top w:val="single" w:color="auto" w:sz="4" w:space="0"/>
              <w:left w:val="single" w:color="auto" w:sz="4" w:space="0"/>
              <w:right w:val="single" w:color="auto" w:sz="4" w:space="0"/>
            </w:tcBorders>
            <w:vAlign w:val="center"/>
          </w:tcPr>
          <w:p>
            <w:pPr>
              <w:widowControl/>
              <w:spacing w:line="240" w:lineRule="exact"/>
              <w:jc w:val="left"/>
              <w:textAlignment w:val="center"/>
              <w:rPr>
                <w:rFonts w:hint="eastAsia" w:ascii="仿宋_GB2312" w:hAnsi="仿宋_GB2312" w:eastAsia="仿宋_GB2312" w:cs="仿宋_GB2312"/>
                <w:kern w:val="0"/>
                <w:szCs w:val="21"/>
                <w:lang w:bidi="ar"/>
              </w:rPr>
            </w:pPr>
            <w:r>
              <w:rPr>
                <w:rFonts w:hint="eastAsia" w:ascii="仿宋_GB2312" w:hAnsi="仿宋_GB2312" w:eastAsia="仿宋_GB2312" w:cs="仿宋_GB2312"/>
                <w:color w:val="000000"/>
                <w:kern w:val="0"/>
                <w:szCs w:val="21"/>
                <w:lang w:bidi="ar"/>
              </w:rPr>
              <w:t>部门本年度“三公经费”预算数与上年度“三公经费”预算数的变动比率，用以反映和考核部门对控制重点行政成本的努力程度。“三公经费”变动率=[（本年度“三公经费”总额-上年度“三公经费”总额）/上年度“三公经费”总额]×100%。</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“三公经费”：年度预算安排的因公出国（境）费、公务车辆购置及运行费和公务招待费。</w:t>
            </w:r>
          </w:p>
        </w:tc>
        <w:tc>
          <w:tcPr>
            <w:tcW w:w="2373" w:type="dxa"/>
            <w:tcBorders>
              <w:top w:val="single" w:color="auto"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w:t>
            </w:r>
            <w:r>
              <w:rPr>
                <w:rFonts w:hint="eastAsia" w:ascii="仿宋_GB2312" w:hAnsi="仿宋_GB2312" w:eastAsia="仿宋_GB2312" w:cs="仿宋_GB2312"/>
                <w:color w:val="000000"/>
                <w:kern w:val="0"/>
                <w:szCs w:val="21"/>
                <w:lang w:bidi="ar"/>
              </w:rPr>
              <w:t>“三公经费”变动率</w:t>
            </w:r>
            <w:r>
              <w:rPr>
                <w:rFonts w:hint="eastAsia" w:ascii="仿宋_GB2312" w:hAnsi="仿宋_GB2312" w:eastAsia="仿宋_GB2312" w:cs="仿宋_GB2312"/>
                <w:kern w:val="0"/>
                <w:szCs w:val="21"/>
                <w:lang w:bidi="ar"/>
              </w:rPr>
              <w:t>小于或等于-5%的，得满分；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w:t>
            </w:r>
            <w:r>
              <w:rPr>
                <w:rFonts w:hint="eastAsia" w:ascii="仿宋_GB2312" w:hAnsi="仿宋_GB2312" w:eastAsia="仿宋_GB2312" w:cs="仿宋_GB2312"/>
                <w:color w:val="000000"/>
                <w:kern w:val="0"/>
                <w:szCs w:val="21"/>
                <w:lang w:bidi="ar"/>
              </w:rPr>
              <w:t>“三公经费”变动率</w:t>
            </w:r>
            <w:r>
              <w:rPr>
                <w:rFonts w:hint="eastAsia" w:ascii="仿宋_GB2312" w:hAnsi="仿宋_GB2312" w:eastAsia="仿宋_GB2312" w:cs="仿宋_GB2312"/>
                <w:kern w:val="0"/>
                <w:szCs w:val="21"/>
                <w:lang w:bidi="ar"/>
              </w:rPr>
              <w:t>大于或等于10%的，得0分；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3.在职人员控制率在-5%-10%之间的，在0分和满分之间计算确定：</w:t>
            </w:r>
          </w:p>
          <w:p>
            <w:pPr>
              <w:widowControl/>
              <w:spacing w:line="240" w:lineRule="exact"/>
              <w:jc w:val="left"/>
              <w:textAlignment w:val="center"/>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得分=[max（</w:t>
            </w:r>
            <w:r>
              <w:rPr>
                <w:rFonts w:hint="eastAsia" w:ascii="仿宋_GB2312" w:hAnsi="仿宋_GB2312" w:eastAsia="仿宋_GB2312" w:cs="仿宋_GB2312"/>
                <w:color w:val="000000"/>
                <w:kern w:val="0"/>
                <w:szCs w:val="21"/>
                <w:lang w:bidi="ar"/>
              </w:rPr>
              <w:t>“三公经费”变动率</w:t>
            </w:r>
            <w:r>
              <w:rPr>
                <w:rFonts w:hint="eastAsia" w:ascii="仿宋_GB2312" w:hAnsi="仿宋_GB2312" w:eastAsia="仿宋_GB2312" w:cs="仿宋_GB2312"/>
                <w:kern w:val="0"/>
                <w:szCs w:val="21"/>
                <w:lang w:bidi="ar"/>
              </w:rPr>
              <w:t>）－</w:t>
            </w:r>
            <w:r>
              <w:rPr>
                <w:rFonts w:hint="eastAsia" w:ascii="仿宋_GB2312" w:hAnsi="仿宋_GB2312" w:eastAsia="仿宋_GB2312" w:cs="仿宋_GB2312"/>
                <w:color w:val="000000"/>
                <w:kern w:val="0"/>
                <w:szCs w:val="21"/>
                <w:lang w:bidi="ar"/>
              </w:rPr>
              <w:t>“三公经费”变动率</w:t>
            </w:r>
            <w:r>
              <w:rPr>
                <w:rFonts w:hint="eastAsia" w:ascii="仿宋_GB2312" w:hAnsi="仿宋_GB2312" w:eastAsia="仿宋_GB2312" w:cs="仿宋_GB2312"/>
                <w:kern w:val="0"/>
                <w:szCs w:val="21"/>
                <w:lang w:bidi="ar"/>
              </w:rPr>
              <w:t>]/[max（</w:t>
            </w:r>
            <w:r>
              <w:rPr>
                <w:rFonts w:hint="eastAsia" w:ascii="仿宋_GB2312" w:hAnsi="仿宋_GB2312" w:eastAsia="仿宋_GB2312" w:cs="仿宋_GB2312"/>
                <w:color w:val="000000"/>
                <w:kern w:val="0"/>
                <w:szCs w:val="21"/>
                <w:lang w:bidi="ar"/>
              </w:rPr>
              <w:t>“三公经费”变动率</w:t>
            </w:r>
            <w:r>
              <w:rPr>
                <w:rFonts w:hint="eastAsia" w:ascii="仿宋_GB2312" w:hAnsi="仿宋_GB2312" w:eastAsia="仿宋_GB2312" w:cs="仿宋_GB2312"/>
                <w:kern w:val="0"/>
                <w:szCs w:val="21"/>
                <w:lang w:bidi="ar"/>
              </w:rPr>
              <w:t>）－min（</w:t>
            </w:r>
            <w:r>
              <w:rPr>
                <w:rFonts w:hint="eastAsia" w:ascii="仿宋_GB2312" w:hAnsi="仿宋_GB2312" w:eastAsia="仿宋_GB2312" w:cs="仿宋_GB2312"/>
                <w:color w:val="000000"/>
                <w:kern w:val="0"/>
                <w:szCs w:val="21"/>
                <w:lang w:bidi="ar"/>
              </w:rPr>
              <w:t>“三公经费”变动率</w:t>
            </w:r>
            <w:r>
              <w:rPr>
                <w:rFonts w:hint="eastAsia" w:ascii="仿宋_GB2312" w:hAnsi="仿宋_GB2312" w:eastAsia="仿宋_GB2312" w:cs="仿宋_GB2312"/>
                <w:kern w:val="0"/>
                <w:szCs w:val="21"/>
                <w:lang w:bidi="ar"/>
              </w:rPr>
              <w:t>）]×该指标分值。</w:t>
            </w:r>
          </w:p>
        </w:tc>
        <w:tc>
          <w:tcPr>
            <w:tcW w:w="764"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779" w:type="dxa"/>
            <w:vMerge w:val="continue"/>
            <w:tcBorders>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743" w:type="dxa"/>
            <w:vMerge w:val="continue"/>
            <w:tcBorders>
              <w:left w:val="single" w:color="000000" w:sz="4" w:space="0"/>
              <w:bottom w:val="single" w:color="000000" w:sz="4" w:space="0"/>
              <w:right w:val="single" w:color="000000" w:sz="4" w:space="0"/>
            </w:tcBorders>
            <w:vAlign w:val="center"/>
          </w:tcPr>
          <w:p>
            <w:pPr>
              <w:widowControl/>
              <w:spacing w:line="240" w:lineRule="exact"/>
              <w:jc w:val="left"/>
              <w:rPr>
                <w:rFonts w:hint="eastAsia" w:ascii="仿宋_GB2312" w:hAnsi="仿宋_GB2312" w:eastAsia="仿宋_GB2312" w:cs="仿宋_GB2312"/>
                <w:kern w:val="0"/>
                <w:szCs w:val="21"/>
                <w:lang w:bidi="ar"/>
              </w:rPr>
            </w:pPr>
          </w:p>
        </w:tc>
        <w:tc>
          <w:tcPr>
            <w:tcW w:w="1275" w:type="dxa"/>
            <w:tcBorders>
              <w:top w:val="single" w:color="auto" w:sz="4" w:space="0"/>
              <w:left w:val="single" w:color="000000" w:sz="4" w:space="0"/>
              <w:right w:val="single" w:color="auto" w:sz="4" w:space="0"/>
            </w:tcBorders>
            <w:vAlign w:val="center"/>
          </w:tcPr>
          <w:p>
            <w:pPr>
              <w:widowControl/>
              <w:spacing w:line="240" w:lineRule="exact"/>
              <w:jc w:val="left"/>
              <w:textAlignment w:val="center"/>
              <w:rPr>
                <w:rFonts w:hint="eastAsia" w:ascii="仿宋_GB2312" w:hAnsi="仿宋_GB2312" w:eastAsia="仿宋_GB2312" w:cs="仿宋_GB2312"/>
                <w:kern w:val="0"/>
                <w:szCs w:val="21"/>
                <w:lang w:bidi="ar"/>
              </w:rPr>
            </w:pPr>
            <w:r>
              <w:rPr>
                <w:rFonts w:hint="eastAsia" w:ascii="仿宋_GB2312" w:hAnsi="仿宋_GB2312" w:eastAsia="仿宋_GB2312" w:cs="仿宋_GB2312"/>
                <w:color w:val="000000"/>
                <w:kern w:val="0"/>
                <w:szCs w:val="21"/>
                <w:lang w:bidi="ar"/>
              </w:rPr>
              <w:t>重点支出安排率（2分）</w:t>
            </w:r>
          </w:p>
        </w:tc>
        <w:tc>
          <w:tcPr>
            <w:tcW w:w="3436" w:type="dxa"/>
            <w:tcBorders>
              <w:top w:val="single" w:color="auto" w:sz="4" w:space="0"/>
              <w:left w:val="single" w:color="auto" w:sz="4" w:space="0"/>
              <w:right w:val="single" w:color="auto" w:sz="4" w:space="0"/>
            </w:tcBorders>
            <w:vAlign w:val="center"/>
          </w:tcPr>
          <w:p>
            <w:pPr>
              <w:widowControl/>
              <w:spacing w:line="240" w:lineRule="exact"/>
              <w:jc w:val="left"/>
              <w:textAlignment w:val="center"/>
              <w:rPr>
                <w:rFonts w:hint="eastAsia" w:ascii="仿宋_GB2312" w:hAnsi="仿宋_GB2312" w:eastAsia="仿宋_GB2312" w:cs="仿宋_GB2312"/>
                <w:kern w:val="0"/>
                <w:szCs w:val="21"/>
                <w:lang w:bidi="ar"/>
              </w:rPr>
            </w:pPr>
            <w:r>
              <w:rPr>
                <w:rFonts w:hint="eastAsia" w:ascii="仿宋_GB2312" w:hAnsi="仿宋_GB2312" w:eastAsia="仿宋_GB2312" w:cs="仿宋_GB2312"/>
                <w:color w:val="000000"/>
                <w:kern w:val="0"/>
                <w:szCs w:val="21"/>
                <w:lang w:bidi="ar"/>
              </w:rPr>
              <w:t>部门本年度预算安排的重点项目支出与部门项目总支出的比率，用以反映和考核部门对履行主要职责或完成重点任务的保障程度。重点支出安排率=（重点项目支出/项目总支出）×100%。</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重点项目支出：部门（单位）年度预算安排的，与本部门履职和发展密切相关、具有明显社会和经济影响、党委政府关心或社会比较关注的项目支出总额。</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项目总支出：部门（单位）年度预算安排的项目支出总额。</w:t>
            </w:r>
          </w:p>
        </w:tc>
        <w:tc>
          <w:tcPr>
            <w:tcW w:w="2373" w:type="dxa"/>
            <w:tcBorders>
              <w:top w:val="single" w:color="auto"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w:t>
            </w:r>
            <w:r>
              <w:rPr>
                <w:rFonts w:hint="eastAsia" w:ascii="仿宋_GB2312" w:hAnsi="仿宋_GB2312" w:eastAsia="仿宋_GB2312" w:cs="仿宋_GB2312"/>
                <w:color w:val="000000"/>
                <w:kern w:val="0"/>
                <w:szCs w:val="21"/>
                <w:lang w:bidi="ar"/>
              </w:rPr>
              <w:t>重点支出安排率</w:t>
            </w:r>
            <w:r>
              <w:rPr>
                <w:rFonts w:hint="eastAsia" w:ascii="仿宋_GB2312" w:hAnsi="仿宋_GB2312" w:eastAsia="仿宋_GB2312" w:cs="仿宋_GB2312"/>
                <w:kern w:val="0"/>
                <w:szCs w:val="21"/>
                <w:lang w:bidi="ar"/>
              </w:rPr>
              <w:t>大于或等于95%的，得满分；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w:t>
            </w:r>
            <w:r>
              <w:rPr>
                <w:rFonts w:hint="eastAsia" w:ascii="仿宋_GB2312" w:hAnsi="仿宋_GB2312" w:eastAsia="仿宋_GB2312" w:cs="仿宋_GB2312"/>
                <w:color w:val="000000"/>
                <w:kern w:val="0"/>
                <w:szCs w:val="21"/>
                <w:lang w:bidi="ar"/>
              </w:rPr>
              <w:t>重点支出安排率</w:t>
            </w:r>
            <w:r>
              <w:rPr>
                <w:rFonts w:hint="eastAsia" w:ascii="仿宋_GB2312" w:hAnsi="仿宋_GB2312" w:eastAsia="仿宋_GB2312" w:cs="仿宋_GB2312"/>
                <w:kern w:val="0"/>
                <w:szCs w:val="21"/>
                <w:lang w:bidi="ar"/>
              </w:rPr>
              <w:t>小于或等于85%的，得0分；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w:t>
            </w:r>
            <w:r>
              <w:rPr>
                <w:rFonts w:hint="eastAsia" w:ascii="仿宋_GB2312" w:hAnsi="仿宋_GB2312" w:eastAsia="仿宋_GB2312" w:cs="仿宋_GB2312"/>
                <w:color w:val="000000"/>
                <w:kern w:val="0"/>
                <w:szCs w:val="21"/>
                <w:lang w:bidi="ar"/>
              </w:rPr>
              <w:t>重点支出安排率</w:t>
            </w:r>
            <w:r>
              <w:rPr>
                <w:rFonts w:hint="eastAsia" w:ascii="仿宋_GB2312" w:hAnsi="仿宋_GB2312" w:eastAsia="仿宋_GB2312" w:cs="仿宋_GB2312"/>
                <w:kern w:val="0"/>
                <w:szCs w:val="21"/>
                <w:lang w:bidi="ar"/>
              </w:rPr>
              <w:t>在85%-95%之间的，在0分和满分之间计算确定：</w:t>
            </w:r>
          </w:p>
          <w:p>
            <w:pPr>
              <w:widowControl/>
              <w:spacing w:line="240" w:lineRule="exact"/>
              <w:jc w:val="left"/>
              <w:textAlignment w:val="center"/>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得分=[某部门</w:t>
            </w:r>
            <w:r>
              <w:rPr>
                <w:rFonts w:hint="eastAsia" w:ascii="仿宋_GB2312" w:hAnsi="仿宋_GB2312" w:eastAsia="仿宋_GB2312" w:cs="仿宋_GB2312"/>
                <w:color w:val="000000"/>
                <w:kern w:val="0"/>
                <w:szCs w:val="21"/>
                <w:lang w:bidi="ar"/>
              </w:rPr>
              <w:t>重点支出安排率</w:t>
            </w:r>
            <w:r>
              <w:rPr>
                <w:rFonts w:hint="eastAsia" w:ascii="仿宋_GB2312" w:hAnsi="仿宋_GB2312" w:eastAsia="仿宋_GB2312" w:cs="仿宋_GB2312"/>
                <w:kern w:val="0"/>
                <w:szCs w:val="21"/>
                <w:lang w:bidi="ar"/>
              </w:rPr>
              <w:t>-min（</w:t>
            </w:r>
            <w:r>
              <w:rPr>
                <w:rFonts w:hint="eastAsia" w:ascii="仿宋_GB2312" w:hAnsi="仿宋_GB2312" w:eastAsia="仿宋_GB2312" w:cs="仿宋_GB2312"/>
                <w:color w:val="000000"/>
                <w:kern w:val="0"/>
                <w:szCs w:val="21"/>
                <w:lang w:bidi="ar"/>
              </w:rPr>
              <w:t>重点支出安排率</w:t>
            </w:r>
            <w:r>
              <w:rPr>
                <w:rFonts w:hint="eastAsia" w:ascii="仿宋_GB2312" w:hAnsi="仿宋_GB2312" w:eastAsia="仿宋_GB2312" w:cs="仿宋_GB2312"/>
                <w:kern w:val="0"/>
                <w:szCs w:val="21"/>
                <w:lang w:bidi="ar"/>
              </w:rPr>
              <w:t>）]/[max（</w:t>
            </w:r>
            <w:r>
              <w:rPr>
                <w:rFonts w:hint="eastAsia" w:ascii="仿宋_GB2312" w:hAnsi="仿宋_GB2312" w:eastAsia="仿宋_GB2312" w:cs="仿宋_GB2312"/>
                <w:color w:val="000000"/>
                <w:kern w:val="0"/>
                <w:szCs w:val="21"/>
                <w:lang w:bidi="ar"/>
              </w:rPr>
              <w:t>重点支出安排率</w:t>
            </w:r>
            <w:r>
              <w:rPr>
                <w:rFonts w:hint="eastAsia" w:ascii="仿宋_GB2312" w:hAnsi="仿宋_GB2312" w:eastAsia="仿宋_GB2312" w:cs="仿宋_GB2312"/>
                <w:kern w:val="0"/>
                <w:szCs w:val="21"/>
                <w:lang w:bidi="ar"/>
              </w:rPr>
              <w:t>）－min（</w:t>
            </w:r>
            <w:r>
              <w:rPr>
                <w:rFonts w:hint="eastAsia" w:ascii="仿宋_GB2312" w:hAnsi="仿宋_GB2312" w:eastAsia="仿宋_GB2312" w:cs="仿宋_GB2312"/>
                <w:color w:val="000000"/>
                <w:kern w:val="0"/>
                <w:szCs w:val="21"/>
                <w:lang w:bidi="ar"/>
              </w:rPr>
              <w:t>重点支出安排率</w:t>
            </w:r>
            <w:r>
              <w:rPr>
                <w:rFonts w:hint="eastAsia" w:ascii="仿宋_GB2312" w:hAnsi="仿宋_GB2312" w:eastAsia="仿宋_GB2312" w:cs="仿宋_GB2312"/>
                <w:kern w:val="0"/>
                <w:szCs w:val="21"/>
                <w:lang w:bidi="ar"/>
              </w:rPr>
              <w:t>）]×该指标分值。</w:t>
            </w:r>
          </w:p>
        </w:tc>
        <w:tc>
          <w:tcPr>
            <w:tcW w:w="764"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过程(45分)</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预算执行情况(25分)</w:t>
            </w: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预算完成率（5分）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通过对部门本年度预算完成数与预算数的比较，反映和评价部门预算的完成程度。</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预算完成率=（预算完成数/预算数）×100%。</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1.预算完成率大于或等于95%的，得满分；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2.预算完成率小于或等于85%的，得0分；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3.预算完成率在85%-95%之间的，在0分和满分之间计算确定：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得分=[某部门预算完成率-min（预算完成率）]/[max（预算完成率）－min（预算完成率）]×该指标分值。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预算调整率（3分）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部门本年度预算调整数与预算数的比率，用以反映和评价部门预算的调整程度。</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预算调整率=（预算调整数/预算数）×100%。</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 xml:space="preserve">1.预算调整率等于0的，得满分； </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2.预算调整率大于或等于10%的，得0分；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3.预算调整率在0-10%之间的，在0分和满分之间确定：</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得分=［max（预算调整率）-某部门预算调整率］/［max（预算调整率）-min（预算调整率）］×该指标分值。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84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lang w:bidi="ar"/>
              </w:rPr>
              <w:t>支付进度率</w:t>
            </w:r>
            <w:r>
              <w:rPr>
                <w:rFonts w:hint="eastAsia" w:ascii="仿宋_GB2312" w:hAnsi="仿宋_GB2312" w:eastAsia="仿宋_GB2312" w:cs="仿宋_GB2312"/>
                <w:kern w:val="0"/>
                <w:szCs w:val="21"/>
                <w:lang w:bidi="ar"/>
              </w:rPr>
              <w:t>（5分）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部门年度支付数与年度任务数的比率，用以反映和评价部门预算执行的及时和均衡程度。</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支付进度率=（年度支付数/年度任务数）×100%。</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按年度的执行情况进行打分。得分=年度支付数/年度任务数×该指标分值。</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7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结转结余率（4分）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通过对部门本年度结转结余总额与支出预算数的比较，反映和评价部门对本年度结转结余资金的实际控制程度。</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结转结余率=（结转结余总额/支出预算数）×100%。</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1.结转结余率等于0的，得满分；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2.结转结余率大于或等于50%的，得0分；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3.结转结余率在0-50%之间的，在0和满分之间计算确定：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得分=[max（结转结余率）－某部门结转结余率]/[max（结转结余率）－min（结转结余率）]×该指标分值。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10"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公用经费控制率（4分）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通过对部门本年度实际支出的公用经费总额与预算安排的公用经费总额的比率，反映和评价部门对机构运转成本的实际控制程度。</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公用经费控制率=（实际支出公用经费总额/预算安排公用经费总额）×100%。</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1.公用经费控制率小于或等于100%的，得满分；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2.公用经费控制率大于或等于105%的，得0分；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3.公用经费控制率在100%-105%之间的，在0和满分之间计算确定：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得分=［max（公用经费控制率）-某部门公用经费控制率］/［max（公用经费控制率）-min（公用经费控制率）］×该指标分值。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00"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政府采购执行率（4分）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通过对部门本年度实际政府采购预算项目个数与政府采购预算项目个数的比较，反映和评价部门政府采购预算执行情况。</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政府采购执行率=（实际政府采购预算项目个数/政府采购预算项目个数）×100%。</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政府采购项目中非预算内安排的项目除外。</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1.政府采购执行率等于100%的，得满分；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2.政府采购执行率小于或等于90%的，0分；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3.政府采购执行率在90%-100%之间的，在0和满分之间计算确定：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得分=［某部门政府采购执行率-min（政府采购执行率）］/［max（政府采购执行率）-min（政府采购执行率）］×该指标分值。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预算管理情况</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（15）</w:t>
            </w: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资金使用合规性（8分）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部门使用预算资金是否符合相关的预算财务管理制度的规定，反映和评价部门预算资金的规范运行情况。</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评价要点：</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1.符合国家财经法规和财务管理制度规定以及有关部门资金管理办法的规定；</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2.资金的拨付有完整的审批过程和手续；</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3.项目的重大开支经过评估论证；</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4.符合部门预算批复的用途；</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5.不存在截留情况；</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6.不存在挤占情况；</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7.不存在挪用情况；</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8.不存在虚列支出情况。</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全部符合（8）；</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符合其中七项（6）；</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符合其中六项（4）；</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符合其中五项（2）；</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符合其中四项及以下（0）。</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default" w:eastAsiaTheme="minorEastAsia"/>
                <w:szCs w:val="21"/>
                <w:lang w:val="en-US" w:eastAsia="zh-CN"/>
              </w:rPr>
            </w:pPr>
            <w:r>
              <w:rPr>
                <w:rFonts w:hint="eastAsia"/>
                <w:szCs w:val="21"/>
                <w:lang w:val="en-US" w:eastAsia="zh-CN"/>
              </w:rPr>
              <w:t>15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预决算信息公开性（3分）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部门是否按照政府信息公开有关规定公开相关预决算信息，用以反映和评价部门预决算管理的公开透明情况。</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预决算信息是指与部门预算、执行、决算、监督、绩效等管理相关的信息。</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评价要点：</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1.公开预决算信息；</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2.按规定内容公开预决算信息；</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3.按规定时限公开预决算信息。</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全部符合（3）；</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符合其中两项（2）</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符合其中一项及以下（0）。</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lang w:bidi="ar"/>
              </w:rPr>
              <w:t>基础信息完善性</w:t>
            </w:r>
            <w:r>
              <w:rPr>
                <w:rFonts w:hint="eastAsia" w:ascii="仿宋_GB2312" w:hAnsi="仿宋_GB2312" w:eastAsia="仿宋_GB2312" w:cs="仿宋_GB2312"/>
                <w:kern w:val="0"/>
                <w:szCs w:val="21"/>
                <w:lang w:bidi="ar"/>
              </w:rPr>
              <w:t>（4分）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部门基础信息是否完善，用以反映和评价基础信息对预算管理工作的支撑情况。</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评价要点：</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1.基本财务管理制度健全；</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2.基础数据信息和会计信息资料真实；</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3.基础数据信息和会计信息资料完整；</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4.基础数据信息和会计信息资料准确。</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符合全部四项（4）；</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符合其中三项（2）；</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符合其中两项（1）；</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符合其中一项及以下（0）。</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资产管理情况（5分）</w:t>
            </w:r>
          </w:p>
        </w:tc>
        <w:tc>
          <w:tcPr>
            <w:tcW w:w="1275" w:type="dxa"/>
            <w:tcBorders>
              <w:top w:val="single" w:color="auto" w:sz="4" w:space="0"/>
              <w:left w:val="single" w:color="000000"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资产管理完整性（2分）</w:t>
            </w:r>
          </w:p>
        </w:tc>
        <w:tc>
          <w:tcPr>
            <w:tcW w:w="3436" w:type="dxa"/>
            <w:tcBorders>
              <w:top w:val="single" w:color="auto" w:sz="4" w:space="0"/>
              <w:left w:val="single" w:color="auto"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部门的资产是否保存完整、使用合规、收入及时足额上缴，用以反映和评价部门资产运行情况。</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评价要点：</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1.资产保存完整；</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2.资产账务管理是否合规，帐实相符；</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3.资产有偿使用及处置收入及时足额上缴。</w:t>
            </w:r>
          </w:p>
        </w:tc>
        <w:tc>
          <w:tcPr>
            <w:tcW w:w="2373" w:type="dxa"/>
            <w:tcBorders>
              <w:top w:val="single" w:color="auto" w:sz="4" w:space="0"/>
              <w:left w:val="single" w:color="auto"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符合全部三项（3）；</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符合其中两项（2）；</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符合其中一项（1）；</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符合零项（0）。</w:t>
            </w:r>
          </w:p>
        </w:tc>
        <w:tc>
          <w:tcPr>
            <w:tcW w:w="764"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1275" w:type="dxa"/>
            <w:tcBorders>
              <w:top w:val="single" w:color="auto" w:sz="4" w:space="0"/>
              <w:left w:val="single" w:color="000000"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固定资产利用率（3分）</w:t>
            </w:r>
          </w:p>
        </w:tc>
        <w:tc>
          <w:tcPr>
            <w:tcW w:w="3436" w:type="dxa"/>
            <w:tcBorders>
              <w:top w:val="single" w:color="auto" w:sz="4" w:space="0"/>
              <w:left w:val="single" w:color="auto"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部门实际在用固定资产总额与所有固定资产总额的比率，用以反映和评价部门固定资产使用效率。</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固定资产利用率=（实际在用固定资产总额/所有固定资产总额）×100%。</w:t>
            </w:r>
          </w:p>
        </w:tc>
        <w:tc>
          <w:tcPr>
            <w:tcW w:w="2373" w:type="dxa"/>
            <w:tcBorders>
              <w:top w:val="single" w:color="auto"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1.固定资产利用率大于或等于95%的，得满分；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2.固定资产利用率小于或等于85%的，得0分；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3.固定资产利用率在85%-95%之间的，在0和满分之间计算确定：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得分=［某部门固定资产利用率-min（固定资产利用率）］/［max（固定资产利用率）-min（固定资产利用率）］×该指标分值。</w:t>
            </w:r>
          </w:p>
        </w:tc>
        <w:tc>
          <w:tcPr>
            <w:tcW w:w="764"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产出(25分)</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职责履行情况（25）</w:t>
            </w:r>
          </w:p>
        </w:tc>
        <w:tc>
          <w:tcPr>
            <w:tcW w:w="1275" w:type="dxa"/>
            <w:tcBorders>
              <w:top w:val="single" w:color="000000" w:sz="4" w:space="0"/>
              <w:left w:val="single" w:color="000000" w:sz="4" w:space="0"/>
              <w:bottom w:val="single" w:color="auto"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履职完成情况（10分）</w:t>
            </w:r>
          </w:p>
        </w:tc>
        <w:tc>
          <w:tcPr>
            <w:tcW w:w="3436"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textAlignment w:val="center"/>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lang w:bidi="ar"/>
              </w:rPr>
              <w:t>根据年度主要任务分解表</w:t>
            </w:r>
            <w:bookmarkStart w:id="0" w:name="_GoBack"/>
            <w:bookmarkEnd w:id="0"/>
            <w:r>
              <w:rPr>
                <w:rFonts w:hint="eastAsia" w:ascii="仿宋_GB2312" w:hAnsi="仿宋_GB2312" w:eastAsia="仿宋_GB2312" w:cs="仿宋_GB2312"/>
                <w:color w:val="000000"/>
                <w:kern w:val="0"/>
                <w:szCs w:val="21"/>
                <w:lang w:bidi="ar"/>
              </w:rPr>
              <w:t>的具体任务，逐项评价任务量化指标完成情况、实施效果和责任制建立情况。用以反映和考核部门（单位）履职工作任务目标的完成情况。评价要点：</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 xml:space="preserve">1.每项任务是否已制定了明确、具体、可量化、可衡量的绩效指标；           </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2.每项任务绩效指标的完成情况，是全部完成、基本完成、未完成，还是未实施；</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3.每项任务实施效果情况，是优秀、良好、一般，还是无效果；</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4.每项任务是否建立了目标责任制，是否落实到具体部门和人员负责。</w:t>
            </w:r>
          </w:p>
        </w:tc>
        <w:tc>
          <w:tcPr>
            <w:tcW w:w="2373"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textAlignment w:val="center"/>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lang w:bidi="ar"/>
              </w:rPr>
              <w:t>根据不同部门履职的内容和特点，具体测算部门履职工作任务目标的完成情况。</w:t>
            </w:r>
          </w:p>
        </w:tc>
        <w:tc>
          <w:tcPr>
            <w:tcW w:w="764"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left"/>
              <w:rPr>
                <w:rFonts w:hint="default" w:eastAsiaTheme="minorEastAsia"/>
                <w:szCs w:val="21"/>
                <w:lang w:val="en-US" w:eastAsia="zh-CN"/>
              </w:rPr>
            </w:pPr>
            <w:r>
              <w:rPr>
                <w:rFonts w:hint="eastAsia"/>
                <w:szCs w:val="21"/>
                <w:lang w:val="en-US" w:eastAsia="zh-CN"/>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090"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项目完成质量达标率（15）</w:t>
            </w:r>
          </w:p>
        </w:tc>
        <w:tc>
          <w:tcPr>
            <w:tcW w:w="3436" w:type="dxa"/>
            <w:tcBorders>
              <w:top w:val="single" w:color="000000"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部门已完成项目中质量达标项目个数占已完成项目个数的比率,用以反映和评价部门履职质量目标的实现程度。</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项目质量达标率=（已完成项目中质量达标项目个数/已完成项目个数）×100%。</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项目质量达标是指项目决算验收合格。</w:t>
            </w:r>
          </w:p>
        </w:tc>
        <w:tc>
          <w:tcPr>
            <w:tcW w:w="2373" w:type="dxa"/>
            <w:tcBorders>
              <w:top w:val="single" w:color="000000"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1.项目质量达标率等于100%的，得满分；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2.项目质量达标率小于或等于99%的，得0分；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 xml:space="preserve">3.项目质量达标率在99%-100%之间的，在0和满分之间计算确定： </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得分=［某部门项目质量达标率-min（项目质量达标率）］/［max（项目质量达标率）-min（项目质量达标率）］×该指标分值。</w:t>
            </w:r>
          </w:p>
        </w:tc>
        <w:tc>
          <w:tcPr>
            <w:tcW w:w="764"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left"/>
              <w:rPr>
                <w:rFonts w:hint="default" w:eastAsiaTheme="minorEastAsia"/>
                <w:szCs w:val="21"/>
                <w:lang w:val="en-US" w:eastAsia="zh-CN"/>
              </w:rPr>
            </w:pPr>
            <w:r>
              <w:rPr>
                <w:rFonts w:hint="eastAsia"/>
                <w:szCs w:val="21"/>
                <w:lang w:val="en-US" w:eastAsia="zh-CN"/>
              </w:rPr>
              <w:t>15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效果（20分）</w:t>
            </w:r>
          </w:p>
        </w:tc>
        <w:tc>
          <w:tcPr>
            <w:tcW w:w="743" w:type="dxa"/>
            <w:vMerge w:val="restart"/>
            <w:tcBorders>
              <w:top w:val="single" w:color="auto" w:sz="4" w:space="0"/>
              <w:left w:val="single" w:color="000000" w:sz="4" w:space="0"/>
              <w:right w:val="single" w:color="000000" w:sz="4" w:space="0"/>
            </w:tcBorders>
            <w:vAlign w:val="center"/>
          </w:tcPr>
          <w:p>
            <w:pPr>
              <w:widowControl/>
              <w:spacing w:line="240" w:lineRule="exact"/>
              <w:jc w:val="left"/>
              <w:rPr>
                <w:rFonts w:hint="eastAsia" w:ascii="仿宋_GB2312" w:hAnsi="仿宋_GB2312" w:eastAsia="仿宋_GB2312" w:cs="仿宋_GB2312"/>
                <w:kern w:val="0"/>
                <w:szCs w:val="21"/>
                <w:lang w:bidi="ar"/>
              </w:rPr>
            </w:pPr>
          </w:p>
          <w:p>
            <w:pPr>
              <w:widowControl/>
              <w:spacing w:line="240" w:lineRule="exact"/>
              <w:jc w:val="left"/>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履职效益情况</w:t>
            </w:r>
          </w:p>
          <w:p>
            <w:pPr>
              <w:widowControl/>
              <w:spacing w:line="240" w:lineRule="exact"/>
              <w:jc w:val="left"/>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（20分）</w:t>
            </w: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lang w:bidi="ar"/>
              </w:rPr>
              <w:t>经济效益</w:t>
            </w:r>
            <w:r>
              <w:rPr>
                <w:rFonts w:hint="eastAsia" w:ascii="仿宋_GB2312" w:hAnsi="仿宋_GB2312" w:eastAsia="仿宋_GB2312" w:cs="仿宋_GB2312"/>
                <w:kern w:val="0"/>
                <w:szCs w:val="21"/>
                <w:lang w:bidi="ar"/>
              </w:rPr>
              <w:t>（5分）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textAlignment w:val="center"/>
              <w:rPr>
                <w:rFonts w:hint="eastAsia" w:ascii="仿宋_GB2312" w:hAnsi="仿宋_GB2312" w:eastAsia="仿宋_GB2312" w:cs="仿宋_GB2312"/>
                <w:color w:val="000000"/>
                <w:kern w:val="0"/>
                <w:szCs w:val="21"/>
                <w:lang w:bidi="ar"/>
              </w:rPr>
            </w:pPr>
            <w:r>
              <w:rPr>
                <w:rFonts w:hint="eastAsia" w:ascii="仿宋_GB2312" w:hAnsi="仿宋_GB2312" w:eastAsia="仿宋_GB2312" w:cs="仿宋_GB2312"/>
                <w:color w:val="000000"/>
                <w:kern w:val="0"/>
                <w:szCs w:val="21"/>
                <w:lang w:bidi="ar"/>
              </w:rPr>
              <w:t>部门及所属二级单位通过履行职责和预算安排支出项目的实施，对我市带来的经济影响。</w:t>
            </w:r>
          </w:p>
          <w:p>
            <w:pPr>
              <w:widowControl/>
              <w:spacing w:line="240" w:lineRule="exact"/>
              <w:jc w:val="left"/>
              <w:textAlignment w:val="center"/>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lang w:bidi="ar"/>
              </w:rPr>
              <w:t>评价要点：</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 xml:space="preserve">1.通过部门所属企事业单位改革，促进了企事业单位效益增长情况；          </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2.通过预算支出项目的实施，促进了行业生产能力增长，从而带动行业经济效益增长；</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3.通过预算支出项目的实施，有效提高劳动效率，节约成本费用；</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4.通过预算支出项目的实施，降低了损耗，从而提高了生产效益；</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5.通过预算支出项目的实施，完善了突发情况的监测预警，保障了生产安全，降低了生产损失。</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textAlignment w:val="center"/>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lang w:bidi="ar"/>
              </w:rPr>
              <w:t>根据不同部门履职的内容和特点，具体测算部门履职产生的经济效益。</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left w:val="single" w:color="000000" w:sz="4" w:space="0"/>
              <w:right w:val="single" w:color="000000" w:sz="4" w:space="0"/>
            </w:tcBorders>
            <w:vAlign w:val="center"/>
          </w:tcPr>
          <w:p>
            <w:pPr>
              <w:widowControl/>
              <w:spacing w:line="240" w:lineRule="exact"/>
              <w:jc w:val="left"/>
              <w:rPr>
                <w:rFonts w:hint="eastAsia" w:ascii="仿宋_GB2312" w:hAnsi="仿宋_GB2312" w:eastAsia="仿宋_GB2312" w:cs="仿宋_GB2312"/>
                <w:kern w:val="0"/>
                <w:szCs w:val="21"/>
                <w:lang w:bidi="ar"/>
              </w:rPr>
            </w:pPr>
          </w:p>
        </w:tc>
        <w:tc>
          <w:tcPr>
            <w:tcW w:w="743" w:type="dxa"/>
            <w:vMerge w:val="continue"/>
            <w:tcBorders>
              <w:left w:val="single" w:color="000000" w:sz="4" w:space="0"/>
              <w:right w:val="single" w:color="000000" w:sz="4" w:space="0"/>
            </w:tcBorders>
            <w:vAlign w:val="center"/>
          </w:tcPr>
          <w:p>
            <w:pPr>
              <w:widowControl/>
              <w:spacing w:line="240" w:lineRule="exact"/>
              <w:jc w:val="left"/>
              <w:rPr>
                <w:rFonts w:hint="eastAsia" w:ascii="仿宋_GB2312" w:hAnsi="仿宋_GB2312" w:eastAsia="仿宋_GB2312" w:cs="仿宋_GB2312"/>
                <w:kern w:val="0"/>
                <w:szCs w:val="21"/>
                <w:lang w:bidi="ar"/>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rPr>
                <w:rFonts w:hint="eastAsia" w:ascii="仿宋_GB2312" w:hAnsi="仿宋_GB2312" w:eastAsia="仿宋_GB2312" w:cs="仿宋_GB2312"/>
                <w:color w:val="000000"/>
                <w:kern w:val="0"/>
                <w:szCs w:val="21"/>
                <w:lang w:bidi="ar"/>
              </w:rPr>
            </w:pPr>
            <w:r>
              <w:rPr>
                <w:rFonts w:hint="eastAsia" w:ascii="仿宋_GB2312" w:hAnsi="仿宋_GB2312" w:eastAsia="仿宋_GB2312" w:cs="仿宋_GB2312"/>
                <w:color w:val="000000"/>
                <w:kern w:val="0"/>
                <w:szCs w:val="21"/>
                <w:lang w:bidi="ar"/>
              </w:rPr>
              <w:t>社会效益（5分）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textAlignment w:val="center"/>
              <w:rPr>
                <w:rFonts w:hint="eastAsia" w:ascii="仿宋_GB2312" w:hAnsi="仿宋_GB2312" w:eastAsia="仿宋_GB2312" w:cs="仿宋_GB2312"/>
                <w:color w:val="000000"/>
                <w:kern w:val="0"/>
                <w:szCs w:val="21"/>
                <w:lang w:bidi="ar"/>
              </w:rPr>
            </w:pPr>
            <w:r>
              <w:rPr>
                <w:rFonts w:hint="eastAsia" w:ascii="仿宋_GB2312" w:hAnsi="仿宋_GB2312" w:eastAsia="仿宋_GB2312" w:cs="仿宋_GB2312"/>
                <w:color w:val="000000"/>
                <w:kern w:val="0"/>
                <w:szCs w:val="21"/>
                <w:lang w:bidi="ar"/>
              </w:rPr>
              <w:t>部门及所属二级单位履行职责对社会发展所带来的直接或间接影响。</w:t>
            </w:r>
          </w:p>
          <w:p>
            <w:pPr>
              <w:widowControl/>
              <w:spacing w:line="240" w:lineRule="exact"/>
              <w:textAlignment w:val="center"/>
              <w:rPr>
                <w:rFonts w:hint="eastAsia" w:ascii="仿宋_GB2312" w:hAnsi="仿宋_GB2312" w:eastAsia="仿宋_GB2312" w:cs="仿宋_GB2312"/>
                <w:color w:val="000000"/>
                <w:kern w:val="0"/>
                <w:szCs w:val="21"/>
                <w:lang w:bidi="ar"/>
              </w:rPr>
            </w:pPr>
            <w:r>
              <w:rPr>
                <w:rFonts w:hint="eastAsia" w:ascii="仿宋_GB2312" w:hAnsi="仿宋_GB2312" w:eastAsia="仿宋_GB2312" w:cs="仿宋_GB2312"/>
                <w:color w:val="000000"/>
                <w:kern w:val="0"/>
                <w:szCs w:val="21"/>
                <w:lang w:bidi="ar"/>
              </w:rPr>
              <w:t>评价要点：</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 xml:space="preserve">1.通过部门所属企事业单位的改革，促进了企事业单位可持续发展，带动就业增长情况；          </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2.通过预算支出项目的实施，是否明显促进了行业精神文明建设；</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3.通过部门履职是否明显提高城乡居民生活水平，满足了人们日益增长的物质与文化生活需求；</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4.通过预算项目的实施，是否提高了劳动生产率，降低了劳动强度，促进了劳动人民的身心健康；</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5.通过部门履职行业形象是否得到了大大提升了，增强了部门影响力。</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textAlignment w:val="center"/>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lang w:bidi="ar"/>
              </w:rPr>
              <w:t>根据不同部门履职的内容和特点，具体测算部门履职产生的社会效益。</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left w:val="single" w:color="000000" w:sz="4" w:space="0"/>
              <w:right w:val="single" w:color="000000" w:sz="4" w:space="0"/>
            </w:tcBorders>
            <w:vAlign w:val="center"/>
          </w:tcPr>
          <w:p>
            <w:pPr>
              <w:widowControl/>
              <w:spacing w:line="240" w:lineRule="exact"/>
              <w:jc w:val="left"/>
              <w:rPr>
                <w:rFonts w:hint="eastAsia" w:ascii="仿宋_GB2312" w:hAnsi="仿宋_GB2312" w:eastAsia="仿宋_GB2312" w:cs="仿宋_GB2312"/>
                <w:kern w:val="0"/>
                <w:szCs w:val="21"/>
                <w:lang w:bidi="ar"/>
              </w:rPr>
            </w:pPr>
          </w:p>
        </w:tc>
        <w:tc>
          <w:tcPr>
            <w:tcW w:w="743" w:type="dxa"/>
            <w:vMerge w:val="continue"/>
            <w:tcBorders>
              <w:left w:val="single" w:color="000000" w:sz="4" w:space="0"/>
              <w:right w:val="single" w:color="000000" w:sz="4" w:space="0"/>
            </w:tcBorders>
            <w:vAlign w:val="center"/>
          </w:tcPr>
          <w:p>
            <w:pPr>
              <w:widowControl/>
              <w:spacing w:line="240" w:lineRule="exact"/>
              <w:jc w:val="left"/>
              <w:rPr>
                <w:rFonts w:hint="eastAsia" w:ascii="仿宋_GB2312" w:hAnsi="仿宋_GB2312" w:eastAsia="仿宋_GB2312" w:cs="仿宋_GB2312"/>
                <w:kern w:val="0"/>
                <w:szCs w:val="21"/>
                <w:lang w:bidi="ar"/>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color w:val="000000"/>
                <w:kern w:val="0"/>
                <w:szCs w:val="21"/>
                <w:lang w:bidi="ar"/>
              </w:rPr>
            </w:pPr>
            <w:r>
              <w:rPr>
                <w:rFonts w:hint="eastAsia" w:ascii="仿宋_GB2312" w:hAnsi="仿宋_GB2312" w:eastAsia="仿宋_GB2312" w:cs="仿宋_GB2312"/>
                <w:color w:val="000000"/>
                <w:kern w:val="0"/>
                <w:szCs w:val="21"/>
                <w:lang w:bidi="ar"/>
              </w:rPr>
              <w:t>生态效益（5分）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textAlignment w:val="center"/>
              <w:rPr>
                <w:rFonts w:hint="eastAsia" w:ascii="仿宋_GB2312" w:hAnsi="仿宋_GB2312" w:eastAsia="仿宋_GB2312" w:cs="仿宋_GB2312"/>
                <w:color w:val="000000"/>
                <w:kern w:val="0"/>
                <w:szCs w:val="21"/>
                <w:lang w:bidi="ar"/>
              </w:rPr>
            </w:pPr>
            <w:r>
              <w:rPr>
                <w:rFonts w:hint="eastAsia" w:ascii="仿宋_GB2312" w:hAnsi="仿宋_GB2312" w:eastAsia="仿宋_GB2312" w:cs="仿宋_GB2312"/>
                <w:color w:val="000000"/>
                <w:kern w:val="0"/>
                <w:szCs w:val="21"/>
                <w:lang w:bidi="ar"/>
              </w:rPr>
              <w:t>部门及所属二级单位履行职责对生态环境所带来的直接或间接影响。</w:t>
            </w:r>
          </w:p>
          <w:p>
            <w:pPr>
              <w:widowControl/>
              <w:spacing w:line="240" w:lineRule="exact"/>
              <w:jc w:val="left"/>
              <w:textAlignment w:val="center"/>
              <w:rPr>
                <w:rFonts w:hint="eastAsia" w:ascii="仿宋_GB2312" w:hAnsi="仿宋_GB2312" w:eastAsia="仿宋_GB2312" w:cs="仿宋_GB2312"/>
                <w:color w:val="000000"/>
                <w:kern w:val="0"/>
                <w:szCs w:val="21"/>
                <w:lang w:bidi="ar"/>
              </w:rPr>
            </w:pPr>
            <w:r>
              <w:rPr>
                <w:rFonts w:hint="eastAsia" w:ascii="仿宋_GB2312" w:hAnsi="仿宋_GB2312" w:eastAsia="仿宋_GB2312" w:cs="仿宋_GB2312"/>
                <w:color w:val="000000"/>
                <w:kern w:val="0"/>
                <w:szCs w:val="21"/>
                <w:lang w:bidi="ar"/>
              </w:rPr>
              <w:t>评价要点：</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1.通过预算支出项目的实施，绿色、节能环保新技术的应用和推广，明显带动各环节的节能减排，也具有一定的环境效益；</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2.通过履职有效地控制虚假、伪劣、霉变等劣质产品进入市场，影响了人民生活质量，净化地市场环境；</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3.通过预算支出项目的实施，是否达到减少污染物排放；</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4.通过预算支出项目的实施，周围环境得到了整治，面貌得到了改善。</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textAlignment w:val="center"/>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lang w:bidi="ar"/>
              </w:rPr>
              <w:t>根据不同部门履职的内容和特点，具体测算部门履职产生的生态效益。</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743" w:type="dxa"/>
            <w:vMerge w:val="continue"/>
            <w:tcBorders>
              <w:left w:val="single" w:color="000000" w:sz="4" w:space="0"/>
              <w:bottom w:val="single" w:color="auto" w:sz="4" w:space="0"/>
              <w:right w:val="single" w:color="000000" w:sz="4" w:space="0"/>
            </w:tcBorders>
            <w:vAlign w:val="center"/>
          </w:tcPr>
          <w:p>
            <w:pPr>
              <w:widowControl/>
              <w:spacing w:line="240" w:lineRule="exact"/>
              <w:jc w:val="lef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服务对象满意度（5）</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通过对部门（单位）的服务对象对部门履职效果的满意程度调查，反映和考核社会公众或服务对象对部门履职的满意度。</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rPr>
                <w:rFonts w:hint="eastAsia" w:ascii="仿宋_GB2312" w:hAnsi="仿宋_GB2312" w:eastAsia="仿宋_GB2312" w:cs="仿宋_GB2312"/>
                <w:kern w:val="0"/>
                <w:szCs w:val="21"/>
              </w:rPr>
            </w:pPr>
            <w:r>
              <w:rPr>
                <w:rFonts w:hint="eastAsia" w:ascii="仿宋_GB2312" w:hAnsi="仿宋_GB2312" w:eastAsia="仿宋_GB2312" w:cs="仿宋_GB2312"/>
                <w:kern w:val="0"/>
                <w:szCs w:val="21"/>
              </w:rPr>
              <w:t>按照满意度调查的优秀、良好、合格、不合格给予该项指标打分：</w:t>
            </w:r>
          </w:p>
          <w:p>
            <w:pPr>
              <w:widowControl/>
              <w:spacing w:line="240" w:lineRule="exact"/>
              <w:rPr>
                <w:rFonts w:hint="eastAsia" w:ascii="仿宋_GB2312" w:hAnsi="仿宋_GB2312" w:eastAsia="仿宋_GB2312" w:cs="仿宋_GB2312"/>
                <w:szCs w:val="21"/>
              </w:rPr>
            </w:pPr>
            <w:r>
              <w:rPr>
                <w:rFonts w:hint="eastAsia" w:ascii="仿宋_GB2312" w:hAnsi="仿宋_GB2312" w:eastAsia="仿宋_GB2312" w:cs="仿宋_GB2312"/>
                <w:kern w:val="0"/>
                <w:szCs w:val="21"/>
              </w:rPr>
              <w:t>优秀（5）；良好（3）；合格（1）；不合格（0）。</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5</w:t>
            </w:r>
          </w:p>
        </w:tc>
      </w:tr>
    </w:tbl>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hint="eastAsia" w:ascii="仿宋" w:hAnsi="仿宋" w:eastAsia="仿宋" w:cs="仿宋"/>
          <w:sz w:val="32"/>
          <w:szCs w:val="32"/>
          <w:lang w:val="en-US" w:eastAsia="zh-CN"/>
        </w:rPr>
      </w:pPr>
    </w:p>
    <w:sectPr>
      <w:footerReference r:id="rId3" w:type="default"/>
      <w:footerReference r:id="rId4" w:type="even"/>
      <w:pgSz w:w="11906" w:h="16838"/>
      <w:pgMar w:top="1985" w:right="1418" w:bottom="1985" w:left="1418" w:header="851" w:footer="1701" w:gutter="0"/>
      <w:cols w:space="425" w:num="1"/>
      <w:docGrid w:type="lines" w:linePitch="313"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新宋体">
    <w:panose1 w:val="02010609030101010101"/>
    <w:charset w:val="86"/>
    <w:family w:val="modern"/>
    <w:pitch w:val="default"/>
    <w:sig w:usb0="00000203" w:usb1="288F0000" w:usb2="0000000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framePr w:wrap="around" w:vAnchor="text" w:hAnchor="margin" w:xAlign="outside" w:y="1"/>
      <w:rPr>
        <w:rStyle w:val="11"/>
        <w:rFonts w:ascii="宋体" w:hAnsi="宋体" w:eastAsia="宋体"/>
        <w:sz w:val="28"/>
        <w:szCs w:val="28"/>
      </w:rPr>
    </w:pPr>
    <w:r>
      <w:rPr>
        <w:rStyle w:val="11"/>
        <w:rFonts w:hint="eastAsia" w:ascii="宋体" w:hAnsi="宋体" w:eastAsia="宋体"/>
        <w:sz w:val="28"/>
        <w:szCs w:val="28"/>
      </w:rPr>
      <w:t>-</w:t>
    </w:r>
    <w:r>
      <w:rPr>
        <w:rStyle w:val="11"/>
        <w:rFonts w:ascii="宋体" w:hAnsi="宋体" w:eastAsia="宋体"/>
        <w:sz w:val="28"/>
        <w:szCs w:val="28"/>
      </w:rPr>
      <w:fldChar w:fldCharType="begin"/>
    </w:r>
    <w:r>
      <w:rPr>
        <w:rStyle w:val="11"/>
        <w:rFonts w:ascii="宋体" w:hAnsi="宋体" w:eastAsia="宋体"/>
        <w:sz w:val="28"/>
        <w:szCs w:val="28"/>
      </w:rPr>
      <w:instrText xml:space="preserve">PAGE  </w:instrText>
    </w:r>
    <w:r>
      <w:rPr>
        <w:rStyle w:val="11"/>
        <w:rFonts w:ascii="宋体" w:hAnsi="宋体" w:eastAsia="宋体"/>
        <w:sz w:val="28"/>
        <w:szCs w:val="28"/>
      </w:rPr>
      <w:fldChar w:fldCharType="separate"/>
    </w:r>
    <w:r>
      <w:rPr>
        <w:rStyle w:val="11"/>
        <w:rFonts w:ascii="宋体" w:hAnsi="宋体" w:eastAsia="宋体"/>
        <w:sz w:val="28"/>
        <w:szCs w:val="28"/>
      </w:rPr>
      <w:t>6</w:t>
    </w:r>
    <w:r>
      <w:rPr>
        <w:rStyle w:val="11"/>
        <w:rFonts w:ascii="宋体" w:hAnsi="宋体" w:eastAsia="宋体"/>
        <w:sz w:val="28"/>
        <w:szCs w:val="28"/>
      </w:rPr>
      <w:fldChar w:fldCharType="end"/>
    </w:r>
    <w:r>
      <w:rPr>
        <w:rStyle w:val="11"/>
        <w:rFonts w:hint="eastAsia" w:ascii="宋体" w:hAnsi="宋体" w:eastAsia="宋体"/>
        <w:sz w:val="28"/>
        <w:szCs w:val="28"/>
      </w:rPr>
      <w:t>-</w:t>
    </w:r>
  </w:p>
  <w:p>
    <w:pPr>
      <w:pStyle w:val="5"/>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framePr w:wrap="around" w:vAnchor="text" w:hAnchor="margin" w:xAlign="outside" w:y="1"/>
      <w:rPr>
        <w:rStyle w:val="11"/>
      </w:rPr>
    </w:pPr>
    <w:r>
      <w:rPr>
        <w:rStyle w:val="11"/>
      </w:rPr>
      <w:fldChar w:fldCharType="begin"/>
    </w:r>
    <w:r>
      <w:rPr>
        <w:rStyle w:val="11"/>
      </w:rPr>
      <w:instrText xml:space="preserve">PAGE  </w:instrText>
    </w:r>
    <w:r>
      <w:rPr>
        <w:rStyle w:val="11"/>
      </w:rPr>
      <w:fldChar w:fldCharType="end"/>
    </w:r>
  </w:p>
  <w:p>
    <w:pPr>
      <w:pStyle w:val="5"/>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313"/>
  <w:displayHorizontalDrawingGridEvery w:val="0"/>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NzVjZjRjNmMxMjE1MDg4OTJhZmE0OTM3NDdkNjVhODEifQ=="/>
  </w:docVars>
  <w:rsids>
    <w:rsidRoot w:val="00042933"/>
    <w:rsid w:val="00002F2C"/>
    <w:rsid w:val="000070A8"/>
    <w:rsid w:val="00016CA4"/>
    <w:rsid w:val="000324AE"/>
    <w:rsid w:val="00042933"/>
    <w:rsid w:val="0008033E"/>
    <w:rsid w:val="0008759D"/>
    <w:rsid w:val="00094F2B"/>
    <w:rsid w:val="000B0A83"/>
    <w:rsid w:val="000B6322"/>
    <w:rsid w:val="000C2CC1"/>
    <w:rsid w:val="000E4A5A"/>
    <w:rsid w:val="00103547"/>
    <w:rsid w:val="0017068B"/>
    <w:rsid w:val="00185A3C"/>
    <w:rsid w:val="00192D5A"/>
    <w:rsid w:val="001C59B3"/>
    <w:rsid w:val="001E0886"/>
    <w:rsid w:val="001F7E31"/>
    <w:rsid w:val="002071BC"/>
    <w:rsid w:val="00225AE6"/>
    <w:rsid w:val="00235F0F"/>
    <w:rsid w:val="00255783"/>
    <w:rsid w:val="00290BA1"/>
    <w:rsid w:val="002A6AEA"/>
    <w:rsid w:val="002F2268"/>
    <w:rsid w:val="003C50C2"/>
    <w:rsid w:val="0041099F"/>
    <w:rsid w:val="00436A1D"/>
    <w:rsid w:val="004379D7"/>
    <w:rsid w:val="004A68B1"/>
    <w:rsid w:val="004B64F3"/>
    <w:rsid w:val="004E3B64"/>
    <w:rsid w:val="005020C5"/>
    <w:rsid w:val="00567FE6"/>
    <w:rsid w:val="0058162A"/>
    <w:rsid w:val="005B3616"/>
    <w:rsid w:val="005E12FA"/>
    <w:rsid w:val="00683167"/>
    <w:rsid w:val="006A5056"/>
    <w:rsid w:val="006E64C9"/>
    <w:rsid w:val="007048FF"/>
    <w:rsid w:val="00712100"/>
    <w:rsid w:val="0071700D"/>
    <w:rsid w:val="00742652"/>
    <w:rsid w:val="00772600"/>
    <w:rsid w:val="007D5D41"/>
    <w:rsid w:val="007F01F9"/>
    <w:rsid w:val="00856BA1"/>
    <w:rsid w:val="00867620"/>
    <w:rsid w:val="008709E0"/>
    <w:rsid w:val="008A6A10"/>
    <w:rsid w:val="008A6A31"/>
    <w:rsid w:val="00904AF4"/>
    <w:rsid w:val="00905542"/>
    <w:rsid w:val="00917700"/>
    <w:rsid w:val="00956F74"/>
    <w:rsid w:val="009B0B5F"/>
    <w:rsid w:val="009C04DA"/>
    <w:rsid w:val="009C4C62"/>
    <w:rsid w:val="009E3627"/>
    <w:rsid w:val="009F53E7"/>
    <w:rsid w:val="00A11BF8"/>
    <w:rsid w:val="00A14A33"/>
    <w:rsid w:val="00A6449D"/>
    <w:rsid w:val="00A768DB"/>
    <w:rsid w:val="00AA09C8"/>
    <w:rsid w:val="00AD5F30"/>
    <w:rsid w:val="00B0681D"/>
    <w:rsid w:val="00B9023F"/>
    <w:rsid w:val="00BC1FDC"/>
    <w:rsid w:val="00BD0FD8"/>
    <w:rsid w:val="00C44804"/>
    <w:rsid w:val="00C6362A"/>
    <w:rsid w:val="00C81363"/>
    <w:rsid w:val="00CB27A5"/>
    <w:rsid w:val="00CD55ED"/>
    <w:rsid w:val="00CD63C0"/>
    <w:rsid w:val="00CE62A0"/>
    <w:rsid w:val="00D21F0C"/>
    <w:rsid w:val="00D366C1"/>
    <w:rsid w:val="00D877F7"/>
    <w:rsid w:val="00DB2D43"/>
    <w:rsid w:val="00E266F1"/>
    <w:rsid w:val="00EB16A8"/>
    <w:rsid w:val="00EC7904"/>
    <w:rsid w:val="00F72E93"/>
    <w:rsid w:val="00F87A11"/>
    <w:rsid w:val="00FB7E01"/>
    <w:rsid w:val="00FE5F4C"/>
    <w:rsid w:val="00FF39F6"/>
    <w:rsid w:val="05374814"/>
    <w:rsid w:val="0F8F6BFC"/>
    <w:rsid w:val="0FC54BE7"/>
    <w:rsid w:val="3791647A"/>
    <w:rsid w:val="428E5152"/>
    <w:rsid w:val="450A0704"/>
    <w:rsid w:val="455969D8"/>
    <w:rsid w:val="526A3656"/>
    <w:rsid w:val="5D643D56"/>
    <w:rsid w:val="69BD0A47"/>
    <w:rsid w:val="71A911C9"/>
    <w:rsid w:val="77A86A4F"/>
    <w:rsid w:val="7CCC213E"/>
    <w:rsid w:val="7D2C59B6"/>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nhideWhenUsed="0"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5"/>
    <w:qFormat/>
    <w:uiPriority w:val="9"/>
    <w:pPr>
      <w:spacing w:before="100" w:beforeAutospacing="1" w:after="100" w:afterAutospacing="1"/>
      <w:jc w:val="left"/>
      <w:outlineLvl w:val="0"/>
    </w:pPr>
    <w:rPr>
      <w:rFonts w:hint="eastAsia" w:ascii="宋体" w:hAnsi="宋体" w:eastAsia="宋体" w:cs="宋体"/>
      <w:b/>
      <w:kern w:val="44"/>
      <w:sz w:val="48"/>
      <w:szCs w:val="48"/>
    </w:rPr>
  </w:style>
  <w:style w:type="character" w:default="1" w:styleId="9">
    <w:name w:val="Default Paragraph Font"/>
    <w:semiHidden/>
    <w:unhideWhenUsed/>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3">
    <w:name w:val="Body Text"/>
    <w:basedOn w:val="1"/>
    <w:qFormat/>
    <w:uiPriority w:val="99"/>
    <w:pPr>
      <w:autoSpaceDE w:val="0"/>
      <w:autoSpaceDN w:val="0"/>
      <w:adjustRightInd w:val="0"/>
      <w:snapToGrid w:val="0"/>
      <w:spacing w:line="588" w:lineRule="atLeast"/>
    </w:pPr>
    <w:rPr>
      <w:rFonts w:ascii="宋体" w:hAnsi="宋体" w:eastAsia="仿宋_GB2312"/>
      <w:spacing w:val="-2"/>
      <w:sz w:val="32"/>
      <w:szCs w:val="24"/>
    </w:rPr>
  </w:style>
  <w:style w:type="paragraph" w:styleId="4">
    <w:name w:val="Plain Text"/>
    <w:basedOn w:val="1"/>
    <w:link w:val="14"/>
    <w:qFormat/>
    <w:uiPriority w:val="0"/>
    <w:rPr>
      <w:rFonts w:ascii="宋体" w:hAnsi="Courier New" w:eastAsia="宋体" w:cs="Courier New"/>
      <w:szCs w:val="21"/>
    </w:rPr>
  </w:style>
  <w:style w:type="paragraph" w:styleId="5">
    <w:name w:val="footer"/>
    <w:basedOn w:val="1"/>
    <w:link w:val="13"/>
    <w:unhideWhenUsed/>
    <w:qFormat/>
    <w:uiPriority w:val="99"/>
    <w:pPr>
      <w:tabs>
        <w:tab w:val="center" w:pos="4153"/>
        <w:tab w:val="right" w:pos="8306"/>
      </w:tabs>
      <w:snapToGrid w:val="0"/>
      <w:jc w:val="left"/>
    </w:pPr>
    <w:rPr>
      <w:sz w:val="18"/>
      <w:szCs w:val="18"/>
    </w:rPr>
  </w:style>
  <w:style w:type="paragraph" w:styleId="6">
    <w:name w:val="header"/>
    <w:basedOn w:val="1"/>
    <w:link w:val="12"/>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Normal (Web)"/>
    <w:basedOn w:val="1"/>
    <w:qFormat/>
    <w:uiPriority w:val="99"/>
    <w:pPr>
      <w:widowControl/>
      <w:spacing w:before="100" w:beforeAutospacing="1" w:after="100" w:afterAutospacing="1"/>
      <w:jc w:val="left"/>
    </w:pPr>
    <w:rPr>
      <w:rFonts w:ascii="宋体" w:hAnsi="宋体" w:eastAsia="宋体" w:cs="宋体"/>
      <w:kern w:val="0"/>
      <w:sz w:val="24"/>
      <w:szCs w:val="24"/>
    </w:rPr>
  </w:style>
  <w:style w:type="character" w:styleId="10">
    <w:name w:val="Strong"/>
    <w:basedOn w:val="9"/>
    <w:qFormat/>
    <w:uiPriority w:val="22"/>
    <w:rPr>
      <w:b/>
      <w:bCs/>
    </w:rPr>
  </w:style>
  <w:style w:type="character" w:styleId="11">
    <w:name w:val="page number"/>
    <w:basedOn w:val="9"/>
    <w:semiHidden/>
    <w:unhideWhenUsed/>
    <w:qFormat/>
    <w:uiPriority w:val="99"/>
  </w:style>
  <w:style w:type="character" w:customStyle="1" w:styleId="12">
    <w:name w:val="页眉 Char"/>
    <w:basedOn w:val="9"/>
    <w:link w:val="6"/>
    <w:qFormat/>
    <w:uiPriority w:val="99"/>
    <w:rPr>
      <w:sz w:val="18"/>
      <w:szCs w:val="18"/>
    </w:rPr>
  </w:style>
  <w:style w:type="character" w:customStyle="1" w:styleId="13">
    <w:name w:val="页脚 Char"/>
    <w:basedOn w:val="9"/>
    <w:link w:val="5"/>
    <w:qFormat/>
    <w:uiPriority w:val="99"/>
    <w:rPr>
      <w:sz w:val="18"/>
      <w:szCs w:val="18"/>
    </w:rPr>
  </w:style>
  <w:style w:type="character" w:customStyle="1" w:styleId="14">
    <w:name w:val="纯文本 Char"/>
    <w:basedOn w:val="9"/>
    <w:link w:val="4"/>
    <w:qFormat/>
    <w:uiPriority w:val="0"/>
    <w:rPr>
      <w:rFonts w:ascii="宋体" w:hAnsi="Courier New" w:eastAsia="宋体" w:cs="Courier New"/>
      <w:szCs w:val="21"/>
    </w:rPr>
  </w:style>
  <w:style w:type="character" w:customStyle="1" w:styleId="15">
    <w:name w:val="标题 1 Char"/>
    <w:basedOn w:val="9"/>
    <w:link w:val="2"/>
    <w:qFormat/>
    <w:uiPriority w:val="9"/>
    <w:rPr>
      <w:rFonts w:ascii="宋体" w:hAnsi="宋体" w:eastAsia="宋体" w:cs="宋体"/>
      <w:b/>
      <w:kern w:val="44"/>
      <w:sz w:val="48"/>
      <w:szCs w:val="48"/>
    </w:rPr>
  </w:style>
  <w:style w:type="character" w:customStyle="1" w:styleId="16">
    <w:name w:val="font31"/>
    <w:basedOn w:val="9"/>
    <w:qFormat/>
    <w:uiPriority w:val="0"/>
    <w:rPr>
      <w:rFonts w:hint="eastAsia" w:ascii="宋体" w:hAnsi="宋体" w:eastAsia="宋体" w:cs="宋体"/>
      <w:b/>
      <w:color w:val="000000"/>
      <w:sz w:val="36"/>
      <w:szCs w:val="36"/>
      <w:u w:val="non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6</Pages>
  <Words>795</Words>
  <Characters>4535</Characters>
  <Lines>37</Lines>
  <Paragraphs>10</Paragraphs>
  <TotalTime>21</TotalTime>
  <ScaleCrop>false</ScaleCrop>
  <LinksUpToDate>false</LinksUpToDate>
  <CharactersWithSpaces>5320</CharactersWithSpaces>
  <Application>WPS Office_12.1.0.16417_F1E327BC-269C-435d-A152-05C5408002CA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2016-02-22T07:07:00Z</dcterms:created>
  <dc:creator>Administrator</dc:creator>
  <cp:lastModifiedBy>童话故事书</cp:lastModifiedBy>
  <cp:lastPrinted>2018-11-29T03:23:00Z</cp:lastPrinted>
  <dcterms:modified xsi:type="dcterms:W3CDTF">2024-04-03T07:25:14Z</dcterms:modified>
  <cp:revision>72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2052-12.1.0.16417</vt:lpwstr>
  </property>
  <property fmtid="{D5CDD505-2E9C-101B-9397-08002B2CF9AE}" pid="3" name="ICV">
    <vt:lpwstr>144E660AF83D45EE9376DDEB19F2BBB0_12</vt:lpwstr>
  </property>
</Properties>
</file>