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80" w:lineRule="exact"/>
        <w:jc w:val="left"/>
        <w:rPr>
          <w:rFonts w:ascii="宋体" w:hAnsi="宋体" w:eastAsia="宋体" w:cs="宋体"/>
          <w:b/>
          <w:color w:val="000000"/>
          <w:kern w:val="0"/>
          <w:sz w:val="44"/>
          <w:szCs w:val="44"/>
          <w:shd w:val="clear" w:color="auto" w:fill="FFFFFF"/>
          <w:lang w:bidi="ar"/>
        </w:rPr>
      </w:pPr>
    </w:p>
    <w:p>
      <w:pPr>
        <w:spacing w:line="480" w:lineRule="exact"/>
        <w:jc w:val="center"/>
        <w:rPr>
          <w:rFonts w:hint="eastAsia" w:ascii="宋体" w:hAnsi="宋体"/>
          <w:b/>
          <w:sz w:val="44"/>
          <w:szCs w:val="44"/>
          <w:lang w:eastAsia="zh-CN"/>
        </w:rPr>
      </w:pPr>
      <w:r>
        <w:rPr>
          <w:rFonts w:hint="eastAsia" w:ascii="宋体" w:hAnsi="宋体"/>
          <w:b/>
          <w:sz w:val="44"/>
          <w:szCs w:val="44"/>
          <w:lang w:eastAsia="zh-CN"/>
        </w:rPr>
        <w:t>隆尧县</w:t>
      </w:r>
      <w:r>
        <w:rPr>
          <w:rFonts w:hint="eastAsia" w:ascii="宋体" w:hAnsi="宋体"/>
          <w:b/>
          <w:sz w:val="44"/>
          <w:szCs w:val="44"/>
          <w:lang w:val="en-US" w:eastAsia="zh-CN"/>
        </w:rPr>
        <w:t>统计局</w:t>
      </w: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8"/>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lang w:bidi="ar"/>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w:t>
            </w:r>
            <w:bookmarkStart w:id="0" w:name="_GoBack"/>
            <w:bookmarkEnd w:id="0"/>
            <w:r>
              <w:rPr>
                <w:rFonts w:hint="eastAsia" w:ascii="仿宋_GB2312" w:hAnsi="仿宋_GB2312" w:eastAsia="仿宋_GB2312" w:cs="仿宋_GB2312"/>
                <w:color w:val="000000"/>
                <w:kern w:val="0"/>
                <w:szCs w:val="21"/>
                <w:lang w:bidi="ar"/>
              </w:rPr>
              <w:t>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default" w:eastAsiaTheme="minorEastAsia"/>
                <w:szCs w:val="21"/>
                <w:lang w:val="en-US" w:eastAsia="zh-CN"/>
              </w:rPr>
            </w:pPr>
            <w:r>
              <w:rPr>
                <w:rFonts w:hint="eastAsia"/>
                <w:szCs w:val="21"/>
                <w:lang w:val="en-US" w:eastAsia="zh-CN"/>
              </w:rPr>
              <w:t>10</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center"/>
              <w:rPr>
                <w:rFonts w:hint="default" w:eastAsiaTheme="minorEastAsia"/>
                <w:szCs w:val="21"/>
                <w:lang w:val="en-US" w:eastAsia="zh-CN"/>
              </w:rPr>
            </w:pPr>
            <w:r>
              <w:rPr>
                <w:rFonts w:hint="eastAsia"/>
                <w:szCs w:val="21"/>
                <w:lang w:val="en-US" w:eastAsia="zh-CN"/>
              </w:rPr>
              <w:t>15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center"/>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80" w:hRule="atLeast"/>
        </w:trPr>
        <w:tc>
          <w:tcPr>
            <w:tcW w:w="1522" w:type="dxa"/>
            <w:gridSpan w:val="2"/>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rFonts w:hint="eastAsia" w:ascii="仿宋_GB2312" w:hAnsi="仿宋_GB2312" w:eastAsia="仿宋_GB2312" w:cs="仿宋_GB2312"/>
                <w:szCs w:val="21"/>
                <w:lang w:eastAsia="zh-CN"/>
              </w:rPr>
            </w:pPr>
            <w:r>
              <w:rPr>
                <w:rFonts w:hint="eastAsia" w:ascii="仿宋_GB2312" w:hAnsi="仿宋_GB2312" w:eastAsia="仿宋_GB2312" w:cs="仿宋_GB2312"/>
                <w:szCs w:val="21"/>
                <w:lang w:eastAsia="zh-CN"/>
              </w:rPr>
              <w:t>总分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rFonts w:hint="default" w:ascii="仿宋_GB2312" w:hAnsi="仿宋_GB2312" w:eastAsia="仿宋_GB2312" w:cs="仿宋_GB2312"/>
                <w:kern w:val="0"/>
                <w:szCs w:val="21"/>
                <w:lang w:val="en-US" w:eastAsia="zh-CN" w:bidi="ar"/>
              </w:rPr>
            </w:pPr>
            <w:r>
              <w:rPr>
                <w:rFonts w:hint="eastAsia" w:ascii="仿宋_GB2312" w:hAnsi="仿宋_GB2312" w:eastAsia="仿宋_GB2312" w:cs="仿宋_GB2312"/>
                <w:kern w:val="0"/>
                <w:szCs w:val="21"/>
                <w:lang w:val="en-US" w:eastAsia="zh-CN" w:bidi="ar"/>
              </w:rPr>
              <w:t>100分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kern w:val="0"/>
                <w:szCs w:val="21"/>
                <w:lang w:bidi="ar"/>
              </w:rPr>
            </w:pP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kern w:val="0"/>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96分</w:t>
            </w:r>
          </w:p>
        </w:tc>
      </w:tr>
    </w:tbl>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spacing w:line="240" w:lineRule="exact"/>
        <w:rPr>
          <w:rFonts w:ascii="仿宋" w:hAnsi="仿宋" w:eastAsia="仿宋" w:cs="仿宋"/>
          <w:sz w:val="32"/>
          <w:szCs w:val="32"/>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lang w:val="en-US" w:eastAsia="zh-CN"/>
        </w:rPr>
      </w:pP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隆尧县统计局</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小标宋简体" w:hAnsi="方正小标宋简体" w:eastAsia="方正小标宋简体" w:cs="方正小标宋简体"/>
          <w:b w:val="0"/>
          <w:bCs w:val="0"/>
          <w:sz w:val="44"/>
          <w:szCs w:val="44"/>
          <w:lang w:val="en-US" w:eastAsia="zh-CN"/>
        </w:rPr>
      </w:pPr>
      <w:r>
        <w:rPr>
          <w:rFonts w:hint="eastAsia" w:ascii="方正小标宋简体" w:hAnsi="方正小标宋简体" w:eastAsia="方正小标宋简体" w:cs="方正小标宋简体"/>
          <w:b w:val="0"/>
          <w:bCs w:val="0"/>
          <w:sz w:val="44"/>
          <w:szCs w:val="44"/>
          <w:lang w:val="en-US" w:eastAsia="zh-CN"/>
        </w:rPr>
        <w:t>部门整体支出绩效评价报告</w:t>
      </w:r>
    </w:p>
    <w:p>
      <w:pPr>
        <w:numPr>
          <w:ilvl w:val="0"/>
          <w:numId w:val="0"/>
        </w:numPr>
        <w:spacing w:line="240" w:lineRule="auto"/>
        <w:ind w:firstLine="640" w:firstLineChars="2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一、基本概况。</w:t>
      </w:r>
    </w:p>
    <w:p>
      <w:pPr>
        <w:adjustRightInd w:val="0"/>
        <w:spacing w:line="600" w:lineRule="exact"/>
        <w:ind w:firstLine="64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（一）</w:t>
      </w:r>
      <w:r>
        <w:rPr>
          <w:rFonts w:hint="eastAsia" w:ascii="仿宋_GB2312" w:hAnsi="仿宋_GB2312" w:eastAsia="仿宋_GB2312" w:cs="仿宋_GB2312"/>
          <w:sz w:val="32"/>
          <w:szCs w:val="32"/>
          <w:lang w:val="en-US" w:eastAsia="zh-CN"/>
        </w:rPr>
        <w:t>部门主要职责职能：</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 </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 xml:space="preserve">贯彻执行国家、省、市统计工作的方针政策、法律法规和规章，制订全县相关政策措施和管理办法，经县政府批准后组织实施。 </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制定县市统计改革、统计现代化建设规划、统计调查计划和地方统计调查标准、统计调查制度，监督检查统计法律、法规实施情况，指导全县统计工作。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承担组织领导和协调管理全县统计工作，确保统计数据真实、准确、及时的责任。</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贯彻执行国家国民经济核算制度，组织落实全县国民经济核算制度和投入产出调查，核算全县地区生产总值，整理、测算和提供国民经济核算资料，监督管理全县国民经济核算工作。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组织完成国家和省部署的国情国力普查及重要调查任务；研究提出重大县情县力普查和抽样调查计划并组织实施，汇总、整理和提供有关县情县力方面的统计数据。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组织实施农林牧渔业、农业产值、农产品产量、农业产业化、工业、能源、社会、人口、工资、科技、消费、价格、城镇劳动力、城镇就业、建筑业、固定资产投资、房地产开发、高新技术产业、我市所属省级和市级工业园区主要经济指标、批发和零售业、住宿和餐饮业、运输邮电业、其他服务业、服务业个体户、对外经济和旅游、民营经济、成品油流通、县社会经济基本情况、乡村社会经济、资源环境、境外来中国大陆工作专家、服务业财务、规模以下工业抽样、企业（集团）、城镇和农村住户、经济社会重点问题等统计调查，收集、汇总、整理和提供统计数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组织实施社会发展水平、县域经济发展、节能降耗、城镇化发展、全面小康及农村小康建设进程、农村贫困、资源循环利用、妇女儿童、企业景气等统计监测，收集、整理和提供统计数据。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8、</w:t>
      </w:r>
      <w:r>
        <w:rPr>
          <w:rFonts w:hint="eastAsia" w:ascii="仿宋_GB2312" w:hAnsi="仿宋_GB2312" w:eastAsia="仿宋_GB2312" w:cs="仿宋_GB2312"/>
          <w:sz w:val="32"/>
          <w:szCs w:val="32"/>
        </w:rPr>
        <w:t>综合整理和提供财政、金融、个体、私营以及混合经济税收、出口、地质勘查、文化教育、卫生、社会保障、公用事业、房屋、对外贸易、对内经济技术合作及引进内资等基本统计数据。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9、</w:t>
      </w:r>
      <w:r>
        <w:rPr>
          <w:rFonts w:hint="eastAsia" w:ascii="仿宋_GB2312" w:hAnsi="仿宋_GB2312" w:eastAsia="仿宋_GB2312" w:cs="仿宋_GB2312"/>
          <w:sz w:val="32"/>
          <w:szCs w:val="32"/>
        </w:rPr>
        <w:t>组织各乡镇、各部门的经济、社会、科技统计调查，统一核定、管理、公布全县性基本统计资料，定期发布全县国民经济和社会发展情况的统计信息，组织建立统计信息共享制度和发布制度。</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10、</w:t>
      </w:r>
      <w:r>
        <w:rPr>
          <w:rFonts w:hint="eastAsia" w:ascii="仿宋_GB2312" w:hAnsi="仿宋_GB2312" w:eastAsia="仿宋_GB2312" w:cs="仿宋_GB2312"/>
          <w:sz w:val="32"/>
          <w:szCs w:val="32"/>
        </w:rPr>
        <w:t>对国民经济、社会发展、科技进步等情况进行统计分析、统计预测和统计监督，向县委、县政府及有关部门提供统计信息和咨询建议。</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11、</w:t>
      </w:r>
      <w:r>
        <w:rPr>
          <w:rFonts w:hint="eastAsia" w:ascii="仿宋_GB2312" w:hAnsi="仿宋_GB2312" w:eastAsia="仿宋_GB2312" w:cs="仿宋_GB2312"/>
          <w:sz w:val="32"/>
          <w:szCs w:val="32"/>
        </w:rPr>
        <w:t>组织管理、审批（备案）各部门、各乡镇统计调查项目、调查计划、调查方案；组织管理全县统计登记工作；指导专业统计基础工作、统计基层业务和规范化建设；组织建立统计信息管理制度，建立健全统计数据质量审核、监控和评估制度，开展对重要统计数据的审核、监控和评估；依法监督管理涉外调查活动。</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贯彻执行国家统计信息库和网络的基本标准和运行规则；管理全县国家统计信息自动化系统和统计数据库体系；管理全县统计数据库网络，指导全县统计信息化系统建设。</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13、</w:t>
      </w:r>
      <w:r>
        <w:rPr>
          <w:rFonts w:hint="eastAsia" w:ascii="仿宋_GB2312" w:hAnsi="仿宋_GB2312" w:eastAsia="仿宋_GB2312" w:cs="仿宋_GB2312"/>
          <w:sz w:val="32"/>
          <w:szCs w:val="32"/>
        </w:rPr>
        <w:t>协助有关部门组织管理统计专业技术资格考试、职务评聘工作；配合上级统计部门组织管理统计从业资格认定和持证上岗工作；</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14、</w:t>
      </w:r>
      <w:r>
        <w:rPr>
          <w:rFonts w:hint="eastAsia" w:ascii="仿宋_GB2312" w:hAnsi="仿宋_GB2312" w:eastAsia="仿宋_GB2312" w:cs="仿宋_GB2312"/>
          <w:sz w:val="32"/>
          <w:szCs w:val="32"/>
        </w:rPr>
        <w:t>负责全县经济和社会发展目标监测和考核工作；负责县委、县政府交办的有关统计数字监测与统计考核任务。</w:t>
      </w:r>
    </w:p>
    <w:p>
      <w:pPr>
        <w:adjustRightInd w:val="0"/>
        <w:spacing w:line="600" w:lineRule="exact"/>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15、</w:t>
      </w:r>
      <w:r>
        <w:rPr>
          <w:rFonts w:hint="eastAsia" w:ascii="仿宋_GB2312" w:hAnsi="仿宋_GB2312" w:eastAsia="仿宋_GB2312" w:cs="仿宋_GB2312"/>
          <w:sz w:val="32"/>
          <w:szCs w:val="32"/>
        </w:rPr>
        <w:t>承办市政府交办的其他事项。</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w:t>
      </w:r>
      <w:r>
        <w:rPr>
          <w:rFonts w:hint="eastAsia" w:ascii="仿宋_GB2312" w:hAnsi="仿宋_GB2312" w:eastAsia="仿宋_GB2312" w:cs="仿宋_GB2312"/>
          <w:sz w:val="32"/>
          <w:szCs w:val="32"/>
        </w:rPr>
        <w:t>县</w:t>
      </w:r>
      <w:r>
        <w:rPr>
          <w:rFonts w:hint="eastAsia" w:ascii="仿宋_GB2312" w:hAnsi="仿宋_GB2312" w:eastAsia="仿宋_GB2312" w:cs="仿宋_GB2312"/>
          <w:sz w:val="32"/>
          <w:szCs w:val="32"/>
          <w:lang w:val="en-US" w:eastAsia="zh-CN"/>
        </w:rPr>
        <w:t>统计局</w:t>
      </w:r>
      <w:r>
        <w:rPr>
          <w:rFonts w:hint="eastAsia" w:ascii="仿宋_GB2312" w:hAnsi="仿宋_GB2312" w:eastAsia="仿宋_GB2312" w:cs="仿宋_GB2312"/>
          <w:sz w:val="32"/>
          <w:szCs w:val="32"/>
        </w:rPr>
        <w:t>设下列内设机构</w:t>
      </w:r>
      <w:r>
        <w:rPr>
          <w:rFonts w:hint="eastAsia" w:ascii="仿宋_GB2312" w:hAnsi="仿宋_GB2312" w:eastAsia="仿宋_GB2312" w:cs="仿宋_GB2312"/>
          <w:sz w:val="32"/>
          <w:szCs w:val="32"/>
          <w:lang w:eastAsia="zh-CN"/>
        </w:rPr>
        <w:t>：</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黑体" w:eastAsia="仿宋_GB2312"/>
          <w:sz w:val="32"/>
          <w:szCs w:val="32"/>
        </w:rPr>
        <w:t>办公室</w:t>
      </w:r>
      <w:r>
        <w:rPr>
          <w:rFonts w:hint="eastAsia" w:ascii="仿宋_GB2312" w:hAnsi="黑体" w:eastAsia="仿宋_GB2312"/>
          <w:sz w:val="32"/>
          <w:szCs w:val="32"/>
          <w:lang w:eastAsia="zh-CN"/>
        </w:rPr>
        <w:t>、</w:t>
      </w:r>
      <w:r>
        <w:rPr>
          <w:rFonts w:hint="eastAsia" w:ascii="仿宋_GB2312" w:hAnsi="黑体" w:eastAsia="仿宋_GB2312"/>
          <w:sz w:val="32"/>
          <w:szCs w:val="32"/>
        </w:rPr>
        <w:t>政策法规和执法监督股</w:t>
      </w:r>
      <w:r>
        <w:rPr>
          <w:rFonts w:hint="eastAsia" w:ascii="仿宋_GB2312" w:hAnsi="黑体" w:eastAsia="仿宋_GB2312"/>
          <w:sz w:val="32"/>
          <w:szCs w:val="32"/>
          <w:lang w:eastAsia="zh-CN"/>
        </w:rPr>
        <w:t>、</w:t>
      </w:r>
      <w:r>
        <w:rPr>
          <w:rFonts w:hint="eastAsia" w:ascii="仿宋_GB2312" w:hAnsi="黑体" w:eastAsia="仿宋_GB2312"/>
          <w:sz w:val="32"/>
          <w:szCs w:val="32"/>
        </w:rPr>
        <w:t>农业农村统计股</w:t>
      </w:r>
      <w:r>
        <w:rPr>
          <w:rFonts w:hint="eastAsia" w:ascii="仿宋_GB2312" w:hAnsi="黑体" w:eastAsia="仿宋_GB2312"/>
          <w:sz w:val="32"/>
          <w:szCs w:val="32"/>
          <w:lang w:eastAsia="zh-CN"/>
        </w:rPr>
        <w:t>、</w:t>
      </w:r>
      <w:r>
        <w:rPr>
          <w:rFonts w:hint="eastAsia" w:ascii="仿宋_GB2312" w:hAnsi="黑体" w:eastAsia="仿宋_GB2312"/>
          <w:sz w:val="32"/>
          <w:szCs w:val="32"/>
        </w:rPr>
        <w:t>工业能源投资统计股</w:t>
      </w:r>
      <w:r>
        <w:rPr>
          <w:rFonts w:hint="eastAsia" w:ascii="仿宋_GB2312" w:hAnsi="黑体" w:eastAsia="仿宋_GB2312"/>
          <w:sz w:val="32"/>
          <w:szCs w:val="32"/>
          <w:lang w:eastAsia="zh-CN"/>
        </w:rPr>
        <w:t>、</w:t>
      </w:r>
      <w:r>
        <w:rPr>
          <w:rFonts w:hint="eastAsia" w:ascii="仿宋_GB2312" w:hAnsi="黑体" w:eastAsia="仿宋_GB2312"/>
          <w:sz w:val="32"/>
          <w:szCs w:val="32"/>
        </w:rPr>
        <w:t>综合统计股</w:t>
      </w:r>
      <w:r>
        <w:rPr>
          <w:rFonts w:hint="eastAsia" w:ascii="仿宋_GB2312" w:hAnsi="仿宋_GB2312" w:eastAsia="仿宋_GB2312" w:cs="仿宋_GB2312"/>
          <w:sz w:val="32"/>
          <w:szCs w:val="32"/>
          <w:lang w:eastAsia="zh-CN"/>
        </w:rPr>
        <w:t>。</w:t>
      </w:r>
    </w:p>
    <w:p>
      <w:pPr>
        <w:numPr>
          <w:ilvl w:val="0"/>
          <w:numId w:val="1"/>
        </w:numPr>
        <w:adjustRightInd w:val="0"/>
        <w:spacing w:line="600" w:lineRule="exact"/>
        <w:ind w:left="0" w:leftChars="0" w:firstLine="640" w:firstLineChars="20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rPr>
        <w:t>县</w:t>
      </w:r>
      <w:r>
        <w:rPr>
          <w:rFonts w:hint="eastAsia" w:ascii="仿宋_GB2312" w:hAnsi="仿宋_GB2312" w:eastAsia="仿宋_GB2312" w:cs="仿宋_GB2312"/>
          <w:sz w:val="32"/>
          <w:szCs w:val="32"/>
          <w:lang w:val="en-US" w:eastAsia="zh-CN"/>
        </w:rPr>
        <w:t>统计局</w:t>
      </w:r>
      <w:r>
        <w:rPr>
          <w:rFonts w:hint="eastAsia" w:ascii="仿宋_GB2312" w:hAnsi="仿宋_GB2312" w:eastAsia="仿宋_GB2312" w:cs="仿宋_GB2312"/>
          <w:sz w:val="32"/>
          <w:szCs w:val="32"/>
          <w:lang w:eastAsia="zh-CN"/>
        </w:rPr>
        <w:t>截至</w:t>
      </w:r>
      <w:r>
        <w:rPr>
          <w:rFonts w:hint="eastAsia" w:ascii="仿宋_GB2312" w:hAnsi="仿宋_GB2312" w:eastAsia="仿宋_GB2312" w:cs="仿宋_GB2312"/>
          <w:sz w:val="32"/>
          <w:szCs w:val="32"/>
          <w:lang w:val="en-US" w:eastAsia="zh-CN"/>
        </w:rPr>
        <w:t>2019年末</w:t>
      </w:r>
      <w:r>
        <w:rPr>
          <w:rFonts w:hint="eastAsia" w:ascii="仿宋_GB2312" w:hAnsi="仿宋_GB2312" w:eastAsia="仿宋_GB2312" w:cs="仿宋_GB2312"/>
          <w:sz w:val="32"/>
          <w:szCs w:val="32"/>
          <w:lang w:eastAsia="zh-CN"/>
        </w:rPr>
        <w:t>在职人员共计</w:t>
      </w:r>
      <w:r>
        <w:rPr>
          <w:rFonts w:hint="eastAsia" w:ascii="仿宋_GB2312" w:hAnsi="仿宋_GB2312" w:eastAsia="仿宋_GB2312" w:cs="仿宋_GB2312"/>
          <w:sz w:val="32"/>
          <w:szCs w:val="32"/>
          <w:lang w:val="en-US" w:eastAsia="zh-CN"/>
        </w:rPr>
        <w:t>15人，其中：行</w:t>
      </w:r>
      <w:r>
        <w:rPr>
          <w:rFonts w:hint="eastAsia" w:ascii="仿宋_GB2312" w:hAnsi="仿宋_GB2312" w:eastAsia="仿宋_GB2312" w:cs="仿宋_GB2312"/>
          <w:sz w:val="32"/>
          <w:szCs w:val="32"/>
        </w:rPr>
        <w:t>政编制</w:t>
      </w:r>
      <w:r>
        <w:rPr>
          <w:rFonts w:hint="eastAsia" w:ascii="仿宋_GB2312" w:hAnsi="仿宋_GB2312" w:eastAsia="仿宋_GB2312" w:cs="仿宋_GB2312"/>
          <w:sz w:val="32"/>
          <w:szCs w:val="32"/>
          <w:lang w:val="en-US" w:eastAsia="zh-CN"/>
        </w:rPr>
        <w:t>12</w:t>
      </w:r>
      <w:r>
        <w:rPr>
          <w:rFonts w:hint="eastAsia" w:ascii="仿宋_GB2312" w:hAnsi="仿宋_GB2312" w:eastAsia="仿宋_GB2312" w:cs="仿宋_GB2312"/>
          <w:sz w:val="32"/>
          <w:szCs w:val="32"/>
        </w:rPr>
        <w:t>名</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事业编制人员3人</w:t>
      </w:r>
      <w:r>
        <w:rPr>
          <w:rFonts w:hint="eastAsia" w:ascii="仿宋_GB2312" w:hAnsi="仿宋_GB2312" w:eastAsia="仿宋_GB2312" w:cs="仿宋_GB2312"/>
          <w:sz w:val="32"/>
          <w:szCs w:val="32"/>
        </w:rPr>
        <w:t>。</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（四）</w:t>
      </w:r>
      <w:r>
        <w:rPr>
          <w:rFonts w:hint="eastAsia" w:ascii="仿宋_GB2312" w:hAnsi="仿宋_GB2312" w:eastAsia="仿宋_GB2312" w:cs="仿宋_GB2312"/>
          <w:sz w:val="32"/>
          <w:szCs w:val="32"/>
        </w:rPr>
        <w:t>县</w:t>
      </w:r>
      <w:r>
        <w:rPr>
          <w:rFonts w:hint="eastAsia" w:ascii="仿宋_GB2312" w:hAnsi="仿宋_GB2312" w:eastAsia="仿宋_GB2312" w:cs="仿宋_GB2312"/>
          <w:sz w:val="32"/>
          <w:szCs w:val="32"/>
          <w:lang w:val="en-US" w:eastAsia="zh-CN"/>
        </w:rPr>
        <w:t>统计局共有453489.80元国有资产。其中：家具、用具、装具及装备17080</w:t>
      </w:r>
      <w:r>
        <w:rPr>
          <w:rFonts w:hint="eastAsia" w:ascii="仿宋_GB2312" w:hAnsi="仿宋_GB2312" w:eastAsia="仿宋_GB2312" w:cs="仿宋_GB2312"/>
          <w:sz w:val="32"/>
          <w:szCs w:val="32"/>
          <w:lang w:eastAsia="zh-CN"/>
        </w:rPr>
        <w:t>元，</w:t>
      </w:r>
      <w:r>
        <w:rPr>
          <w:rFonts w:hint="eastAsia" w:ascii="仿宋_GB2312" w:hAnsi="仿宋_GB2312" w:eastAsia="仿宋_GB2312" w:cs="仿宋_GB2312"/>
          <w:sz w:val="32"/>
          <w:szCs w:val="32"/>
          <w:lang w:val="en-US" w:eastAsia="zh-CN"/>
        </w:rPr>
        <w:t>通用设备436409.8</w:t>
      </w:r>
      <w:r>
        <w:rPr>
          <w:rFonts w:hint="eastAsia" w:ascii="仿宋_GB2312" w:hAnsi="仿宋_GB2312" w:eastAsia="仿宋_GB2312" w:cs="仿宋_GB2312"/>
          <w:sz w:val="32"/>
          <w:szCs w:val="32"/>
          <w:lang w:eastAsia="zh-CN"/>
        </w:rPr>
        <w:t>元。</w:t>
      </w:r>
    </w:p>
    <w:p>
      <w:pPr>
        <w:adjustRightInd w:val="0"/>
        <w:spacing w:line="600" w:lineRule="exact"/>
        <w:ind w:firstLine="64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（五）部门履职总体目标：紧扣全县发展大局和中心工作，以“信念坚定、为民服务、勤政务实、敢于担当、清正廉洁”为理念，充分发挥综合协调、督办落实、参政设谋作用，较好的完成和各项工作任务。</w:t>
      </w:r>
    </w:p>
    <w:p>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（六）2019年总预算资金为2296996.03元，资金支出2296996.03元，无结余。</w:t>
      </w:r>
    </w:p>
    <w:p>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二、预算绩效管理开展及整体绩效实现情况</w:t>
      </w:r>
    </w:p>
    <w:p>
      <w:pPr>
        <w:numPr>
          <w:ilvl w:val="0"/>
          <w:numId w:val="0"/>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（一）预算绩效管理开展情况</w:t>
      </w:r>
    </w:p>
    <w:p>
      <w:pPr>
        <w:numPr>
          <w:ilvl w:val="0"/>
          <w:numId w:val="0"/>
        </w:numPr>
        <w:spacing w:line="240" w:lineRule="auto"/>
        <w:ind w:firstLine="640" w:firstLineChars="200"/>
        <w:rPr>
          <w:rFonts w:hint="default"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为全面实施预算项目绩效管理，我单位一是加强预算编制绩效管理，每年对单位申报预算项目进行全面梳理、加强审核、合理保障，所有项目有明细的资金预算；二是完善项目绩效管理责任，财政局批复下达年度预算时，通过规范格式同步下达绩效目标，我单位明确预算执行主体，负责实现项目绩效目标，对未如期完成或绩效目标结果差的，在编制下年度预算时适当调减项目资金额度；三是，积极推进项目绩效评价，在加强预算编制环节的基础上，加强预算执行监管和执行结果评价，将财务监督渗透到预算管理的事前、事中、事后各个环节。</w:t>
      </w:r>
    </w:p>
    <w:p>
      <w:pPr>
        <w:numPr>
          <w:ilvl w:val="0"/>
          <w:numId w:val="0"/>
        </w:numPr>
        <w:spacing w:line="240" w:lineRule="auto"/>
        <w:ind w:firstLine="640" w:firstLineChars="200"/>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（二）整体绩效实现情况</w:t>
      </w:r>
    </w:p>
    <w:p>
      <w:pPr>
        <w:adjustRightInd w:val="0"/>
        <w:spacing w:line="600" w:lineRule="exact"/>
        <w:ind w:firstLine="640"/>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val="en-US" w:eastAsia="zh-CN"/>
        </w:rPr>
        <w:t>统计局</w:t>
      </w:r>
      <w:r>
        <w:rPr>
          <w:rFonts w:hint="eastAsia" w:ascii="仿宋_GB2312" w:hAnsi="仿宋_GB2312" w:eastAsia="仿宋_GB2312" w:cs="仿宋_GB2312"/>
          <w:sz w:val="32"/>
          <w:szCs w:val="32"/>
        </w:rPr>
        <w:t>各种会议及大型会议如期成功举行；</w:t>
      </w:r>
      <w:r>
        <w:rPr>
          <w:rFonts w:hint="eastAsia" w:ascii="仿宋_GB2312" w:hAnsi="仿宋_GB2312" w:eastAsia="仿宋_GB2312" w:cs="仿宋_GB2312"/>
          <w:sz w:val="32"/>
          <w:szCs w:val="32"/>
          <w:lang w:val="en-US" w:eastAsia="zh-CN"/>
        </w:rPr>
        <w:t>经济普查</w:t>
      </w:r>
      <w:r>
        <w:rPr>
          <w:rFonts w:hint="eastAsia" w:ascii="仿宋_GB2312" w:hAnsi="仿宋_GB2312" w:eastAsia="仿宋_GB2312" w:cs="仿宋_GB2312"/>
          <w:sz w:val="32"/>
          <w:szCs w:val="32"/>
        </w:rPr>
        <w:t>工作</w:t>
      </w:r>
      <w:r>
        <w:rPr>
          <w:rFonts w:hint="eastAsia" w:ascii="仿宋_GB2312" w:hAnsi="仿宋_GB2312" w:eastAsia="仿宋_GB2312" w:cs="仿宋_GB2312"/>
          <w:sz w:val="32"/>
          <w:szCs w:val="32"/>
          <w:lang w:eastAsia="zh-CN"/>
        </w:rPr>
        <w:t>圆满完成</w:t>
      </w:r>
      <w:r>
        <w:rPr>
          <w:rFonts w:hint="eastAsia" w:ascii="仿宋_GB2312" w:hAnsi="仿宋_GB2312" w:eastAsia="仿宋_GB2312" w:cs="仿宋_GB2312"/>
          <w:sz w:val="32"/>
          <w:szCs w:val="32"/>
        </w:rPr>
        <w:t>；后勤服务和机关事务管理</w:t>
      </w:r>
      <w:r>
        <w:rPr>
          <w:rFonts w:hint="eastAsia" w:ascii="仿宋_GB2312" w:hAnsi="仿宋_GB2312" w:eastAsia="仿宋_GB2312" w:cs="仿宋_GB2312"/>
          <w:sz w:val="32"/>
          <w:szCs w:val="32"/>
          <w:lang w:eastAsia="zh-CN"/>
        </w:rPr>
        <w:t>都很好完成</w:t>
      </w:r>
      <w:r>
        <w:rPr>
          <w:rFonts w:hint="eastAsia" w:ascii="仿宋_GB2312" w:hAnsi="仿宋_GB2312" w:eastAsia="仿宋_GB2312" w:cs="仿宋_GB2312"/>
          <w:sz w:val="32"/>
          <w:szCs w:val="32"/>
        </w:rPr>
        <w:t>，日常工作运转</w:t>
      </w:r>
      <w:r>
        <w:rPr>
          <w:rFonts w:hint="eastAsia" w:ascii="仿宋_GB2312" w:hAnsi="仿宋_GB2312" w:eastAsia="仿宋_GB2312" w:cs="仿宋_GB2312"/>
          <w:color w:val="auto"/>
          <w:sz w:val="32"/>
          <w:szCs w:val="32"/>
          <w:lang w:val="en-US" w:eastAsia="zh-CN"/>
        </w:rPr>
        <w:t>有条不紊</w:t>
      </w:r>
      <w:r>
        <w:rPr>
          <w:rFonts w:hint="eastAsia" w:ascii="仿宋_GB2312" w:hAnsi="仿宋_GB2312" w:eastAsia="仿宋_GB2312" w:cs="仿宋_GB2312"/>
          <w:sz w:val="32"/>
          <w:szCs w:val="32"/>
          <w:lang w:eastAsia="zh-CN"/>
        </w:rPr>
        <w:t>。</w:t>
      </w:r>
    </w:p>
    <w:p>
      <w:pPr>
        <w:numPr>
          <w:ilvl w:val="0"/>
          <w:numId w:val="2"/>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绩效评价的组织实施情况</w:t>
      </w:r>
    </w:p>
    <w:p>
      <w:pPr>
        <w:widowControl w:val="0"/>
        <w:numPr>
          <w:ilvl w:val="0"/>
          <w:numId w:val="0"/>
        </w:numPr>
        <w:spacing w:line="240" w:lineRule="auto"/>
        <w:ind w:firstLine="640" w:firstLineChars="200"/>
        <w:jc w:val="both"/>
        <w:rPr>
          <w:rFonts w:hint="eastAsia" w:ascii="仿宋_GB2312" w:hAnsi="仿宋_GB2312" w:eastAsia="仿宋_GB2312" w:cs="仿宋_GB2312"/>
          <w:sz w:val="32"/>
          <w:szCs w:val="32"/>
          <w:lang w:eastAsia="zh-CN"/>
        </w:rPr>
      </w:pPr>
      <w:r>
        <w:rPr>
          <w:rFonts w:hint="eastAsia" w:ascii="仿宋_GB2312" w:hAnsi="仿宋_GB2312" w:eastAsia="仿宋_GB2312" w:cs="仿宋_GB2312"/>
          <w:color w:val="auto"/>
          <w:sz w:val="32"/>
          <w:szCs w:val="32"/>
          <w:lang w:eastAsia="zh-CN"/>
        </w:rPr>
        <w:t>成立了由单位</w:t>
      </w:r>
      <w:r>
        <w:rPr>
          <w:rFonts w:hint="eastAsia" w:ascii="仿宋_GB2312" w:hAnsi="仿宋_GB2312" w:eastAsia="仿宋_GB2312" w:cs="仿宋_GB2312"/>
          <w:color w:val="auto"/>
          <w:sz w:val="32"/>
          <w:szCs w:val="32"/>
          <w:lang w:val="en-US" w:eastAsia="zh-CN"/>
        </w:rPr>
        <w:t>局长</w:t>
      </w:r>
      <w:r>
        <w:rPr>
          <w:rFonts w:hint="eastAsia" w:ascii="仿宋_GB2312" w:hAnsi="仿宋_GB2312" w:eastAsia="仿宋_GB2312" w:cs="仿宋_GB2312"/>
          <w:color w:val="auto"/>
          <w:sz w:val="32"/>
          <w:szCs w:val="32"/>
          <w:lang w:eastAsia="zh-CN"/>
        </w:rPr>
        <w:t>担任组长，</w:t>
      </w:r>
      <w:r>
        <w:rPr>
          <w:rFonts w:hint="eastAsia" w:ascii="仿宋_GB2312" w:hAnsi="仿宋_GB2312" w:eastAsia="仿宋_GB2312" w:cs="仿宋_GB2312"/>
          <w:color w:val="auto"/>
          <w:sz w:val="32"/>
          <w:szCs w:val="32"/>
          <w:lang w:val="en-US" w:eastAsia="zh-CN"/>
        </w:rPr>
        <w:t>副局长</w:t>
      </w:r>
      <w:r>
        <w:rPr>
          <w:rFonts w:hint="eastAsia" w:ascii="仿宋_GB2312" w:hAnsi="仿宋_GB2312" w:eastAsia="仿宋_GB2312" w:cs="仿宋_GB2312"/>
          <w:color w:val="auto"/>
          <w:sz w:val="32"/>
          <w:szCs w:val="32"/>
          <w:lang w:eastAsia="zh-CN"/>
        </w:rPr>
        <w:t>及</w:t>
      </w:r>
      <w:r>
        <w:rPr>
          <w:rFonts w:hint="eastAsia" w:ascii="仿宋_GB2312" w:hAnsi="仿宋_GB2312" w:eastAsia="仿宋_GB2312" w:cs="仿宋_GB2312"/>
          <w:color w:val="auto"/>
          <w:sz w:val="32"/>
          <w:szCs w:val="32"/>
          <w:lang w:val="en-US" w:eastAsia="zh-CN"/>
        </w:rPr>
        <w:t>1</w:t>
      </w:r>
      <w:r>
        <w:rPr>
          <w:rFonts w:hint="eastAsia" w:ascii="仿宋_GB2312" w:hAnsi="仿宋_GB2312" w:eastAsia="仿宋_GB2312" w:cs="仿宋_GB2312"/>
          <w:color w:val="auto"/>
          <w:sz w:val="32"/>
          <w:szCs w:val="32"/>
          <w:lang w:eastAsia="zh-CN"/>
        </w:rPr>
        <w:t>名科员为成员的</w:t>
      </w:r>
      <w:r>
        <w:rPr>
          <w:rFonts w:hint="eastAsia" w:ascii="仿宋_GB2312" w:hAnsi="仿宋_GB2312" w:eastAsia="仿宋_GB2312" w:cs="仿宋_GB2312"/>
          <w:color w:val="auto"/>
          <w:sz w:val="32"/>
          <w:szCs w:val="32"/>
          <w:lang w:val="en-US" w:eastAsia="zh-CN"/>
        </w:rPr>
        <w:t>3人部门</w:t>
      </w:r>
      <w:r>
        <w:rPr>
          <w:rFonts w:hint="eastAsia" w:ascii="仿宋_GB2312" w:hAnsi="仿宋_GB2312" w:eastAsia="仿宋_GB2312" w:cs="仿宋_GB2312"/>
          <w:color w:val="auto"/>
          <w:sz w:val="32"/>
          <w:szCs w:val="32"/>
          <w:lang w:eastAsia="zh-CN"/>
        </w:rPr>
        <w:t>整体支出绩效</w:t>
      </w:r>
      <w:r>
        <w:rPr>
          <w:rFonts w:hint="eastAsia" w:ascii="仿宋_GB2312" w:hAnsi="仿宋_GB2312" w:eastAsia="仿宋_GB2312" w:cs="仿宋_GB2312"/>
          <w:color w:val="auto"/>
          <w:sz w:val="32"/>
          <w:szCs w:val="32"/>
        </w:rPr>
        <w:t>自评</w:t>
      </w:r>
      <w:r>
        <w:rPr>
          <w:rFonts w:hint="eastAsia" w:ascii="仿宋_GB2312" w:hAnsi="仿宋_GB2312" w:eastAsia="仿宋_GB2312" w:cs="仿宋_GB2312"/>
          <w:color w:val="auto"/>
          <w:sz w:val="32"/>
          <w:szCs w:val="32"/>
          <w:lang w:eastAsia="zh-CN"/>
        </w:rPr>
        <w:t>小组，</w:t>
      </w:r>
      <w:r>
        <w:rPr>
          <w:rFonts w:hint="eastAsia" w:ascii="仿宋_GB2312" w:hAnsi="仿宋_GB2312" w:eastAsia="仿宋_GB2312" w:cs="仿宋_GB2312"/>
          <w:color w:val="auto"/>
          <w:sz w:val="32"/>
          <w:szCs w:val="32"/>
          <w:lang w:val="en-US" w:eastAsia="zh-CN"/>
        </w:rPr>
        <w:t>遵循客观公正，操作简便高效，尊重客观实际，实事求是的原则，</w:t>
      </w:r>
      <w:r>
        <w:rPr>
          <w:rFonts w:hint="eastAsia" w:ascii="仿宋_GB2312" w:hAnsi="仿宋_GB2312" w:eastAsia="仿宋_GB2312" w:cs="仿宋_GB2312"/>
          <w:sz w:val="32"/>
          <w:szCs w:val="32"/>
          <w:lang w:eastAsia="zh-CN"/>
        </w:rPr>
        <w:t>负责本单位整体绩效自评工作。</w:t>
      </w:r>
    </w:p>
    <w:p>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整体支出绩效评价体系：指标体系包括共性指标和个性指标两部分，主要参照财政部门制定的《部门整体支出绩效评价指标体系》的相关内容，根据单位具体情况对个性指标进行了调整细化。</w:t>
      </w:r>
    </w:p>
    <w:p>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整体支出绩效评价方法：主要采用因素分析法、比较法等方法。</w:t>
      </w:r>
    </w:p>
    <w:p>
      <w:pPr>
        <w:numPr>
          <w:ilvl w:val="0"/>
          <w:numId w:val="3"/>
        </w:numPr>
        <w:spacing w:line="240" w:lineRule="auto"/>
        <w:ind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各项绩效目标的实现程度及差异性原因分析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color w:val="auto"/>
          <w:sz w:val="32"/>
          <w:szCs w:val="32"/>
          <w:lang w:val="en-US" w:eastAsia="zh-CN"/>
        </w:rPr>
        <w:t xml:space="preserve"> 我单位各个项目绩效目标均已完成。</w:t>
      </w:r>
    </w:p>
    <w:p>
      <w:pPr>
        <w:numPr>
          <w:ilvl w:val="0"/>
          <w:numId w:val="3"/>
        </w:numPr>
        <w:spacing w:line="240" w:lineRule="auto"/>
        <w:ind w:left="0" w:leftChars="0" w:firstLine="640" w:firstLineChars="200"/>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存在问题、采取的纠偏措施及改进绩效管理建议。</w:t>
      </w:r>
    </w:p>
    <w:p>
      <w:pPr>
        <w:widowControl w:val="0"/>
        <w:numPr>
          <w:ilvl w:val="0"/>
          <w:numId w:val="0"/>
        </w:numPr>
        <w:spacing w:line="240" w:lineRule="auto"/>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 xml:space="preserve">   （一）注重抓贯彻，忽视抓典型。对上级要求的各项工作，我们很重视，但思想停留在“完成”二字上，少有创新举措，忽视对典型的挖掘和推介。</w:t>
      </w:r>
    </w:p>
    <w:p>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（二）注重按时，忽视评估效果。对于各项工作任务，我们一般提前谋划，但对完成的效果以及影响力的评估，我们少有探究，联系实际、服务群众做的不够。</w:t>
      </w:r>
    </w:p>
    <w:p>
      <w:pPr>
        <w:widowControl w:val="0"/>
        <w:numPr>
          <w:ilvl w:val="0"/>
          <w:numId w:val="0"/>
        </w:numPr>
        <w:spacing w:line="240" w:lineRule="auto"/>
        <w:ind w:firstLine="640" w:firstLineChars="200"/>
        <w:jc w:val="both"/>
        <w:rPr>
          <w:rFonts w:hint="eastAsia" w:ascii="仿宋_GB2312" w:hAnsi="仿宋_GB2312" w:eastAsia="仿宋_GB2312" w:cs="仿宋_GB2312"/>
          <w:color w:val="auto"/>
          <w:sz w:val="32"/>
          <w:szCs w:val="32"/>
          <w:lang w:val="en-US" w:eastAsia="zh-CN"/>
        </w:rPr>
      </w:pPr>
      <w:r>
        <w:rPr>
          <w:rFonts w:hint="eastAsia" w:ascii="仿宋_GB2312" w:hAnsi="仿宋_GB2312" w:eastAsia="仿宋_GB2312" w:cs="仿宋_GB2312"/>
          <w:color w:val="auto"/>
          <w:sz w:val="32"/>
          <w:szCs w:val="32"/>
          <w:lang w:val="en-US" w:eastAsia="zh-CN"/>
        </w:rPr>
        <w:t>六、改进措施和有关建议</w:t>
      </w:r>
    </w:p>
    <w:p>
      <w:pPr>
        <w:widowControl w:val="0"/>
        <w:numPr>
          <w:ilvl w:val="0"/>
          <w:numId w:val="0"/>
        </w:numPr>
        <w:spacing w:line="240" w:lineRule="auto"/>
        <w:ind w:firstLine="640" w:firstLineChars="200"/>
        <w:jc w:val="both"/>
        <w:rPr>
          <w:rFonts w:hint="eastAsia" w:ascii="仿宋_GB2312" w:hAnsi="仿宋_GB2312" w:eastAsia="仿宋_GB2312" w:cs="仿宋_GB2312"/>
          <w:color w:val="FF0000"/>
          <w:sz w:val="32"/>
          <w:szCs w:val="32"/>
          <w:lang w:val="en-US" w:eastAsia="zh-CN"/>
        </w:rPr>
      </w:pPr>
      <w:r>
        <w:rPr>
          <w:rFonts w:hint="eastAsia" w:ascii="仿宋_GB2312" w:hAnsi="仿宋_GB2312" w:eastAsia="仿宋_GB2312" w:cs="仿宋_GB2312"/>
          <w:color w:val="auto"/>
          <w:sz w:val="32"/>
          <w:szCs w:val="32"/>
          <w:lang w:val="en-US" w:eastAsia="zh-CN"/>
        </w:rPr>
        <w:t>进一步规范财务管理，对本单位当年度的各项工作开展做到心中有数，统筹安排，合理配置。在以后工作中，坚持做到合理安排预算资金，不断完善支出结构，优化资金使用率，进一步完善预算管理体制。</w:t>
      </w:r>
    </w:p>
    <w:sectPr>
      <w:footerReference r:id="rId3" w:type="default"/>
      <w:footerReference r:id="rId4" w:type="even"/>
      <w:pgSz w:w="11906" w:h="16838"/>
      <w:pgMar w:top="1985" w:right="1418" w:bottom="1985" w:left="1418" w:header="851" w:footer="1701" w:gutter="0"/>
      <w:pgNumType w:fmt="decimal"/>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87FD26A4-2D1D-45F6-9376-F824B5116FCC}"/>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embedRegular r:id="rId2" w:fontKey="{79C32F12-31BC-4970-B688-B733E7796BB1}"/>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203" w:usb1="288F0000" w:usb2="00000006" w:usb3="00000000" w:csb0="00040001" w:csb1="00000000"/>
  </w:font>
  <w:font w:name="方正小标宋简体">
    <w:panose1 w:val="02000000000000000000"/>
    <w:charset w:val="86"/>
    <w:family w:val="auto"/>
    <w:pitch w:val="default"/>
    <w:sig w:usb0="00000001" w:usb1="08000000" w:usb2="00000000" w:usb3="00000000" w:csb0="00040000" w:csb1="00000000"/>
    <w:embedRegular r:id="rId3" w:fontKey="{497164AE-6316-4B85-B94E-74BB91391E9C}"/>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ind w:right="360" w:firstLine="360"/>
    </w:pPr>
    <w:r>
      <w:rPr>
        <w:sz w:val="18"/>
      </w:rPr>
      <w:pict>
        <v:shape id="_x0000_s4097" o:spid="_x0000_s4097" o:spt="202" type="#_x0000_t202" style="position:absolute;left:0pt;margin-top:0pt;height:144pt;width:144pt;mso-position-horizontal:outside;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5"/>
                  <w:rPr>
                    <w:rStyle w:val="11"/>
                    <w:rFonts w:ascii="宋体" w:hAnsi="宋体" w:eastAsia="宋体"/>
                    <w:sz w:val="28"/>
                    <w:szCs w:val="28"/>
                  </w:rPr>
                </w:pPr>
                <w:r>
                  <w:rPr>
                    <w:rStyle w:val="11"/>
                    <w:rFonts w:hint="eastAsia" w:ascii="宋体" w:hAnsi="宋体" w:eastAsia="宋体"/>
                    <w:sz w:val="28"/>
                    <w:szCs w:val="28"/>
                  </w:rPr>
                  <w:t>-</w:t>
                </w:r>
                <w:r>
                  <w:rPr>
                    <w:rStyle w:val="11"/>
                    <w:rFonts w:ascii="宋体" w:hAnsi="宋体" w:eastAsia="宋体"/>
                    <w:sz w:val="28"/>
                    <w:szCs w:val="28"/>
                  </w:rPr>
                  <w:fldChar w:fldCharType="begin"/>
                </w:r>
                <w:r>
                  <w:rPr>
                    <w:rStyle w:val="11"/>
                    <w:rFonts w:ascii="宋体" w:hAnsi="宋体" w:eastAsia="宋体"/>
                    <w:sz w:val="28"/>
                    <w:szCs w:val="28"/>
                  </w:rPr>
                  <w:instrText xml:space="preserve">PAGE  </w:instrText>
                </w:r>
                <w:r>
                  <w:rPr>
                    <w:rStyle w:val="11"/>
                    <w:rFonts w:ascii="宋体" w:hAnsi="宋体" w:eastAsia="宋体"/>
                    <w:sz w:val="28"/>
                    <w:szCs w:val="28"/>
                  </w:rPr>
                  <w:fldChar w:fldCharType="separate"/>
                </w:r>
                <w:r>
                  <w:rPr>
                    <w:rStyle w:val="11"/>
                    <w:rFonts w:ascii="宋体" w:hAnsi="宋体" w:eastAsia="宋体"/>
                    <w:sz w:val="28"/>
                    <w:szCs w:val="28"/>
                  </w:rPr>
                  <w:t>6</w:t>
                </w:r>
                <w:r>
                  <w:rPr>
                    <w:rStyle w:val="11"/>
                    <w:rFonts w:ascii="宋体" w:hAnsi="宋体" w:eastAsia="宋体"/>
                    <w:sz w:val="28"/>
                    <w:szCs w:val="28"/>
                  </w:rPr>
                  <w:fldChar w:fldCharType="end"/>
                </w:r>
                <w:r>
                  <w:rPr>
                    <w:rStyle w:val="11"/>
                    <w:rFonts w:hint="eastAsia" w:ascii="宋体" w:hAnsi="宋体" w:eastAsia="宋体"/>
                    <w:sz w:val="28"/>
                    <w:szCs w:val="28"/>
                  </w:rPr>
                  <w:t>-</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0122E0F"/>
    <w:multiLevelType w:val="singleLevel"/>
    <w:tmpl w:val="F0122E0F"/>
    <w:lvl w:ilvl="0" w:tentative="0">
      <w:start w:val="4"/>
      <w:numFmt w:val="chineseCounting"/>
      <w:suff w:val="nothing"/>
      <w:lvlText w:val="%1、"/>
      <w:lvlJc w:val="left"/>
      <w:rPr>
        <w:rFonts w:hint="eastAsia"/>
      </w:rPr>
    </w:lvl>
  </w:abstractNum>
  <w:abstractNum w:abstractNumId="1">
    <w:nsid w:val="3C32C34E"/>
    <w:multiLevelType w:val="singleLevel"/>
    <w:tmpl w:val="3C32C34E"/>
    <w:lvl w:ilvl="0" w:tentative="0">
      <w:start w:val="3"/>
      <w:numFmt w:val="chineseCounting"/>
      <w:suff w:val="nothing"/>
      <w:lvlText w:val="%1、"/>
      <w:lvlJc w:val="left"/>
      <w:rPr>
        <w:rFonts w:hint="eastAsia"/>
      </w:rPr>
    </w:lvl>
  </w:abstractNum>
  <w:abstractNum w:abstractNumId="2">
    <w:nsid w:val="4093634B"/>
    <w:multiLevelType w:val="singleLevel"/>
    <w:tmpl w:val="4093634B"/>
    <w:lvl w:ilvl="0" w:tentative="0">
      <w:start w:val="3"/>
      <w:numFmt w:val="chineseCounting"/>
      <w:suff w:val="nothing"/>
      <w:lvlText w:val="（%1）"/>
      <w:lvlJc w:val="left"/>
      <w:rPr>
        <w:rFonts w:hint="eastAsia"/>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313"/>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NzVjZjRjNmMxMjE1MDg4OTJhZmE0OTM3NDdkNjVhODE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17E6B"/>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1EE22B7"/>
    <w:rsid w:val="0255560C"/>
    <w:rsid w:val="02F42596"/>
    <w:rsid w:val="03CB115B"/>
    <w:rsid w:val="046D6031"/>
    <w:rsid w:val="05374814"/>
    <w:rsid w:val="056F1526"/>
    <w:rsid w:val="06850320"/>
    <w:rsid w:val="0692422B"/>
    <w:rsid w:val="074A52A7"/>
    <w:rsid w:val="0BDE095F"/>
    <w:rsid w:val="0F8F6BFC"/>
    <w:rsid w:val="128133AB"/>
    <w:rsid w:val="138E1A49"/>
    <w:rsid w:val="1AD129F3"/>
    <w:rsid w:val="1AEA3DD1"/>
    <w:rsid w:val="1C190C6F"/>
    <w:rsid w:val="1C745717"/>
    <w:rsid w:val="1EFC509A"/>
    <w:rsid w:val="20EF6064"/>
    <w:rsid w:val="230D50B6"/>
    <w:rsid w:val="24DC5139"/>
    <w:rsid w:val="2DC1637B"/>
    <w:rsid w:val="2FF53383"/>
    <w:rsid w:val="32117C99"/>
    <w:rsid w:val="327005CF"/>
    <w:rsid w:val="338D6297"/>
    <w:rsid w:val="358E42A3"/>
    <w:rsid w:val="3791647A"/>
    <w:rsid w:val="379D3366"/>
    <w:rsid w:val="3BEA3FE2"/>
    <w:rsid w:val="3DB65D22"/>
    <w:rsid w:val="43FA7283"/>
    <w:rsid w:val="44B547C1"/>
    <w:rsid w:val="455969D8"/>
    <w:rsid w:val="458F061F"/>
    <w:rsid w:val="45F501CE"/>
    <w:rsid w:val="4DEE67CA"/>
    <w:rsid w:val="4F0D7F90"/>
    <w:rsid w:val="526A3656"/>
    <w:rsid w:val="5431272C"/>
    <w:rsid w:val="5D643D56"/>
    <w:rsid w:val="5DBF5EC6"/>
    <w:rsid w:val="639E0CA2"/>
    <w:rsid w:val="640D4B88"/>
    <w:rsid w:val="6458692A"/>
    <w:rsid w:val="65FA41AB"/>
    <w:rsid w:val="69BD0A47"/>
    <w:rsid w:val="6DD10080"/>
    <w:rsid w:val="6E1A5E0C"/>
    <w:rsid w:val="6FA54D0F"/>
    <w:rsid w:val="6FC35C40"/>
    <w:rsid w:val="71A911C9"/>
    <w:rsid w:val="71D009CA"/>
    <w:rsid w:val="746A481D"/>
    <w:rsid w:val="77A86A4F"/>
    <w:rsid w:val="7BC5035E"/>
    <w:rsid w:val="7CCC213E"/>
    <w:rsid w:val="7D3A0F1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5"/>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9">
    <w:name w:val="Default Paragraph Font"/>
    <w:semiHidden/>
    <w:unhideWhenUsed/>
    <w:qFormat/>
    <w:uiPriority w:val="1"/>
  </w:style>
  <w:style w:type="table" w:default="1" w:styleId="8">
    <w:name w:val="Normal Table"/>
    <w:autoRedefine/>
    <w:semiHidden/>
    <w:unhideWhenUsed/>
    <w:qFormat/>
    <w:uiPriority w:val="99"/>
    <w:tblPr>
      <w:tblCellMar>
        <w:top w:w="0" w:type="dxa"/>
        <w:left w:w="108" w:type="dxa"/>
        <w:bottom w:w="0" w:type="dxa"/>
        <w:right w:w="108" w:type="dxa"/>
      </w:tblCellMar>
    </w:tblPr>
  </w:style>
  <w:style w:type="paragraph" w:styleId="3">
    <w:name w:val="Body Text"/>
    <w:basedOn w:val="1"/>
    <w:autoRedefine/>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4">
    <w:name w:val="Plain Text"/>
    <w:basedOn w:val="1"/>
    <w:link w:val="14"/>
    <w:qFormat/>
    <w:uiPriority w:val="0"/>
    <w:rPr>
      <w:rFonts w:ascii="宋体" w:hAnsi="Courier New" w:eastAsia="宋体" w:cs="Courier New"/>
      <w:szCs w:val="21"/>
    </w:rPr>
  </w:style>
  <w:style w:type="paragraph" w:styleId="5">
    <w:name w:val="footer"/>
    <w:basedOn w:val="1"/>
    <w:link w:val="13"/>
    <w:autoRedefine/>
    <w:unhideWhenUsed/>
    <w:qFormat/>
    <w:uiPriority w:val="99"/>
    <w:pPr>
      <w:tabs>
        <w:tab w:val="center" w:pos="4153"/>
        <w:tab w:val="right" w:pos="8306"/>
      </w:tabs>
      <w:snapToGrid w:val="0"/>
      <w:jc w:val="left"/>
    </w:pPr>
    <w:rPr>
      <w:sz w:val="18"/>
      <w:szCs w:val="18"/>
    </w:rPr>
  </w:style>
  <w:style w:type="paragraph" w:styleId="6">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99"/>
    <w:pPr>
      <w:widowControl/>
      <w:spacing w:before="100" w:beforeAutospacing="1" w:after="100" w:afterAutospacing="1"/>
      <w:jc w:val="left"/>
    </w:pPr>
    <w:rPr>
      <w:rFonts w:ascii="宋体" w:hAnsi="宋体" w:eastAsia="宋体" w:cs="宋体"/>
      <w:kern w:val="0"/>
      <w:sz w:val="24"/>
      <w:szCs w:val="24"/>
    </w:rPr>
  </w:style>
  <w:style w:type="character" w:styleId="10">
    <w:name w:val="Strong"/>
    <w:basedOn w:val="9"/>
    <w:qFormat/>
    <w:uiPriority w:val="22"/>
    <w:rPr>
      <w:b/>
      <w:bCs/>
    </w:rPr>
  </w:style>
  <w:style w:type="character" w:styleId="11">
    <w:name w:val="page number"/>
    <w:basedOn w:val="9"/>
    <w:semiHidden/>
    <w:unhideWhenUsed/>
    <w:qFormat/>
    <w:uiPriority w:val="99"/>
  </w:style>
  <w:style w:type="character" w:customStyle="1" w:styleId="12">
    <w:name w:val="页眉 Char"/>
    <w:basedOn w:val="9"/>
    <w:link w:val="6"/>
    <w:qFormat/>
    <w:uiPriority w:val="99"/>
    <w:rPr>
      <w:sz w:val="18"/>
      <w:szCs w:val="18"/>
    </w:rPr>
  </w:style>
  <w:style w:type="character" w:customStyle="1" w:styleId="13">
    <w:name w:val="页脚 Char"/>
    <w:basedOn w:val="9"/>
    <w:link w:val="5"/>
    <w:qFormat/>
    <w:uiPriority w:val="99"/>
    <w:rPr>
      <w:sz w:val="18"/>
      <w:szCs w:val="18"/>
    </w:rPr>
  </w:style>
  <w:style w:type="character" w:customStyle="1" w:styleId="14">
    <w:name w:val="纯文本 Char"/>
    <w:basedOn w:val="9"/>
    <w:link w:val="4"/>
    <w:qFormat/>
    <w:uiPriority w:val="0"/>
    <w:rPr>
      <w:rFonts w:ascii="宋体" w:hAnsi="Courier New" w:eastAsia="宋体" w:cs="Courier New"/>
      <w:szCs w:val="21"/>
    </w:rPr>
  </w:style>
  <w:style w:type="character" w:customStyle="1" w:styleId="15">
    <w:name w:val="标题 1 Char"/>
    <w:basedOn w:val="9"/>
    <w:link w:val="2"/>
    <w:autoRedefine/>
    <w:qFormat/>
    <w:uiPriority w:val="9"/>
    <w:rPr>
      <w:rFonts w:ascii="宋体" w:hAnsi="宋体" w:eastAsia="宋体" w:cs="宋体"/>
      <w:b/>
      <w:kern w:val="44"/>
      <w:sz w:val="48"/>
      <w:szCs w:val="48"/>
    </w:rPr>
  </w:style>
  <w:style w:type="character" w:customStyle="1" w:styleId="16">
    <w:name w:val="font31"/>
    <w:basedOn w:val="9"/>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6</Pages>
  <Words>795</Words>
  <Characters>4535</Characters>
  <Lines>37</Lines>
  <Paragraphs>10</Paragraphs>
  <TotalTime>4</TotalTime>
  <ScaleCrop>false</ScaleCrop>
  <LinksUpToDate>false</LinksUpToDate>
  <CharactersWithSpaces>5320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童话故事书</cp:lastModifiedBy>
  <cp:lastPrinted>2020-05-26T09:15:00Z</cp:lastPrinted>
  <dcterms:modified xsi:type="dcterms:W3CDTF">2024-04-03T07:15:00Z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3915B7A5A9D745B19D4C7698109AB1E5_12</vt:lpwstr>
  </property>
</Properties>
</file>