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p>
    <w:p>
      <w:pPr>
        <w:widowControl/>
        <w:spacing w:line="480" w:lineRule="exact"/>
        <w:jc w:val="left"/>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2.部门活动符合县委、县政府的发展规划及本部门的年度工作安排与发展规划。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2.资产账务管理是否合规，帐实相符；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w:t>
            </w:r>
            <w:bookmarkStart w:id="0" w:name="_GoBack"/>
            <w:bookmarkEnd w:id="0"/>
            <w:r>
              <w:rPr>
                <w:rFonts w:hint="eastAsia" w:ascii="仿宋_GB2312" w:hAnsi="仿宋_GB2312" w:eastAsia="仿宋_GB2312" w:cs="仿宋_GB2312"/>
                <w:color w:val="000000"/>
                <w:kern w:val="0"/>
                <w:szCs w:val="21"/>
              </w:rPr>
              <w:t>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szCs w:val="21"/>
              </w:rPr>
            </w:pPr>
            <w:r>
              <w:rPr>
                <w:rFonts w:hint="eastAsia"/>
                <w:szCs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部门通过履行职责和预算安排支出项目的实施，对我市带来的经济影响。</w:t>
            </w:r>
          </w:p>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部门履行职责对社会发展所带来的直接或间接影响。</w:t>
            </w:r>
          </w:p>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部门履行职责对生态环境所带来的直接或间接影响。</w:t>
            </w:r>
          </w:p>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szCs w:val="21"/>
              </w:rPr>
            </w:pPr>
            <w:r>
              <w:rPr>
                <w:rFonts w:hint="eastAsia"/>
                <w:szCs w:val="21"/>
              </w:rPr>
              <w:t>5</w:t>
            </w:r>
          </w:p>
        </w:tc>
      </w:tr>
    </w:tbl>
    <w:p>
      <w:pPr>
        <w:spacing w:line="240" w:lineRule="exact"/>
        <w:rPr>
          <w:rFonts w:ascii="仿宋" w:hAnsi="仿宋" w:eastAsia="仿宋" w:cs="仿宋"/>
          <w:sz w:val="32"/>
          <w:szCs w:val="32"/>
        </w:rPr>
      </w:pPr>
    </w:p>
    <w:p>
      <w:pPr>
        <w:pStyle w:val="7"/>
        <w:shd w:val="clear" w:color="auto" w:fill="FFFFFF"/>
        <w:spacing w:before="0" w:beforeAutospacing="0" w:after="0" w:afterAutospacing="0"/>
        <w:jc w:val="center"/>
        <w:rPr>
          <w:rFonts w:cs="Arial" w:asciiTheme="majorEastAsia" w:hAnsiTheme="majorEastAsia" w:eastAsiaTheme="majorEastAsia"/>
          <w:color w:val="191919"/>
          <w:sz w:val="36"/>
          <w:szCs w:val="32"/>
        </w:rPr>
      </w:pPr>
    </w:p>
    <w:p>
      <w:pPr>
        <w:pStyle w:val="7"/>
        <w:shd w:val="clear" w:color="auto" w:fill="FFFFFF"/>
        <w:spacing w:before="0" w:beforeAutospacing="0" w:after="0" w:afterAutospacing="0"/>
        <w:jc w:val="center"/>
        <w:rPr>
          <w:rFonts w:cs="Arial" w:asciiTheme="majorEastAsia" w:hAnsiTheme="majorEastAsia" w:eastAsiaTheme="majorEastAsia"/>
          <w:color w:val="191919"/>
          <w:sz w:val="36"/>
          <w:szCs w:val="32"/>
        </w:rPr>
      </w:pPr>
      <w:r>
        <w:rPr>
          <w:rFonts w:hint="eastAsia" w:cs="Arial" w:asciiTheme="majorEastAsia" w:hAnsiTheme="majorEastAsia" w:eastAsiaTheme="majorEastAsia"/>
          <w:color w:val="191919"/>
          <w:sz w:val="36"/>
          <w:szCs w:val="32"/>
        </w:rPr>
        <w:t>隆尧县广播电视台2019年度部门整体支出</w:t>
      </w:r>
      <w:r>
        <w:rPr>
          <w:rFonts w:cs="Arial" w:asciiTheme="majorEastAsia" w:hAnsiTheme="majorEastAsia" w:eastAsiaTheme="majorEastAsia"/>
          <w:color w:val="191919"/>
          <w:sz w:val="36"/>
          <w:szCs w:val="32"/>
        </w:rPr>
        <w:t>绩效</w:t>
      </w:r>
      <w:r>
        <w:rPr>
          <w:rFonts w:hint="eastAsia" w:cs="Arial" w:asciiTheme="majorEastAsia" w:hAnsiTheme="majorEastAsia" w:eastAsiaTheme="majorEastAsia"/>
          <w:color w:val="191919"/>
          <w:sz w:val="36"/>
          <w:szCs w:val="32"/>
        </w:rPr>
        <w:t>自</w:t>
      </w:r>
      <w:r>
        <w:rPr>
          <w:rFonts w:cs="Arial" w:asciiTheme="majorEastAsia" w:hAnsiTheme="majorEastAsia" w:eastAsiaTheme="majorEastAsia"/>
          <w:color w:val="191919"/>
          <w:sz w:val="36"/>
          <w:szCs w:val="32"/>
        </w:rPr>
        <w:t>评报告</w:t>
      </w:r>
    </w:p>
    <w:p>
      <w:pPr>
        <w:pStyle w:val="7"/>
        <w:shd w:val="clear" w:color="auto" w:fill="FFFFFF"/>
        <w:spacing w:before="0" w:beforeAutospacing="0" w:after="0" w:afterAutospacing="0"/>
        <w:jc w:val="center"/>
        <w:rPr>
          <w:rFonts w:ascii="仿宋" w:hAnsi="仿宋" w:eastAsia="仿宋" w:cs="Arial"/>
          <w:color w:val="191919"/>
          <w:szCs w:val="32"/>
        </w:rPr>
      </w:pPr>
    </w:p>
    <w:p>
      <w:pPr>
        <w:pStyle w:val="7"/>
        <w:shd w:val="clear" w:color="auto" w:fill="FFFFFF"/>
        <w:spacing w:before="0" w:beforeAutospacing="0" w:after="0" w:afterAutospacing="0"/>
        <w:ind w:firstLine="640" w:firstLineChars="200"/>
        <w:rPr>
          <w:rFonts w:ascii="仿宋" w:hAnsi="仿宋" w:eastAsia="仿宋" w:cs="Arial"/>
          <w:color w:val="191919"/>
          <w:sz w:val="32"/>
          <w:szCs w:val="32"/>
        </w:rPr>
      </w:pPr>
      <w:r>
        <w:rPr>
          <w:rFonts w:ascii="仿宋" w:hAnsi="仿宋" w:eastAsia="仿宋" w:cs="Arial"/>
          <w:color w:val="191919"/>
          <w:sz w:val="32"/>
          <w:szCs w:val="32"/>
        </w:rPr>
        <w:t>为加强</w:t>
      </w:r>
      <w:r>
        <w:rPr>
          <w:rFonts w:hint="eastAsia" w:ascii="仿宋" w:hAnsi="仿宋" w:eastAsia="仿宋" w:cs="Arial"/>
          <w:color w:val="191919"/>
          <w:sz w:val="32"/>
          <w:szCs w:val="32"/>
        </w:rPr>
        <w:t>我台</w:t>
      </w:r>
      <w:r>
        <w:rPr>
          <w:rFonts w:ascii="仿宋" w:hAnsi="仿宋" w:eastAsia="仿宋" w:cs="Arial"/>
          <w:color w:val="191919"/>
          <w:sz w:val="32"/>
          <w:szCs w:val="32"/>
        </w:rPr>
        <w:t>财政资金管理，强化支出责任，建立科学、合理的财政支出绩效评价管理体系，提高本单位财政资金的使用效益，根据</w:t>
      </w:r>
      <w:r>
        <w:rPr>
          <w:rFonts w:hint="eastAsia" w:ascii="仿宋" w:hAnsi="仿宋" w:eastAsia="仿宋" w:cs="Arial"/>
          <w:color w:val="191919"/>
          <w:sz w:val="32"/>
          <w:szCs w:val="32"/>
        </w:rPr>
        <w:t>隆尧</w:t>
      </w:r>
      <w:r>
        <w:rPr>
          <w:rFonts w:ascii="仿宋" w:hAnsi="仿宋" w:eastAsia="仿宋" w:cs="Arial"/>
          <w:color w:val="191919"/>
          <w:sz w:val="32"/>
          <w:szCs w:val="32"/>
        </w:rPr>
        <w:t>县财政局《关于开展201</w:t>
      </w:r>
      <w:r>
        <w:rPr>
          <w:rFonts w:hint="eastAsia" w:ascii="仿宋" w:hAnsi="仿宋" w:eastAsia="仿宋" w:cs="Arial"/>
          <w:color w:val="191919"/>
          <w:sz w:val="32"/>
          <w:szCs w:val="32"/>
        </w:rPr>
        <w:t>9</w:t>
      </w:r>
      <w:r>
        <w:rPr>
          <w:rFonts w:ascii="仿宋" w:hAnsi="仿宋" w:eastAsia="仿宋" w:cs="Arial"/>
          <w:color w:val="191919"/>
          <w:sz w:val="32"/>
          <w:szCs w:val="32"/>
        </w:rPr>
        <w:t>年县级</w:t>
      </w:r>
      <w:r>
        <w:rPr>
          <w:rFonts w:hint="eastAsia" w:ascii="仿宋" w:hAnsi="仿宋" w:eastAsia="仿宋" w:cs="Arial"/>
          <w:color w:val="191919"/>
          <w:sz w:val="32"/>
          <w:szCs w:val="32"/>
        </w:rPr>
        <w:t>部门项目支出绩效自评和部门整体支出绩效自评工作的通知</w:t>
      </w:r>
      <w:r>
        <w:rPr>
          <w:rFonts w:ascii="仿宋" w:hAnsi="仿宋" w:eastAsia="仿宋" w:cs="Arial"/>
          <w:color w:val="191919"/>
          <w:sz w:val="32"/>
          <w:szCs w:val="32"/>
        </w:rPr>
        <w:t>》要求，本单位于20</w:t>
      </w:r>
      <w:r>
        <w:rPr>
          <w:rFonts w:hint="eastAsia" w:ascii="仿宋" w:hAnsi="仿宋" w:eastAsia="仿宋" w:cs="Arial"/>
          <w:color w:val="191919"/>
          <w:sz w:val="32"/>
          <w:szCs w:val="32"/>
        </w:rPr>
        <w:t>20</w:t>
      </w:r>
      <w:r>
        <w:rPr>
          <w:rFonts w:ascii="仿宋" w:hAnsi="仿宋" w:eastAsia="仿宋" w:cs="Arial"/>
          <w:color w:val="191919"/>
          <w:sz w:val="32"/>
          <w:szCs w:val="32"/>
        </w:rPr>
        <w:t>年5月，组织力量对本单位的部门预算整体支出进行了绩效评价，本次评价遵循了“科学规范、公正公开、分类管理、绩效相关”的原则，运用较科学、合理的绩效评价指标、评价标准和评价方法，对本单位201</w:t>
      </w:r>
      <w:r>
        <w:rPr>
          <w:rFonts w:hint="eastAsia" w:ascii="仿宋" w:hAnsi="仿宋" w:eastAsia="仿宋" w:cs="Arial"/>
          <w:color w:val="191919"/>
          <w:sz w:val="32"/>
          <w:szCs w:val="32"/>
        </w:rPr>
        <w:t>9</w:t>
      </w:r>
      <w:r>
        <w:rPr>
          <w:rFonts w:ascii="仿宋" w:hAnsi="仿宋" w:eastAsia="仿宋" w:cs="Arial"/>
          <w:color w:val="191919"/>
          <w:sz w:val="32"/>
          <w:szCs w:val="32"/>
        </w:rPr>
        <w:t>年度部门整体支出的绩效情况进行了客观、公正的评价。现将情况汇报如下：</w:t>
      </w:r>
    </w:p>
    <w:p>
      <w:pPr>
        <w:pStyle w:val="7"/>
        <w:shd w:val="clear" w:color="auto" w:fill="FFFFFF"/>
        <w:spacing w:before="0" w:beforeAutospacing="0" w:after="0" w:afterAutospacing="0"/>
        <w:ind w:firstLine="630" w:firstLineChars="196"/>
        <w:rPr>
          <w:rFonts w:ascii="黑体" w:hAnsi="黑体" w:eastAsia="黑体" w:cs="Arial"/>
          <w:b/>
          <w:color w:val="191919"/>
          <w:sz w:val="32"/>
          <w:szCs w:val="32"/>
        </w:rPr>
      </w:pPr>
      <w:r>
        <w:rPr>
          <w:rFonts w:ascii="黑体" w:hAnsi="黑体" w:eastAsia="黑体" w:cs="Arial"/>
          <w:b/>
          <w:color w:val="191919"/>
          <w:sz w:val="32"/>
          <w:szCs w:val="32"/>
        </w:rPr>
        <w:t>一、基本情况</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hint="eastAsia" w:ascii="仿宋" w:hAnsi="仿宋" w:eastAsia="仿宋" w:cs="Arial"/>
          <w:color w:val="191919"/>
          <w:sz w:val="32"/>
          <w:szCs w:val="32"/>
        </w:rPr>
        <w:t>（一）</w:t>
      </w:r>
      <w:r>
        <w:rPr>
          <w:rFonts w:ascii="仿宋" w:hAnsi="仿宋" w:eastAsia="仿宋" w:cs="Arial"/>
          <w:color w:val="191919"/>
          <w:sz w:val="32"/>
          <w:szCs w:val="32"/>
        </w:rPr>
        <w:t>部门职责</w:t>
      </w:r>
    </w:p>
    <w:p>
      <w:pPr>
        <w:ind w:firstLine="640" w:firstLineChars="200"/>
        <w:rPr>
          <w:rFonts w:ascii="仿宋" w:hAnsi="仿宋" w:eastAsia="仿宋" w:cs="Times New Roman"/>
          <w:sz w:val="32"/>
          <w:szCs w:val="32"/>
        </w:rPr>
      </w:pPr>
      <w:r>
        <w:rPr>
          <w:rFonts w:hint="eastAsia" w:ascii="仿宋" w:hAnsi="仿宋" w:eastAsia="仿宋" w:cs="仿宋"/>
          <w:sz w:val="32"/>
          <w:szCs w:val="32"/>
        </w:rPr>
        <w:t>1、认真贯彻执行党中央和省市委的方针政策，把握正确的舆论导向，依法规范广播电视台的职业行为，为县委、县政府工作大局和中心工作服务。</w:t>
      </w:r>
    </w:p>
    <w:p>
      <w:pPr>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 xml:space="preserve"> 2、</w:t>
      </w:r>
      <w:r>
        <w:rPr>
          <w:rFonts w:ascii="仿宋" w:hAnsi="仿宋" w:eastAsia="仿宋" w:cs="仿宋"/>
          <w:sz w:val="32"/>
          <w:szCs w:val="32"/>
        </w:rPr>
        <w:t xml:space="preserve"> </w:t>
      </w:r>
      <w:r>
        <w:rPr>
          <w:rFonts w:hint="eastAsia" w:ascii="仿宋" w:hAnsi="仿宋" w:eastAsia="仿宋" w:cs="仿宋"/>
          <w:sz w:val="32"/>
          <w:szCs w:val="32"/>
        </w:rPr>
        <w:t>组织拟定并实施广播电视台的发展战略和规划，统一领导筹划广播电视台基本建设项目、事业和产业发展、技术改造及新项目开发工作。</w:t>
      </w:r>
    </w:p>
    <w:p>
      <w:pPr>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3、</w:t>
      </w:r>
      <w:r>
        <w:rPr>
          <w:rFonts w:ascii="仿宋" w:hAnsi="仿宋" w:eastAsia="仿宋" w:cs="仿宋"/>
          <w:sz w:val="32"/>
          <w:szCs w:val="32"/>
        </w:rPr>
        <w:t xml:space="preserve"> </w:t>
      </w:r>
      <w:r>
        <w:rPr>
          <w:rFonts w:hint="eastAsia" w:ascii="仿宋" w:hAnsi="仿宋" w:eastAsia="仿宋" w:cs="仿宋"/>
          <w:sz w:val="32"/>
          <w:szCs w:val="32"/>
        </w:rPr>
        <w:t>推进技术进步，加快科技创新与改造步伐，努力提升广播电视的科技含量和水平。</w:t>
      </w:r>
    </w:p>
    <w:p>
      <w:pPr>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4、负责对广播电视台传输覆盖网络统一规划、统一建设、统一管理，努力扩大县级广播电视对内对外覆盖范围。</w:t>
      </w:r>
    </w:p>
    <w:p>
      <w:pPr>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5、</w:t>
      </w:r>
      <w:r>
        <w:rPr>
          <w:rFonts w:ascii="仿宋" w:hAnsi="仿宋" w:eastAsia="仿宋" w:cs="仿宋"/>
          <w:sz w:val="32"/>
          <w:szCs w:val="32"/>
        </w:rPr>
        <w:t xml:space="preserve"> </w:t>
      </w:r>
      <w:r>
        <w:rPr>
          <w:rFonts w:hint="eastAsia" w:ascii="仿宋" w:hAnsi="仿宋" w:eastAsia="仿宋" w:cs="仿宋"/>
          <w:sz w:val="32"/>
          <w:szCs w:val="32"/>
        </w:rPr>
        <w:t>加强对广播电视台队伍思想建设和业务建设，有计划地培养各类人才；负责对广播电视台直属单位的宣传工作及人、财、物实行统一管理。</w:t>
      </w:r>
    </w:p>
    <w:p>
      <w:pPr>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6、</w:t>
      </w:r>
      <w:r>
        <w:rPr>
          <w:rFonts w:ascii="仿宋" w:hAnsi="仿宋" w:eastAsia="仿宋" w:cs="仿宋"/>
          <w:sz w:val="32"/>
          <w:szCs w:val="32"/>
        </w:rPr>
        <w:t xml:space="preserve"> </w:t>
      </w:r>
      <w:r>
        <w:rPr>
          <w:rFonts w:hint="eastAsia" w:ascii="仿宋" w:hAnsi="仿宋" w:eastAsia="仿宋" w:cs="仿宋"/>
          <w:sz w:val="32"/>
          <w:szCs w:val="32"/>
        </w:rPr>
        <w:t>积极开展广播电视对外交流与合作。</w:t>
      </w:r>
    </w:p>
    <w:p>
      <w:pPr>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7、根据县委、县政府授权，承担广播电视台国有资产管理，并负责保值增值</w:t>
      </w:r>
    </w:p>
    <w:p>
      <w:pPr>
        <w:rPr>
          <w:rFonts w:ascii="仿宋" w:hAnsi="仿宋" w:eastAsia="仿宋" w:cs="Times New Roman"/>
          <w:sz w:val="32"/>
          <w:szCs w:val="32"/>
        </w:rPr>
      </w:pPr>
      <w:r>
        <w:rPr>
          <w:rFonts w:ascii="仿宋" w:hAnsi="仿宋" w:eastAsia="仿宋" w:cs="仿宋"/>
          <w:sz w:val="32"/>
          <w:szCs w:val="32"/>
        </w:rPr>
        <w:t xml:space="preserve">    </w:t>
      </w:r>
      <w:r>
        <w:rPr>
          <w:rFonts w:hint="eastAsia" w:ascii="仿宋" w:hAnsi="仿宋" w:eastAsia="仿宋" w:cs="仿宋"/>
          <w:sz w:val="32"/>
          <w:szCs w:val="32"/>
        </w:rPr>
        <w:t>8、</w:t>
      </w:r>
      <w:r>
        <w:rPr>
          <w:rFonts w:ascii="仿宋" w:hAnsi="仿宋" w:eastAsia="仿宋" w:cs="仿宋"/>
          <w:sz w:val="32"/>
          <w:szCs w:val="32"/>
        </w:rPr>
        <w:t xml:space="preserve"> </w:t>
      </w:r>
      <w:r>
        <w:rPr>
          <w:rFonts w:hint="eastAsia" w:ascii="仿宋" w:hAnsi="仿宋" w:eastAsia="仿宋" w:cs="仿宋"/>
          <w:sz w:val="32"/>
          <w:szCs w:val="32"/>
        </w:rPr>
        <w:t>承办县委、县政府交办的其他事项。　</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hint="eastAsia" w:ascii="仿宋" w:hAnsi="仿宋" w:eastAsia="仿宋" w:cs="Arial"/>
          <w:color w:val="191919"/>
          <w:sz w:val="32"/>
          <w:szCs w:val="32"/>
        </w:rPr>
        <w:t>（二）</w:t>
      </w:r>
      <w:r>
        <w:rPr>
          <w:rFonts w:ascii="仿宋" w:hAnsi="仿宋" w:eastAsia="仿宋" w:cs="Arial"/>
          <w:color w:val="191919"/>
          <w:sz w:val="32"/>
          <w:szCs w:val="32"/>
        </w:rPr>
        <w:t>机构编制情况</w:t>
      </w:r>
    </w:p>
    <w:p>
      <w:pPr>
        <w:pStyle w:val="7"/>
        <w:shd w:val="clear" w:color="auto" w:fill="FFFFFF"/>
        <w:spacing w:before="0" w:beforeAutospacing="0" w:after="0" w:afterAutospacing="0"/>
        <w:ind w:firstLine="640" w:firstLineChars="200"/>
        <w:rPr>
          <w:rFonts w:ascii="仿宋" w:hAnsi="仿宋" w:eastAsia="仿宋" w:cs="Arial"/>
          <w:color w:val="191919"/>
          <w:sz w:val="32"/>
          <w:szCs w:val="32"/>
        </w:rPr>
      </w:pPr>
      <w:r>
        <w:rPr>
          <w:rFonts w:ascii="仿宋" w:hAnsi="仿宋" w:eastAsia="仿宋" w:cs="Arial"/>
          <w:color w:val="191919"/>
          <w:sz w:val="32"/>
          <w:szCs w:val="32"/>
        </w:rPr>
        <w:t>我台为正科级事业单位，编制数</w:t>
      </w:r>
      <w:r>
        <w:rPr>
          <w:rFonts w:hint="eastAsia" w:ascii="仿宋" w:hAnsi="仿宋" w:eastAsia="仿宋" w:cs="Arial"/>
          <w:color w:val="191919"/>
          <w:sz w:val="32"/>
          <w:szCs w:val="32"/>
        </w:rPr>
        <w:t>100</w:t>
      </w:r>
      <w:r>
        <w:rPr>
          <w:rFonts w:ascii="仿宋" w:hAnsi="仿宋" w:eastAsia="仿宋" w:cs="Arial"/>
          <w:color w:val="191919"/>
          <w:sz w:val="32"/>
          <w:szCs w:val="32"/>
        </w:rPr>
        <w:t>名</w:t>
      </w:r>
      <w:r>
        <w:rPr>
          <w:rFonts w:hint="eastAsia" w:ascii="仿宋" w:hAnsi="仿宋" w:eastAsia="仿宋" w:cs="Arial"/>
          <w:color w:val="191919"/>
          <w:sz w:val="32"/>
          <w:szCs w:val="32"/>
        </w:rPr>
        <w:t>（其中财政编制数30名，自支编制数70名）</w:t>
      </w:r>
      <w:r>
        <w:rPr>
          <w:rFonts w:ascii="仿宋" w:hAnsi="仿宋" w:eastAsia="仿宋" w:cs="Arial"/>
          <w:color w:val="191919"/>
          <w:sz w:val="32"/>
          <w:szCs w:val="32"/>
        </w:rPr>
        <w:t>,内设机构</w:t>
      </w:r>
      <w:r>
        <w:rPr>
          <w:rFonts w:hint="eastAsia" w:ascii="仿宋" w:hAnsi="仿宋" w:eastAsia="仿宋" w:cs="Arial"/>
          <w:color w:val="191919"/>
          <w:sz w:val="32"/>
          <w:szCs w:val="32"/>
        </w:rPr>
        <w:t>7</w:t>
      </w:r>
      <w:r>
        <w:rPr>
          <w:rFonts w:ascii="仿宋" w:hAnsi="仿宋" w:eastAsia="仿宋" w:cs="Arial"/>
          <w:color w:val="191919"/>
          <w:sz w:val="32"/>
          <w:szCs w:val="32"/>
        </w:rPr>
        <w:t>个，名称分别是：办公室、</w:t>
      </w:r>
      <w:r>
        <w:rPr>
          <w:rFonts w:hint="eastAsia" w:ascii="仿宋" w:hAnsi="仿宋" w:eastAsia="仿宋" w:cs="Arial"/>
          <w:color w:val="191919"/>
          <w:sz w:val="32"/>
          <w:szCs w:val="32"/>
        </w:rPr>
        <w:t>总编部、新闻专题部、广告信息部、文艺部、监审播出部、微波站</w:t>
      </w:r>
      <w:r>
        <w:rPr>
          <w:rFonts w:ascii="仿宋" w:hAnsi="仿宋" w:eastAsia="仿宋" w:cs="Arial"/>
          <w:color w:val="191919"/>
          <w:sz w:val="32"/>
          <w:szCs w:val="32"/>
        </w:rPr>
        <w:t>。</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hint="eastAsia" w:ascii="仿宋" w:hAnsi="仿宋" w:eastAsia="仿宋" w:cs="Arial"/>
          <w:color w:val="191919"/>
          <w:sz w:val="32"/>
          <w:szCs w:val="32"/>
        </w:rPr>
        <w:t>（三）人员及资产情况</w:t>
      </w:r>
    </w:p>
    <w:p>
      <w:pPr>
        <w:pStyle w:val="7"/>
        <w:shd w:val="clear" w:color="auto" w:fill="FFFFFF"/>
        <w:spacing w:before="0" w:beforeAutospacing="0" w:after="0" w:afterAutospacing="0"/>
        <w:ind w:firstLine="640" w:firstLineChars="200"/>
        <w:rPr>
          <w:rFonts w:ascii="仿宋" w:hAnsi="仿宋" w:eastAsia="仿宋" w:cs="Arial"/>
          <w:color w:val="191919"/>
          <w:sz w:val="32"/>
          <w:szCs w:val="32"/>
        </w:rPr>
      </w:pPr>
      <w:r>
        <w:rPr>
          <w:rFonts w:hint="eastAsia" w:ascii="仿宋" w:hAnsi="仿宋" w:eastAsia="仿宋" w:cs="Arial"/>
          <w:color w:val="191919"/>
          <w:sz w:val="32"/>
          <w:szCs w:val="32"/>
        </w:rPr>
        <w:t>本年末</w:t>
      </w:r>
      <w:r>
        <w:rPr>
          <w:rFonts w:ascii="仿宋" w:hAnsi="仿宋" w:eastAsia="仿宋" w:cs="Arial"/>
          <w:color w:val="191919"/>
          <w:sz w:val="32"/>
          <w:szCs w:val="32"/>
        </w:rPr>
        <w:t>实际在</w:t>
      </w:r>
      <w:r>
        <w:rPr>
          <w:rFonts w:hint="eastAsia" w:ascii="仿宋" w:hAnsi="仿宋" w:eastAsia="仿宋" w:cs="Arial"/>
          <w:color w:val="191919"/>
          <w:sz w:val="32"/>
          <w:szCs w:val="32"/>
        </w:rPr>
        <w:t>职人员72人（其中财政人员30人、自支人员42人）。本年新增移动箱载导播系统、非线性编辑系统、相机及镜头、摄像机及配件、全彩LED显示屏、灯光等固定资产48.25万元，年末固定资产总额943.32万元。</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hint="eastAsia" w:ascii="仿宋" w:hAnsi="仿宋" w:eastAsia="仿宋" w:cs="Arial"/>
          <w:color w:val="191919"/>
          <w:sz w:val="32"/>
          <w:szCs w:val="32"/>
        </w:rPr>
        <w:t>（四）部门履职总体目标</w:t>
      </w:r>
    </w:p>
    <w:p>
      <w:pPr>
        <w:pStyle w:val="7"/>
        <w:shd w:val="clear" w:color="auto" w:fill="FFFFFF"/>
        <w:spacing w:before="0" w:beforeAutospacing="0" w:after="0" w:afterAutospacing="0"/>
        <w:ind w:firstLine="640" w:firstLineChars="200"/>
        <w:rPr>
          <w:rFonts w:ascii="仿宋" w:hAnsi="仿宋" w:eastAsia="仿宋" w:cs="Arial"/>
          <w:color w:val="191919"/>
          <w:sz w:val="32"/>
          <w:szCs w:val="32"/>
        </w:rPr>
      </w:pPr>
      <w:r>
        <w:rPr>
          <w:rFonts w:hint="eastAsia" w:ascii="仿宋" w:hAnsi="仿宋" w:eastAsia="仿宋" w:cs="Arial"/>
          <w:color w:val="191919"/>
          <w:sz w:val="32"/>
          <w:szCs w:val="32"/>
        </w:rPr>
        <w:t>今年以来，县广播电视台在县委、县政府的正确领导下，在县委宣传部的精心指导下，坚持以习近平新时代中国特色社会主义思想为指导，紧紧围绕党的十九大和十九届二中、三中、四中全会精神，围绕县委、县政府“11446”发展思路和“135”发展布局，围绕全年“一二三四”工作思路和全县中心工作，解放思想、开拓创新、抢抓机遇、真抓实干，唱响主旋律，打好主动仗，努力为新时代建设“经济强县、幸福隆尧”鼓与呼，为全县经济社会全面发展营造了良好的舆论氛围。</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hint="eastAsia" w:ascii="仿宋" w:hAnsi="仿宋" w:eastAsia="仿宋" w:cs="Arial"/>
          <w:color w:val="191919"/>
          <w:sz w:val="32"/>
          <w:szCs w:val="32"/>
        </w:rPr>
        <w:t>（五）预算资金安排及资金支出情况</w:t>
      </w:r>
    </w:p>
    <w:p>
      <w:pPr>
        <w:pStyle w:val="7"/>
        <w:shd w:val="clear" w:color="auto" w:fill="FFFFFF"/>
        <w:spacing w:before="0" w:beforeAutospacing="0" w:after="0" w:afterAutospacing="0"/>
        <w:ind w:firstLine="640" w:firstLineChars="200"/>
        <w:rPr>
          <w:rFonts w:ascii="仿宋" w:hAnsi="仿宋" w:eastAsia="仿宋" w:cs="Arial"/>
          <w:color w:val="191919"/>
          <w:sz w:val="32"/>
          <w:szCs w:val="32"/>
        </w:rPr>
      </w:pPr>
      <w:r>
        <w:rPr>
          <w:rFonts w:hint="eastAsia" w:ascii="仿宋" w:hAnsi="仿宋" w:eastAsia="仿宋" w:cs="Arial"/>
          <w:color w:val="191919"/>
          <w:sz w:val="32"/>
          <w:szCs w:val="32"/>
        </w:rPr>
        <w:t>本</w:t>
      </w:r>
      <w:r>
        <w:rPr>
          <w:rFonts w:ascii="仿宋" w:hAnsi="仿宋" w:eastAsia="仿宋" w:cs="Arial"/>
          <w:color w:val="191919"/>
          <w:sz w:val="32"/>
          <w:szCs w:val="32"/>
        </w:rPr>
        <w:t>年</w:t>
      </w:r>
      <w:r>
        <w:rPr>
          <w:rFonts w:hint="eastAsia" w:ascii="仿宋" w:hAnsi="仿宋" w:eastAsia="仿宋" w:cs="Arial"/>
          <w:color w:val="191919"/>
          <w:sz w:val="32"/>
          <w:szCs w:val="32"/>
        </w:rPr>
        <w:t>实际</w:t>
      </w:r>
      <w:r>
        <w:rPr>
          <w:rFonts w:ascii="仿宋" w:hAnsi="仿宋" w:eastAsia="仿宋" w:cs="Arial"/>
          <w:color w:val="191919"/>
          <w:sz w:val="32"/>
          <w:szCs w:val="32"/>
        </w:rPr>
        <w:t>收入</w:t>
      </w:r>
      <w:r>
        <w:rPr>
          <w:rFonts w:hint="eastAsia" w:ascii="仿宋" w:hAnsi="仿宋" w:eastAsia="仿宋" w:cs="Arial"/>
          <w:color w:val="191919"/>
          <w:sz w:val="32"/>
          <w:szCs w:val="32"/>
        </w:rPr>
        <w:t>799.81万</w:t>
      </w:r>
      <w:r>
        <w:rPr>
          <w:rFonts w:ascii="仿宋" w:hAnsi="仿宋" w:eastAsia="仿宋" w:cs="Arial"/>
          <w:color w:val="191919"/>
          <w:sz w:val="32"/>
          <w:szCs w:val="32"/>
        </w:rPr>
        <w:t>元，其中</w:t>
      </w:r>
      <w:r>
        <w:rPr>
          <w:rFonts w:hint="eastAsia" w:ascii="仿宋" w:hAnsi="仿宋" w:eastAsia="仿宋" w:cs="Arial"/>
          <w:color w:val="191919"/>
          <w:sz w:val="32"/>
          <w:szCs w:val="32"/>
        </w:rPr>
        <w:t>一般公共预算</w:t>
      </w:r>
      <w:r>
        <w:rPr>
          <w:rFonts w:ascii="仿宋" w:hAnsi="仿宋" w:eastAsia="仿宋" w:cs="Arial"/>
          <w:color w:val="191919"/>
          <w:sz w:val="32"/>
          <w:szCs w:val="32"/>
        </w:rPr>
        <w:t>财政拨款</w:t>
      </w:r>
      <w:r>
        <w:rPr>
          <w:rFonts w:hint="eastAsia" w:ascii="仿宋" w:hAnsi="仿宋" w:eastAsia="仿宋" w:cs="Arial"/>
          <w:color w:val="191919"/>
          <w:sz w:val="32"/>
          <w:szCs w:val="32"/>
        </w:rPr>
        <w:t>799.81万</w:t>
      </w:r>
      <w:r>
        <w:rPr>
          <w:rFonts w:ascii="仿宋" w:hAnsi="仿宋" w:eastAsia="仿宋" w:cs="Arial"/>
          <w:color w:val="191919"/>
          <w:sz w:val="32"/>
          <w:szCs w:val="32"/>
        </w:rPr>
        <w:t>元。全年总支出</w:t>
      </w:r>
      <w:r>
        <w:rPr>
          <w:rFonts w:hint="eastAsia" w:ascii="仿宋" w:hAnsi="仿宋" w:eastAsia="仿宋" w:cs="Arial"/>
          <w:color w:val="191919"/>
          <w:sz w:val="32"/>
          <w:szCs w:val="32"/>
        </w:rPr>
        <w:t>799.81万</w:t>
      </w:r>
      <w:r>
        <w:rPr>
          <w:rFonts w:ascii="仿宋" w:hAnsi="仿宋" w:eastAsia="仿宋" w:cs="Arial"/>
          <w:color w:val="191919"/>
          <w:sz w:val="32"/>
          <w:szCs w:val="32"/>
        </w:rPr>
        <w:t>元</w:t>
      </w:r>
      <w:r>
        <w:rPr>
          <w:rFonts w:hint="eastAsia" w:ascii="仿宋" w:hAnsi="仿宋" w:eastAsia="仿宋" w:cs="Arial"/>
          <w:color w:val="191919"/>
          <w:sz w:val="32"/>
          <w:szCs w:val="32"/>
        </w:rPr>
        <w:t>，</w:t>
      </w:r>
      <w:r>
        <w:rPr>
          <w:rFonts w:ascii="仿宋" w:hAnsi="仿宋" w:eastAsia="仿宋" w:cs="Arial"/>
          <w:color w:val="191919"/>
          <w:sz w:val="32"/>
          <w:szCs w:val="32"/>
        </w:rPr>
        <w:t>其中：基本支出</w:t>
      </w:r>
      <w:r>
        <w:rPr>
          <w:rFonts w:hint="eastAsia" w:ascii="仿宋" w:hAnsi="仿宋" w:eastAsia="仿宋" w:cs="Arial"/>
          <w:color w:val="191919"/>
          <w:sz w:val="32"/>
          <w:szCs w:val="32"/>
        </w:rPr>
        <w:t>313.28万</w:t>
      </w:r>
      <w:r>
        <w:rPr>
          <w:rFonts w:ascii="仿宋" w:hAnsi="仿宋" w:eastAsia="仿宋" w:cs="Arial"/>
          <w:color w:val="191919"/>
          <w:sz w:val="32"/>
          <w:szCs w:val="32"/>
        </w:rPr>
        <w:t>元（工资福利支出</w:t>
      </w:r>
      <w:r>
        <w:rPr>
          <w:rFonts w:hint="eastAsia" w:ascii="仿宋" w:hAnsi="仿宋" w:eastAsia="仿宋" w:cs="Arial"/>
          <w:color w:val="191919"/>
          <w:sz w:val="32"/>
          <w:szCs w:val="32"/>
        </w:rPr>
        <w:t>289.92万</w:t>
      </w:r>
      <w:r>
        <w:rPr>
          <w:rFonts w:ascii="仿宋" w:hAnsi="仿宋" w:eastAsia="仿宋" w:cs="Arial"/>
          <w:color w:val="191919"/>
          <w:sz w:val="32"/>
          <w:szCs w:val="32"/>
        </w:rPr>
        <w:t>元，商品和服务支出</w:t>
      </w:r>
      <w:r>
        <w:rPr>
          <w:rFonts w:hint="eastAsia" w:ascii="仿宋" w:hAnsi="仿宋" w:eastAsia="仿宋" w:cs="Arial"/>
          <w:color w:val="191919"/>
          <w:sz w:val="32"/>
          <w:szCs w:val="32"/>
        </w:rPr>
        <w:t>15.82</w:t>
      </w:r>
      <w:r>
        <w:rPr>
          <w:rFonts w:ascii="仿宋" w:hAnsi="仿宋" w:eastAsia="仿宋" w:cs="Arial"/>
          <w:color w:val="191919"/>
          <w:sz w:val="32"/>
          <w:szCs w:val="32"/>
        </w:rPr>
        <w:t>元，</w:t>
      </w:r>
      <w:r>
        <w:rPr>
          <w:rFonts w:hint="eastAsia" w:ascii="仿宋" w:hAnsi="仿宋" w:eastAsia="仿宋" w:cs="Arial"/>
          <w:color w:val="191919"/>
          <w:sz w:val="32"/>
          <w:szCs w:val="32"/>
        </w:rPr>
        <w:t>对个人和家庭补助支出7.54万元）；项目支出486.53万元（</w:t>
      </w:r>
      <w:r>
        <w:rPr>
          <w:rFonts w:ascii="仿宋" w:hAnsi="仿宋" w:eastAsia="仿宋" w:cs="Arial"/>
          <w:color w:val="191919"/>
          <w:sz w:val="32"/>
          <w:szCs w:val="32"/>
        </w:rPr>
        <w:t>商品和服务支出</w:t>
      </w:r>
      <w:r>
        <w:rPr>
          <w:rFonts w:hint="eastAsia" w:ascii="仿宋" w:hAnsi="仿宋" w:eastAsia="仿宋" w:cs="Arial"/>
          <w:color w:val="191919"/>
          <w:sz w:val="32"/>
          <w:szCs w:val="32"/>
        </w:rPr>
        <w:t>255.85万元，对个人和家庭补助支出192万元（发票摇奖活动支付奖金），</w:t>
      </w:r>
      <w:r>
        <w:rPr>
          <w:rFonts w:ascii="仿宋" w:hAnsi="仿宋" w:eastAsia="仿宋" w:cs="Arial"/>
          <w:color w:val="191919"/>
          <w:sz w:val="32"/>
          <w:szCs w:val="32"/>
        </w:rPr>
        <w:t>资本性支出</w:t>
      </w:r>
      <w:r>
        <w:rPr>
          <w:rFonts w:hint="eastAsia" w:ascii="仿宋" w:hAnsi="仿宋" w:eastAsia="仿宋" w:cs="Arial"/>
          <w:color w:val="191919"/>
          <w:sz w:val="32"/>
          <w:szCs w:val="32"/>
        </w:rPr>
        <w:t>38.68万</w:t>
      </w:r>
      <w:r>
        <w:rPr>
          <w:rFonts w:ascii="仿宋" w:hAnsi="仿宋" w:eastAsia="仿宋" w:cs="Arial"/>
          <w:color w:val="191919"/>
          <w:sz w:val="32"/>
          <w:szCs w:val="32"/>
        </w:rPr>
        <w:t>元），</w:t>
      </w:r>
      <w:r>
        <w:rPr>
          <w:rFonts w:hint="eastAsia" w:ascii="仿宋" w:hAnsi="仿宋" w:eastAsia="仿宋" w:cs="Arial"/>
          <w:color w:val="191919"/>
          <w:sz w:val="32"/>
          <w:szCs w:val="32"/>
        </w:rPr>
        <w:t>本年无结余资金。</w:t>
      </w:r>
    </w:p>
    <w:p>
      <w:pPr>
        <w:pStyle w:val="7"/>
        <w:shd w:val="clear" w:color="auto" w:fill="FFFFFF"/>
        <w:spacing w:before="0" w:beforeAutospacing="0" w:after="0" w:afterAutospacing="0"/>
        <w:ind w:firstLine="643" w:firstLineChars="200"/>
        <w:rPr>
          <w:rFonts w:ascii="黑体" w:hAnsi="黑体" w:eastAsia="黑体" w:cs="Arial"/>
          <w:b/>
          <w:color w:val="191919"/>
          <w:sz w:val="32"/>
          <w:szCs w:val="32"/>
        </w:rPr>
      </w:pPr>
      <w:r>
        <w:rPr>
          <w:rFonts w:ascii="黑体" w:hAnsi="黑体" w:eastAsia="黑体" w:cs="Arial"/>
          <w:b/>
          <w:color w:val="191919"/>
          <w:sz w:val="32"/>
          <w:szCs w:val="32"/>
        </w:rPr>
        <w:t>二、</w:t>
      </w:r>
      <w:r>
        <w:rPr>
          <w:rFonts w:hint="eastAsia" w:ascii="黑体" w:hAnsi="黑体" w:eastAsia="黑体" w:cs="Arial"/>
          <w:b/>
          <w:color w:val="191919"/>
          <w:sz w:val="32"/>
          <w:szCs w:val="32"/>
        </w:rPr>
        <w:t>预算绩效管理开展及整体绩效实现情况</w:t>
      </w:r>
    </w:p>
    <w:p>
      <w:pPr>
        <w:pStyle w:val="7"/>
        <w:shd w:val="clear" w:color="auto" w:fill="FFFFFF"/>
        <w:spacing w:before="0" w:beforeAutospacing="0" w:after="0" w:afterAutospacing="0"/>
        <w:ind w:firstLine="640" w:firstLineChars="200"/>
        <w:rPr>
          <w:rFonts w:ascii="仿宋" w:hAnsi="仿宋" w:eastAsia="仿宋" w:cs="Arial"/>
          <w:color w:val="191919"/>
          <w:sz w:val="32"/>
          <w:szCs w:val="32"/>
        </w:rPr>
      </w:pPr>
      <w:r>
        <w:rPr>
          <w:rFonts w:ascii="仿宋" w:hAnsi="仿宋" w:eastAsia="仿宋" w:cs="Arial"/>
          <w:color w:val="191919"/>
          <w:sz w:val="32"/>
          <w:szCs w:val="32"/>
        </w:rPr>
        <w:t>一年来，我台努力围绕社会主义核心价值观，围绕县委县政府中心工作、服务大局，推出形式多样的主题报道、系列报道、专题报道和深度报道，201</w:t>
      </w:r>
      <w:r>
        <w:rPr>
          <w:rFonts w:hint="eastAsia" w:ascii="仿宋" w:hAnsi="仿宋" w:eastAsia="仿宋" w:cs="Arial"/>
          <w:color w:val="191919"/>
          <w:sz w:val="32"/>
          <w:szCs w:val="32"/>
        </w:rPr>
        <w:t>9</w:t>
      </w:r>
      <w:r>
        <w:rPr>
          <w:rFonts w:ascii="仿宋" w:hAnsi="仿宋" w:eastAsia="仿宋" w:cs="Arial"/>
          <w:color w:val="191919"/>
          <w:sz w:val="32"/>
          <w:szCs w:val="32"/>
        </w:rPr>
        <w:t>年全台共播发新闻1</w:t>
      </w:r>
      <w:r>
        <w:rPr>
          <w:rFonts w:hint="eastAsia" w:ascii="仿宋" w:hAnsi="仿宋" w:eastAsia="仿宋" w:cs="Arial"/>
          <w:color w:val="191919"/>
          <w:sz w:val="32"/>
          <w:szCs w:val="32"/>
        </w:rPr>
        <w:t>800</w:t>
      </w:r>
      <w:r>
        <w:rPr>
          <w:rFonts w:ascii="仿宋" w:hAnsi="仿宋" w:eastAsia="仿宋" w:cs="Arial"/>
          <w:color w:val="191919"/>
          <w:sz w:val="32"/>
          <w:szCs w:val="32"/>
        </w:rPr>
        <w:t>余条。</w:t>
      </w:r>
    </w:p>
    <w:p>
      <w:pPr>
        <w:spacing w:line="600" w:lineRule="exact"/>
        <w:ind w:firstLine="643" w:firstLineChars="200"/>
        <w:rPr>
          <w:rFonts w:ascii="仿宋" w:hAnsi="仿宋" w:eastAsia="仿宋" w:cs="Arial"/>
          <w:b/>
          <w:color w:val="191919"/>
          <w:kern w:val="0"/>
          <w:sz w:val="32"/>
          <w:szCs w:val="32"/>
        </w:rPr>
      </w:pPr>
      <w:r>
        <w:rPr>
          <w:rFonts w:hint="eastAsia" w:ascii="仿宋" w:hAnsi="仿宋" w:eastAsia="仿宋" w:cs="Arial"/>
          <w:b/>
          <w:color w:val="191919"/>
          <w:kern w:val="0"/>
          <w:sz w:val="32"/>
          <w:szCs w:val="32"/>
        </w:rPr>
        <w:t>（一）围绕中心，主动发声，努力提升舆论引导能力</w:t>
      </w:r>
    </w:p>
    <w:p>
      <w:pPr>
        <w:pStyle w:val="7"/>
        <w:shd w:val="clear" w:color="auto" w:fill="FFFFFF"/>
        <w:spacing w:before="0" w:beforeAutospacing="0" w:after="0" w:afterAutospacing="0"/>
        <w:ind w:firstLine="640" w:firstLineChars="200"/>
        <w:rPr>
          <w:rFonts w:ascii="仿宋" w:hAnsi="仿宋" w:eastAsia="仿宋" w:cs="Arial"/>
          <w:color w:val="191919"/>
          <w:sz w:val="32"/>
          <w:szCs w:val="32"/>
        </w:rPr>
      </w:pPr>
      <w:r>
        <w:rPr>
          <w:rFonts w:hint="eastAsia" w:ascii="仿宋" w:hAnsi="仿宋" w:eastAsia="仿宋" w:cs="Arial"/>
          <w:color w:val="191919"/>
          <w:sz w:val="32"/>
          <w:szCs w:val="32"/>
        </w:rPr>
        <w:t>充分利用《隆尧新闻》栏目、《隆尧发布》《隆尧广电》微信公众号、《智慧隆尧》</w:t>
      </w:r>
      <w:r>
        <w:rPr>
          <w:rFonts w:ascii="仿宋" w:hAnsi="仿宋" w:eastAsia="仿宋" w:cs="Arial"/>
          <w:color w:val="191919"/>
          <w:sz w:val="32"/>
          <w:szCs w:val="32"/>
        </w:rPr>
        <w:t>APP</w:t>
      </w:r>
      <w:r>
        <w:rPr>
          <w:rFonts w:hint="eastAsia" w:ascii="仿宋" w:hAnsi="仿宋" w:eastAsia="仿宋" w:cs="Arial"/>
          <w:color w:val="191919"/>
          <w:sz w:val="32"/>
          <w:szCs w:val="32"/>
        </w:rPr>
        <w:t>客户端、滚动字幕等载体，全面宣传解读习近平新时代中国特色社会主义思想和党的十九届二中、三中、四中全会精神，让党的方针路线政策进入寻常百姓家。除报道好会议召开盛况外，还开办特别报道专栏，对每一次会议的主旨报告进行详细解读。围绕县“两会”隆重召开，开办《“两会”精神解读》专栏；围绕“三深化、三提升”和“狠抓落实年”等中心工作，开办了《三深化、三提升，狠抓落实见行动》专栏；围绕创建省级文明县城工作，开办《创城进行时》《曝光台》等专栏，详细介绍各乡镇、县直各部门贯彻落实会议精神情况和采取的有力措施，全面展示我县取得的成就。围绕美丽乡村建设工作，开展集中宣传报道，充分展示了我县在乡村人居环境方面取得的成效。围绕招商引资、项目建设、大气污染治理、精准扶贫攻坚、违法占地整治和促进教育振兴等重点难点工作，多方位、立体式开展宣传，在社会上引起了强烈反响，营造了良好的舆论氛围。</w:t>
      </w:r>
    </w:p>
    <w:p>
      <w:pPr>
        <w:spacing w:line="600" w:lineRule="exact"/>
        <w:ind w:firstLine="640" w:firstLineChars="200"/>
        <w:rPr>
          <w:rFonts w:ascii="仿宋" w:hAnsi="仿宋" w:eastAsia="仿宋" w:cs="Arial"/>
          <w:color w:val="191919"/>
          <w:kern w:val="0"/>
          <w:sz w:val="32"/>
          <w:szCs w:val="32"/>
        </w:rPr>
      </w:pPr>
      <w:r>
        <w:rPr>
          <w:rFonts w:hint="eastAsia" w:ascii="仿宋" w:hAnsi="仿宋" w:eastAsia="仿宋" w:cs="Arial"/>
          <w:color w:val="191919"/>
          <w:kern w:val="0"/>
          <w:sz w:val="32"/>
          <w:szCs w:val="32"/>
        </w:rPr>
        <w:t>全年在中央、省、市媒体发稿108篇，利用《隆尧发布》《隆尧广电》微信公众号发布各类信息3800多条。</w:t>
      </w:r>
    </w:p>
    <w:p>
      <w:pPr>
        <w:spacing w:line="600" w:lineRule="exact"/>
        <w:ind w:firstLine="482" w:firstLineChars="150"/>
        <w:rPr>
          <w:rFonts w:ascii="仿宋" w:hAnsi="仿宋" w:eastAsia="仿宋" w:cs="Arial"/>
          <w:b/>
          <w:color w:val="191919"/>
          <w:kern w:val="0"/>
          <w:sz w:val="32"/>
          <w:szCs w:val="32"/>
        </w:rPr>
      </w:pPr>
      <w:r>
        <w:rPr>
          <w:rFonts w:hint="eastAsia" w:ascii="仿宋" w:hAnsi="仿宋" w:eastAsia="仿宋" w:cs="Arial"/>
          <w:b/>
          <w:color w:val="191919"/>
          <w:kern w:val="0"/>
          <w:sz w:val="32"/>
          <w:szCs w:val="32"/>
        </w:rPr>
        <w:t>（二）创新载体，举办活动，丰富群众精神文化生活</w:t>
      </w:r>
    </w:p>
    <w:p>
      <w:pPr>
        <w:spacing w:line="600" w:lineRule="exact"/>
        <w:ind w:firstLine="640" w:firstLineChars="200"/>
        <w:rPr>
          <w:rFonts w:ascii="仿宋" w:hAnsi="仿宋" w:eastAsia="仿宋" w:cs="Arial"/>
          <w:color w:val="191919"/>
          <w:kern w:val="0"/>
          <w:sz w:val="32"/>
          <w:szCs w:val="32"/>
        </w:rPr>
      </w:pPr>
      <w:r>
        <w:rPr>
          <w:rFonts w:hint="eastAsia" w:ascii="仿宋" w:hAnsi="仿宋" w:eastAsia="仿宋" w:cs="Arial"/>
          <w:color w:val="191919"/>
          <w:kern w:val="0"/>
          <w:sz w:val="32"/>
          <w:szCs w:val="32"/>
        </w:rPr>
        <w:t>充分利用传统节日和重要纪念日开展系列文艺活动。我们自己主办或联合其他部门共同举办了2019年教育系统元旦文艺汇演、隆尧县2019春节文艺晚会、少儿春晚，策划录制了《庆三八表彰大会》、“庆五一、迎五四”青年干部职工诵读大赛、“庆六一”少儿文艺晚会、隆尧县首届校园好故事讲演大赛等30多场大型活动，极大的丰富了全县基层群众的文化生活，传播了隆尧好声音，凝聚了发展正能量。发挥媒体作用，积极服务于经济建设。举办了第四届小孟瓜果蔬菜采摘文化节、第五届河北梅庄苹果文化节等活动，为发展特色农业起到了积极的推动作用。在县政府的指导下，协助财政局、税务局举办发票摇奖活动12期，通过现场开奖、广告宣传等措施，大力宣传综合治税政策，提高了全民协税护税纳税意识，促进了全县的财税工作。发票摇奖活动受到了省、市财税部门有关领导的好评。</w:t>
      </w:r>
    </w:p>
    <w:p>
      <w:pPr>
        <w:spacing w:line="600" w:lineRule="exact"/>
        <w:ind w:firstLine="643" w:firstLineChars="200"/>
        <w:rPr>
          <w:rFonts w:ascii="仿宋" w:hAnsi="仿宋" w:eastAsia="仿宋" w:cs="Arial"/>
          <w:b/>
          <w:color w:val="191919"/>
          <w:kern w:val="0"/>
          <w:sz w:val="32"/>
          <w:szCs w:val="32"/>
        </w:rPr>
      </w:pPr>
      <w:r>
        <w:rPr>
          <w:rFonts w:hint="eastAsia" w:ascii="仿宋" w:hAnsi="仿宋" w:eastAsia="仿宋" w:cs="Arial"/>
          <w:b/>
          <w:color w:val="191919"/>
          <w:kern w:val="0"/>
          <w:sz w:val="32"/>
          <w:szCs w:val="32"/>
        </w:rPr>
        <w:t>（三）强化创新，挖掘内涵，努力打造名牌栏目</w:t>
      </w:r>
    </w:p>
    <w:p>
      <w:pPr>
        <w:spacing w:line="600" w:lineRule="exact"/>
        <w:ind w:firstLine="640" w:firstLineChars="200"/>
        <w:jc w:val="left"/>
        <w:rPr>
          <w:rFonts w:ascii="仿宋" w:hAnsi="仿宋" w:eastAsia="仿宋" w:cs="Arial"/>
          <w:color w:val="191919"/>
          <w:kern w:val="0"/>
          <w:sz w:val="32"/>
          <w:szCs w:val="32"/>
        </w:rPr>
      </w:pPr>
      <w:r>
        <w:rPr>
          <w:rFonts w:hint="eastAsia" w:ascii="仿宋" w:hAnsi="仿宋" w:eastAsia="仿宋" w:cs="Arial"/>
          <w:color w:val="191919"/>
          <w:kern w:val="0"/>
          <w:sz w:val="32"/>
          <w:szCs w:val="32"/>
        </w:rPr>
        <w:t>一是开办《打赢生态环保攻坚战》《扫黑除恶在行动》专栏。充分发挥《隆尧新闻》栏目和《隆尧发布》《隆尧广电》微信公众号、《智慧隆尧》</w:t>
      </w:r>
      <w:r>
        <w:rPr>
          <w:rFonts w:ascii="仿宋" w:hAnsi="仿宋" w:eastAsia="仿宋" w:cs="Arial"/>
          <w:color w:val="191919"/>
          <w:kern w:val="0"/>
          <w:sz w:val="32"/>
          <w:szCs w:val="32"/>
        </w:rPr>
        <w:t>APP</w:t>
      </w:r>
      <w:r>
        <w:rPr>
          <w:rFonts w:hint="eastAsia" w:ascii="仿宋" w:hAnsi="仿宋" w:eastAsia="仿宋" w:cs="Arial"/>
          <w:color w:val="191919"/>
          <w:kern w:val="0"/>
          <w:sz w:val="32"/>
          <w:szCs w:val="32"/>
        </w:rPr>
        <w:t>传播快、受众多的优势，开办《打赢生态环保攻坚战》《扫黑除恶在行动》专栏，全面展示隆尧攻坚克难营造良好生活环境方面所采取的强力行动和取得的优异成绩。二是策划“醉美尧乡”微视频系列。推出的《醉美尧乡——之又见梨花开》等微视频，画面美轮美奂，一经发布便受到了广大观众的喜爱。微视频上传至“央视新闻移动网”后，被央视编辑收录到“精选”版块，在国家级媒体展示了我们大美隆尧的风采。三是开办《关注三农》栏目。围绕乡村振兴和现代农业建设，将三农政策传达到基层，将最新资讯信息传达给观众，将农业科学技术传递给农民，助力现代农业发展。四是开办《两个责任在基层》专栏。联合县纪委、监委开办的《两个责任在基层》栏目，多方位介绍了党风廉政建设落实于各个阶层，全参与、全覆盖。五是联合开办《法治在线》《普法微课堂》等栏目。两个栏目共举办20期，通过解说法律内容，依案说法、依案明理，从案例中汲取经验，增强基层干部群众法治意识，提升维权能力，营造良好法治氛围。六是开办了《政协委员风采录》栏目。推出优秀政协委员21名，展示了政协委员参政议政、投身公益事业的风采。</w:t>
      </w:r>
    </w:p>
    <w:p>
      <w:pPr>
        <w:spacing w:line="600" w:lineRule="exact"/>
        <w:ind w:firstLine="643" w:firstLineChars="200"/>
        <w:rPr>
          <w:rFonts w:ascii="黑体" w:hAnsi="黑体" w:eastAsia="黑体" w:cs="Arial"/>
          <w:b/>
          <w:color w:val="191919"/>
          <w:kern w:val="0"/>
          <w:sz w:val="32"/>
          <w:szCs w:val="32"/>
        </w:rPr>
      </w:pPr>
      <w:r>
        <w:rPr>
          <w:rFonts w:hint="eastAsia" w:ascii="黑体" w:hAnsi="黑体" w:eastAsia="黑体" w:cs="Arial"/>
          <w:b/>
          <w:color w:val="191919"/>
          <w:kern w:val="0"/>
          <w:sz w:val="32"/>
          <w:szCs w:val="32"/>
        </w:rPr>
        <w:t>三、绩效评价的组织实施情况</w:t>
      </w:r>
    </w:p>
    <w:p>
      <w:pPr>
        <w:pStyle w:val="7"/>
        <w:shd w:val="clear" w:color="auto" w:fill="FFFFFF"/>
        <w:spacing w:before="0" w:beforeAutospacing="0" w:after="0" w:afterAutospacing="0"/>
        <w:ind w:firstLine="640" w:firstLineChars="200"/>
        <w:rPr>
          <w:rFonts w:ascii="仿宋" w:hAnsi="仿宋" w:eastAsia="仿宋" w:cs="Arial"/>
          <w:color w:val="191919"/>
          <w:sz w:val="32"/>
          <w:szCs w:val="32"/>
        </w:rPr>
      </w:pPr>
      <w:r>
        <w:rPr>
          <w:rFonts w:hint="eastAsia" w:ascii="仿宋_GB2312" w:eastAsia="仿宋_GB2312"/>
          <w:sz w:val="32"/>
          <w:szCs w:val="32"/>
        </w:rPr>
        <w:t>我</w:t>
      </w:r>
      <w:r>
        <w:rPr>
          <w:rFonts w:hint="eastAsia" w:ascii="仿宋_GB2312" w:hAnsi="Calibri" w:eastAsia="仿宋_GB2312" w:cs="Times New Roman"/>
          <w:sz w:val="32"/>
          <w:szCs w:val="32"/>
        </w:rPr>
        <w:t>台按照</w:t>
      </w:r>
      <w:r>
        <w:rPr>
          <w:rFonts w:hint="eastAsia" w:ascii="仿宋_GB2312" w:hAnsi="仿宋_GB2312" w:eastAsia="仿宋_GB2312" w:cs="仿宋_GB2312"/>
          <w:sz w:val="32"/>
          <w:szCs w:val="32"/>
        </w:rPr>
        <w:t>《隆尧县县级部门绩效自评办法》（隆财〔2020〕28号）的相关要求，</w:t>
      </w:r>
      <w:r>
        <w:rPr>
          <w:rFonts w:hint="eastAsia" w:ascii="仿宋_GB2312" w:eastAsia="仿宋_GB2312"/>
          <w:sz w:val="32"/>
          <w:szCs w:val="32"/>
        </w:rPr>
        <w:t>成立以台</w:t>
      </w:r>
      <w:r>
        <w:rPr>
          <w:rFonts w:hint="eastAsia" w:ascii="仿宋_GB2312" w:hAnsi="Calibri" w:eastAsia="仿宋_GB2312" w:cs="Times New Roman"/>
          <w:sz w:val="32"/>
          <w:szCs w:val="32"/>
        </w:rPr>
        <w:t>长为组长的自评小组，</w:t>
      </w:r>
      <w:r>
        <w:rPr>
          <w:rFonts w:hint="eastAsia" w:ascii="仿宋_GB2312" w:eastAsia="仿宋_GB2312"/>
          <w:sz w:val="32"/>
          <w:szCs w:val="32"/>
        </w:rPr>
        <w:t>设计评价指标，制定绩效自评工作方案，</w:t>
      </w:r>
      <w:r>
        <w:rPr>
          <w:rFonts w:hint="eastAsia" w:ascii="仿宋_GB2312" w:hAnsi="Calibri" w:eastAsia="仿宋_GB2312" w:cs="Times New Roman"/>
          <w:sz w:val="32"/>
          <w:szCs w:val="32"/>
        </w:rPr>
        <w:t>认真开展项目绩效自评工作</w:t>
      </w:r>
      <w:r>
        <w:rPr>
          <w:rFonts w:hint="eastAsia" w:ascii="仿宋" w:hAnsi="仿宋" w:eastAsia="仿宋" w:cs="Arial"/>
          <w:color w:val="191919"/>
          <w:sz w:val="32"/>
          <w:szCs w:val="32"/>
        </w:rPr>
        <w:t>，对部门整体支出进行了科学合理的评价。</w:t>
      </w:r>
    </w:p>
    <w:p>
      <w:pPr>
        <w:pStyle w:val="7"/>
        <w:shd w:val="clear" w:color="auto" w:fill="FFFFFF"/>
        <w:spacing w:before="0" w:beforeAutospacing="0" w:after="0" w:afterAutospacing="0"/>
        <w:rPr>
          <w:rFonts w:ascii="仿宋" w:hAnsi="仿宋" w:eastAsia="仿宋" w:cs="Arial"/>
          <w:color w:val="191919"/>
          <w:sz w:val="32"/>
          <w:szCs w:val="32"/>
        </w:rPr>
      </w:pPr>
      <w:r>
        <w:rPr>
          <w:rFonts w:ascii="仿宋" w:hAnsi="仿宋" w:eastAsia="仿宋" w:cs="Arial"/>
          <w:color w:val="191919"/>
          <w:sz w:val="32"/>
          <w:szCs w:val="32"/>
        </w:rPr>
        <w:t>绩效评价工作如下：</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ascii="仿宋" w:hAnsi="仿宋" w:eastAsia="仿宋" w:cs="Arial"/>
          <w:color w:val="191919"/>
          <w:sz w:val="32"/>
          <w:szCs w:val="32"/>
        </w:rPr>
        <w:t>（一）核实数据。对201</w:t>
      </w:r>
      <w:r>
        <w:rPr>
          <w:rFonts w:hint="eastAsia" w:ascii="仿宋" w:hAnsi="仿宋" w:eastAsia="仿宋" w:cs="Arial"/>
          <w:color w:val="191919"/>
          <w:sz w:val="32"/>
          <w:szCs w:val="32"/>
        </w:rPr>
        <w:t>9</w:t>
      </w:r>
      <w:r>
        <w:rPr>
          <w:rFonts w:ascii="仿宋" w:hAnsi="仿宋" w:eastAsia="仿宋" w:cs="Arial"/>
          <w:color w:val="191919"/>
          <w:sz w:val="32"/>
          <w:szCs w:val="32"/>
        </w:rPr>
        <w:t>年度部门整体支出数据的准确性、真实性进行核实，将201</w:t>
      </w:r>
      <w:r>
        <w:rPr>
          <w:rFonts w:hint="eastAsia" w:ascii="仿宋" w:hAnsi="仿宋" w:eastAsia="仿宋" w:cs="Arial"/>
          <w:color w:val="191919"/>
          <w:sz w:val="32"/>
          <w:szCs w:val="32"/>
        </w:rPr>
        <w:t>9</w:t>
      </w:r>
      <w:r>
        <w:rPr>
          <w:rFonts w:ascii="仿宋" w:hAnsi="仿宋" w:eastAsia="仿宋" w:cs="Arial"/>
          <w:color w:val="191919"/>
          <w:sz w:val="32"/>
          <w:szCs w:val="32"/>
        </w:rPr>
        <w:t>年度</w:t>
      </w:r>
      <w:r>
        <w:rPr>
          <w:rFonts w:hint="eastAsia" w:ascii="仿宋" w:hAnsi="仿宋" w:eastAsia="仿宋" w:cs="Arial"/>
          <w:color w:val="191919"/>
          <w:sz w:val="32"/>
          <w:szCs w:val="32"/>
        </w:rPr>
        <w:t>预算数</w:t>
      </w:r>
      <w:r>
        <w:rPr>
          <w:rFonts w:ascii="仿宋" w:hAnsi="仿宋" w:eastAsia="仿宋" w:cs="Arial"/>
          <w:color w:val="191919"/>
          <w:sz w:val="32"/>
          <w:szCs w:val="32"/>
        </w:rPr>
        <w:t>和</w:t>
      </w:r>
      <w:r>
        <w:rPr>
          <w:rFonts w:hint="eastAsia" w:ascii="仿宋" w:hAnsi="仿宋" w:eastAsia="仿宋" w:cs="Arial"/>
          <w:color w:val="191919"/>
          <w:sz w:val="32"/>
          <w:szCs w:val="32"/>
        </w:rPr>
        <w:t>决算数</w:t>
      </w:r>
      <w:r>
        <w:rPr>
          <w:rFonts w:ascii="仿宋" w:hAnsi="仿宋" w:eastAsia="仿宋" w:cs="Arial"/>
          <w:color w:val="191919"/>
          <w:sz w:val="32"/>
          <w:szCs w:val="32"/>
        </w:rPr>
        <w:t>部门整体支出情况进行比较分析。</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ascii="仿宋" w:hAnsi="仿宋" w:eastAsia="仿宋" w:cs="Arial"/>
          <w:color w:val="191919"/>
          <w:sz w:val="32"/>
          <w:szCs w:val="32"/>
        </w:rPr>
        <w:t>（二）查阅资料。查阅201</w:t>
      </w:r>
      <w:r>
        <w:rPr>
          <w:rFonts w:hint="eastAsia" w:ascii="仿宋" w:hAnsi="仿宋" w:eastAsia="仿宋" w:cs="Arial"/>
          <w:color w:val="191919"/>
          <w:sz w:val="32"/>
          <w:szCs w:val="32"/>
        </w:rPr>
        <w:t>9</w:t>
      </w:r>
      <w:r>
        <w:rPr>
          <w:rFonts w:ascii="仿宋" w:hAnsi="仿宋" w:eastAsia="仿宋" w:cs="Arial"/>
          <w:color w:val="191919"/>
          <w:sz w:val="32"/>
          <w:szCs w:val="32"/>
        </w:rPr>
        <w:t>年度预算安排、非税收入、预算追加、资金管理、经费支出、资产管理等相关文件资料和财务凭证。</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ascii="仿宋" w:hAnsi="仿宋" w:eastAsia="仿宋" w:cs="Arial"/>
          <w:color w:val="191919"/>
          <w:sz w:val="32"/>
          <w:szCs w:val="32"/>
        </w:rPr>
        <w:t>（三）实地查看。现场查看实物资产等。</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ascii="仿宋" w:hAnsi="仿宋" w:eastAsia="仿宋" w:cs="Arial"/>
          <w:color w:val="191919"/>
          <w:sz w:val="32"/>
          <w:szCs w:val="32"/>
        </w:rPr>
        <w:t>（</w:t>
      </w:r>
      <w:r>
        <w:rPr>
          <w:rFonts w:hint="eastAsia" w:ascii="仿宋" w:hAnsi="仿宋" w:eastAsia="仿宋" w:cs="Arial"/>
          <w:color w:val="191919"/>
          <w:sz w:val="32"/>
          <w:szCs w:val="32"/>
        </w:rPr>
        <w:t>四</w:t>
      </w:r>
      <w:r>
        <w:rPr>
          <w:rFonts w:ascii="仿宋" w:hAnsi="仿宋" w:eastAsia="仿宋" w:cs="Arial"/>
          <w:color w:val="191919"/>
          <w:sz w:val="32"/>
          <w:szCs w:val="32"/>
        </w:rPr>
        <w:t>）归纳汇总。对提供的材料及自评报告，结合现场评价情况进行综合分析、归纳汇总。</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ascii="仿宋" w:hAnsi="仿宋" w:eastAsia="仿宋" w:cs="Arial"/>
          <w:color w:val="191919"/>
          <w:sz w:val="32"/>
          <w:szCs w:val="32"/>
        </w:rPr>
        <w:t>（六）评价组对各项评价指标进行分析讨论。</w:t>
      </w:r>
    </w:p>
    <w:p>
      <w:pPr>
        <w:pStyle w:val="7"/>
        <w:shd w:val="clear" w:color="auto" w:fill="FFFFFF"/>
        <w:spacing w:before="0" w:beforeAutospacing="0" w:after="0" w:afterAutospacing="0"/>
        <w:ind w:firstLine="480" w:firstLineChars="150"/>
        <w:rPr>
          <w:rFonts w:ascii="仿宋" w:hAnsi="仿宋" w:eastAsia="仿宋" w:cs="Arial"/>
          <w:color w:val="191919"/>
          <w:sz w:val="32"/>
          <w:szCs w:val="32"/>
        </w:rPr>
      </w:pPr>
      <w:r>
        <w:rPr>
          <w:rFonts w:ascii="仿宋" w:hAnsi="仿宋" w:eastAsia="仿宋" w:cs="Arial"/>
          <w:color w:val="191919"/>
          <w:sz w:val="32"/>
          <w:szCs w:val="32"/>
        </w:rPr>
        <w:t>（七）形成绩效评价报告。</w:t>
      </w:r>
    </w:p>
    <w:p>
      <w:pPr>
        <w:pStyle w:val="7"/>
        <w:shd w:val="clear" w:color="auto" w:fill="FFFFFF"/>
        <w:spacing w:before="0" w:beforeAutospacing="0" w:after="0" w:afterAutospacing="0"/>
        <w:ind w:firstLine="643" w:firstLineChars="200"/>
        <w:rPr>
          <w:rFonts w:ascii="黑体" w:hAnsi="黑体" w:eastAsia="黑体" w:cs="Arial"/>
          <w:b/>
          <w:color w:val="191919"/>
          <w:sz w:val="32"/>
          <w:szCs w:val="32"/>
        </w:rPr>
      </w:pPr>
      <w:r>
        <w:rPr>
          <w:rFonts w:hint="eastAsia" w:ascii="黑体" w:hAnsi="黑体" w:eastAsia="黑体" w:cs="Arial"/>
          <w:b/>
          <w:color w:val="191919"/>
          <w:sz w:val="32"/>
          <w:szCs w:val="32"/>
        </w:rPr>
        <w:t>四、各项绩效目标的实现程度及差异原因分析</w:t>
      </w:r>
    </w:p>
    <w:p>
      <w:pPr>
        <w:spacing w:line="560" w:lineRule="exact"/>
        <w:ind w:firstLine="640" w:firstLineChars="200"/>
        <w:rPr>
          <w:rFonts w:ascii="仿宋" w:hAnsi="仿宋" w:eastAsia="仿宋" w:cs="仿宋"/>
          <w:sz w:val="32"/>
          <w:szCs w:val="32"/>
        </w:rPr>
      </w:pPr>
      <w:r>
        <w:rPr>
          <w:rFonts w:hint="eastAsia" w:ascii="仿宋" w:hAnsi="仿宋" w:eastAsia="仿宋" w:cs="Arial"/>
          <w:color w:val="191919"/>
          <w:sz w:val="32"/>
          <w:szCs w:val="32"/>
        </w:rPr>
        <w:t>通过绩效评价，发现</w:t>
      </w:r>
      <w:r>
        <w:rPr>
          <w:rFonts w:hint="eastAsia" w:ascii="仿宋" w:hAnsi="仿宋" w:eastAsia="仿宋"/>
          <w:color w:val="000000"/>
          <w:sz w:val="30"/>
          <w:szCs w:val="24"/>
        </w:rPr>
        <w:t>部门各类项目基本符合规定</w:t>
      </w:r>
      <w:r>
        <w:rPr>
          <w:rFonts w:hint="eastAsia" w:ascii="仿宋" w:hAnsi="仿宋" w:eastAsia="仿宋"/>
          <w:color w:val="000000"/>
          <w:sz w:val="30"/>
        </w:rPr>
        <w:t>，但存在</w:t>
      </w:r>
      <w:r>
        <w:rPr>
          <w:rFonts w:hint="eastAsia" w:ascii="仿宋" w:hAnsi="仿宋" w:eastAsia="仿宋"/>
          <w:color w:val="000000"/>
          <w:sz w:val="30"/>
          <w:szCs w:val="24"/>
        </w:rPr>
        <w:t>绩效目标不够明确、目标细化程度不足，项目预算执行率不高等现象，绩效指标体系有待进一步完善。</w:t>
      </w: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13</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C4412"/>
    <w:rsid w:val="000E4A5A"/>
    <w:rsid w:val="0010295C"/>
    <w:rsid w:val="00103547"/>
    <w:rsid w:val="0010364D"/>
    <w:rsid w:val="0017068B"/>
    <w:rsid w:val="00170E8B"/>
    <w:rsid w:val="0017359D"/>
    <w:rsid w:val="00185A3C"/>
    <w:rsid w:val="00192D5A"/>
    <w:rsid w:val="001C59B3"/>
    <w:rsid w:val="001E0712"/>
    <w:rsid w:val="001E0886"/>
    <w:rsid w:val="001F7E31"/>
    <w:rsid w:val="002071BC"/>
    <w:rsid w:val="00225AE6"/>
    <w:rsid w:val="00235F0F"/>
    <w:rsid w:val="00255783"/>
    <w:rsid w:val="00290BA1"/>
    <w:rsid w:val="002A6AEA"/>
    <w:rsid w:val="002F2268"/>
    <w:rsid w:val="003544D2"/>
    <w:rsid w:val="003C50C2"/>
    <w:rsid w:val="0041099F"/>
    <w:rsid w:val="00436A1D"/>
    <w:rsid w:val="004379D7"/>
    <w:rsid w:val="004415D4"/>
    <w:rsid w:val="0044432F"/>
    <w:rsid w:val="00446210"/>
    <w:rsid w:val="00446D21"/>
    <w:rsid w:val="00491E3C"/>
    <w:rsid w:val="004A68B1"/>
    <w:rsid w:val="004B64F3"/>
    <w:rsid w:val="004E3B64"/>
    <w:rsid w:val="005020C5"/>
    <w:rsid w:val="00527538"/>
    <w:rsid w:val="00567FE6"/>
    <w:rsid w:val="0058162A"/>
    <w:rsid w:val="005B3616"/>
    <w:rsid w:val="005E06A6"/>
    <w:rsid w:val="005E12FA"/>
    <w:rsid w:val="00616E34"/>
    <w:rsid w:val="006757F9"/>
    <w:rsid w:val="00683167"/>
    <w:rsid w:val="006A5056"/>
    <w:rsid w:val="006E64C9"/>
    <w:rsid w:val="006F42C2"/>
    <w:rsid w:val="007048FF"/>
    <w:rsid w:val="00712100"/>
    <w:rsid w:val="0071700D"/>
    <w:rsid w:val="00742652"/>
    <w:rsid w:val="00757888"/>
    <w:rsid w:val="00763FE0"/>
    <w:rsid w:val="00772600"/>
    <w:rsid w:val="0079508C"/>
    <w:rsid w:val="007D5D41"/>
    <w:rsid w:val="007F01F9"/>
    <w:rsid w:val="00856BA1"/>
    <w:rsid w:val="00867620"/>
    <w:rsid w:val="008709E0"/>
    <w:rsid w:val="008850F3"/>
    <w:rsid w:val="008A6A10"/>
    <w:rsid w:val="008A6A31"/>
    <w:rsid w:val="008B557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AE2AD4"/>
    <w:rsid w:val="00B0681D"/>
    <w:rsid w:val="00B41CAE"/>
    <w:rsid w:val="00B50131"/>
    <w:rsid w:val="00B809F7"/>
    <w:rsid w:val="00B9023F"/>
    <w:rsid w:val="00BA6074"/>
    <w:rsid w:val="00BC1FDC"/>
    <w:rsid w:val="00BD0FD8"/>
    <w:rsid w:val="00BE63DC"/>
    <w:rsid w:val="00C44804"/>
    <w:rsid w:val="00C6362A"/>
    <w:rsid w:val="00C6687A"/>
    <w:rsid w:val="00C81363"/>
    <w:rsid w:val="00CB27A5"/>
    <w:rsid w:val="00CD55ED"/>
    <w:rsid w:val="00CD63C0"/>
    <w:rsid w:val="00CE62A0"/>
    <w:rsid w:val="00CE66D4"/>
    <w:rsid w:val="00D21F0C"/>
    <w:rsid w:val="00D366C1"/>
    <w:rsid w:val="00D877F7"/>
    <w:rsid w:val="00DA757C"/>
    <w:rsid w:val="00DB2D43"/>
    <w:rsid w:val="00E266F1"/>
    <w:rsid w:val="00E73FBA"/>
    <w:rsid w:val="00E85A63"/>
    <w:rsid w:val="00EB16A8"/>
    <w:rsid w:val="00EC7904"/>
    <w:rsid w:val="00F15A0D"/>
    <w:rsid w:val="00F5616E"/>
    <w:rsid w:val="00F72E93"/>
    <w:rsid w:val="00F87A11"/>
    <w:rsid w:val="00FA1919"/>
    <w:rsid w:val="00FB7E01"/>
    <w:rsid w:val="00FE5F4C"/>
    <w:rsid w:val="00FF39F6"/>
    <w:rsid w:val="05374814"/>
    <w:rsid w:val="0F8F6BFC"/>
    <w:rsid w:val="25FC2C1E"/>
    <w:rsid w:val="3791647A"/>
    <w:rsid w:val="455969D8"/>
    <w:rsid w:val="526A3656"/>
    <w:rsid w:val="5D643D56"/>
    <w:rsid w:val="69BD0A47"/>
    <w:rsid w:val="71A911C9"/>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autoRedefine/>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autoRedefine/>
    <w:qFormat/>
    <w:uiPriority w:val="9"/>
    <w:rPr>
      <w:rFonts w:ascii="宋体" w:hAnsi="宋体" w:eastAsia="宋体" w:cs="宋体"/>
      <w:b/>
      <w:kern w:val="44"/>
      <w:sz w:val="48"/>
      <w:szCs w:val="48"/>
    </w:rPr>
  </w:style>
  <w:style w:type="character" w:customStyle="1" w:styleId="16">
    <w:name w:val="font31"/>
    <w:basedOn w:val="9"/>
    <w:autoRedefine/>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13</Pages>
  <Words>1293</Words>
  <Characters>7375</Characters>
  <Lines>61</Lines>
  <Paragraphs>17</Paragraphs>
  <TotalTime>220</TotalTime>
  <ScaleCrop>false</ScaleCrop>
  <LinksUpToDate>false</LinksUpToDate>
  <CharactersWithSpaces>8651</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童话故事书</cp:lastModifiedBy>
  <cp:lastPrinted>2020-05-29T08:01:00Z</cp:lastPrinted>
  <dcterms:modified xsi:type="dcterms:W3CDTF">2024-04-03T07:00:26Z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CC302B788A8548A2BB15C4E87F6CBBE8_12</vt:lpwstr>
  </property>
</Properties>
</file>