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rPr>
      </w:pPr>
    </w:p>
    <w:p>
      <w:pPr>
        <w:widowControl/>
        <w:spacing w:line="480" w:lineRule="exact"/>
        <w:jc w:val="left"/>
        <w:rPr>
          <w:rFonts w:ascii="宋体" w:hAnsi="宋体" w:eastAsia="宋体" w:cs="宋体"/>
          <w:b/>
          <w:color w:val="000000"/>
          <w:kern w:val="0"/>
          <w:sz w:val="44"/>
          <w:szCs w:val="44"/>
          <w:shd w:val="clear" w:color="auto" w:fill="FFFFFF"/>
        </w:rPr>
      </w:pPr>
      <w:r>
        <w:rPr>
          <w:rFonts w:hint="eastAsia" w:ascii="仿宋" w:hAnsi="仿宋" w:eastAsia="仿宋" w:cs="仿宋"/>
          <w:kern w:val="0"/>
          <w:sz w:val="32"/>
          <w:szCs w:val="32"/>
          <w:shd w:val="clear" w:color="auto" w:fill="FFFFFF"/>
        </w:rPr>
        <w:t>附件7：</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绩效目标设定情况</w:t>
            </w:r>
          </w:p>
          <w:p>
            <w:pPr>
              <w:widowControl/>
              <w:spacing w:line="240" w:lineRule="exact"/>
              <w:jc w:val="left"/>
              <w:rPr>
                <w:rFonts w:ascii="仿宋_GB2312" w:hAnsi="仿宋_GB2312" w:eastAsia="仿宋_GB2312" w:cs="仿宋_GB2312"/>
                <w:color w:val="FF0000"/>
                <w:szCs w:val="21"/>
              </w:rPr>
            </w:pPr>
            <w:r>
              <w:rPr>
                <w:rFonts w:hint="eastAsia" w:ascii="仿宋_GB2312" w:hAnsi="仿宋_GB2312" w:eastAsia="仿宋_GB2312" w:cs="仿宋_GB2312"/>
                <w:kern w:val="0"/>
                <w:szCs w:val="21"/>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部门的活动是否在职责范围之内并符合部门中长期规划，用以反映和评价部门活动目标与部门履职、年度工作任务的相符性情况。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1.部门活动的设定在部门所确定的职责范围之内；</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部门所设立的活动是否明确合理、活动的关键性指标设置是否可衡量，用以反映和评价部门活动目标设定的合理性。</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1.活动目标的设定是可量化的，可通过清晰、可衡量的关键指标值予以体现；</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3.在职人员控制率在-5%-10%之间的，在0分和满分之间计算确定：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“三公经费”变动率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在85%-95%之间的，在0分和满分之间计算确定：</w:t>
            </w:r>
          </w:p>
          <w:p>
            <w:pPr>
              <w:widowControl/>
              <w:spacing w:line="240" w:lineRule="exact"/>
              <w:jc w:val="left"/>
              <w:textAlignment w:val="center"/>
              <w:rPr>
                <w:rFonts w:ascii="仿宋_GB2312" w:hAnsi="仿宋_GB2312" w:eastAsia="仿宋_GB2312" w:cs="仿宋_GB2312"/>
                <w:kern w:val="0"/>
                <w:szCs w:val="21"/>
              </w:rPr>
            </w:pPr>
            <w:r>
              <w:rPr>
                <w:rFonts w:hint="eastAsia" w:ascii="仿宋_GB2312" w:hAnsi="仿宋_GB2312" w:eastAsia="仿宋_GB2312" w:cs="仿宋_GB2312"/>
                <w:kern w:val="0"/>
                <w:szCs w:val="21"/>
              </w:rPr>
              <w:t>得分=[某部门</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）]/[max（</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）－min（</w:t>
            </w:r>
            <w:r>
              <w:rPr>
                <w:rFonts w:hint="eastAsia" w:ascii="仿宋_GB2312" w:hAnsi="仿宋_GB2312" w:eastAsia="仿宋_GB2312" w:cs="仿宋_GB2312"/>
                <w:color w:val="000000"/>
                <w:kern w:val="0"/>
                <w:szCs w:val="21"/>
              </w:rPr>
              <w:t>重点支出安排率</w:t>
            </w:r>
            <w:r>
              <w:rPr>
                <w:rFonts w:hint="eastAsia" w:ascii="仿宋_GB2312" w:hAnsi="仿宋_GB2312" w:eastAsia="仿宋_GB2312" w:cs="仿宋_GB2312"/>
                <w:kern w:val="0"/>
                <w:szCs w:val="21"/>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部门本年度预算调整数与预算数的比率，用以反映和评价部门预算的调整程度。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1.预算调整率等于0的，得满分； </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支付进度率</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部门年度支付数与年度任务数的比率，用以反映和评价部门预算执行的及时和均衡程度。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通过对部门本年度结转结余总额与支出预算数的比较，反映和评价部门对本年度结转结余资金的实际控制程度。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预算管理情况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部门使用预算资金是否符合相关的预算财务管理制度的规定，反映和评价部门预算资金的规范运行情况。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1.符合国家财经法规和财务管理制度规定以及有关部门资金管理办法的规定；</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2.资金的拨付有完整的审批过程和手续；</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3.项目的重大开支经过评估论证；</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4.符合部门预算批复的用途；</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5.不存在截留情况；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6.不存在挤占情况；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7.不存在挪用情况；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全部符合（8）；</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符合其中七项（6）；</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符合其中六项（4）；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符合其中五项（2）；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部门是否按照政府信息公开有关规定公开相关预决算信息，用以反映和评价部门预决算管理的公开透明情况。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预决算信息是指与部门预算、执行、决算、监督、绩效等管理相关的信息。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2.按规定内容公开预决算信息；</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全部符合（3）；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基础信息完善性</w:t>
            </w:r>
            <w:r>
              <w:rPr>
                <w:rFonts w:hint="eastAsia" w:ascii="仿宋_GB2312" w:hAnsi="仿宋_GB2312" w:eastAsia="仿宋_GB2312" w:cs="仿宋_GB2312"/>
                <w:kern w:val="0"/>
                <w:szCs w:val="21"/>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部门基础信息是否完善，用以反映和评价基础信息对预算管理工作的支撑情况。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1.基本财务管理制度健全；</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2.基础数据信息和会计信息资料真实；</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3.基础数据信息和会计信息资料完整；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符合全部四项（4）；</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符合其中三项（2）；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符合其中两项（1）；</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部门的资产是否保存完整、使用合规、收入及时足额上缴，用以反映和评价部门资产运行情况。</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评价要点：</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1.资产保存完整；</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2.资产账务管理是否合规，帐实相符；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符合全部三项（3）；</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符合其中两项（2）；</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部门实际在用固定资产总额与所有固定资产总额的比率，用以反映和评价部门固定资产使用效率。</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根据年度主要任务分解表</w:t>
            </w:r>
            <w:bookmarkStart w:id="0" w:name="_GoBack"/>
            <w:bookmarkEnd w:id="0"/>
            <w:r>
              <w:rPr>
                <w:rFonts w:hint="eastAsia" w:ascii="仿宋_GB2312" w:hAnsi="仿宋_GB2312" w:eastAsia="仿宋_GB2312" w:cs="仿宋_GB2312"/>
                <w:color w:val="000000"/>
                <w:kern w:val="0"/>
                <w:szCs w:val="21"/>
              </w:rPr>
              <w:t>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1.每项任务是否已制定了明确、具体、可量化、可衡量的绩效指标；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2.每项任务绩效指标的完成情况，是全部完成、基本完成、未完成，还是未实施；</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3.每项任务实施效果情况，是优秀、良好、一般，还是无效果；</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部门已完成项目中质量达标项目个数占已完成项目个数的比率,用以反映和评价部门履职质量目标的实现程度。</w:t>
            </w:r>
          </w:p>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szCs w:val="21"/>
              </w:rPr>
            </w:pPr>
            <w:r>
              <w:rPr>
                <w:rFonts w:hint="eastAsia"/>
                <w:szCs w:val="21"/>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履职效益情况</w:t>
            </w:r>
          </w:p>
          <w:p>
            <w:pPr>
              <w:widowControl/>
              <w:spacing w:line="240" w:lineRule="exact"/>
              <w:jc w:val="left"/>
              <w:rPr>
                <w:rFonts w:ascii="仿宋_GB2312" w:hAnsi="仿宋_GB2312" w:eastAsia="仿宋_GB2312" w:cs="仿宋_GB2312"/>
                <w:kern w:val="0"/>
                <w:szCs w:val="21"/>
              </w:rPr>
            </w:pPr>
            <w:r>
              <w:rPr>
                <w:rFonts w:hint="eastAsia" w:ascii="仿宋_GB2312" w:hAnsi="仿宋_GB2312" w:eastAsia="仿宋_GB2312" w:cs="仿宋_GB2312"/>
                <w:kern w:val="0"/>
                <w:szCs w:val="21"/>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color w:val="000000"/>
                <w:kern w:val="0"/>
                <w:szCs w:val="21"/>
              </w:rPr>
              <w:t>经济效益</w:t>
            </w:r>
            <w:r>
              <w:rPr>
                <w:rFonts w:hint="eastAsia" w:ascii="仿宋_GB2312" w:hAnsi="仿宋_GB2312" w:eastAsia="仿宋_GB2312" w:cs="仿宋_GB2312"/>
                <w:kern w:val="0"/>
                <w:szCs w:val="21"/>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部门及所属二级单位通过履行职责和预算安排支出项目的实施，对我市带来的经济影响。</w:t>
            </w:r>
          </w:p>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1.通过部门所属企事业单位改革，促进了企事业单位效益增长情况；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2.通过预算支出项目的实施，促进了行业生产能力增长，从而带动行业经济效益增长；</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3.通过预算支出项目的实施，有效提高劳动效率，节约成本费用；</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4.通过预算支出项目的实施，降低了损耗，从而提高了生产效益；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部门及所属二级单位履行职责对社会发展所带来的直接或间接影响。</w:t>
            </w:r>
          </w:p>
          <w:p>
            <w:pPr>
              <w:widowControl/>
              <w:spacing w:line="240" w:lineRule="exac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2.通过预算支出项目的实施，是否明显促进了行业精神文明建设；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ascii="仿宋_GB2312" w:hAnsi="仿宋_GB2312" w:eastAsia="仿宋_GB2312" w:cs="仿宋_GB2312"/>
                <w:kern w:val="0"/>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部门及所属二级单位履行职责对生态环境所带来的直接或间接影响。</w:t>
            </w:r>
          </w:p>
          <w:p>
            <w:pPr>
              <w:widowControl/>
              <w:spacing w:line="240" w:lineRule="exact"/>
              <w:jc w:val="left"/>
              <w:textAlignment w:val="center"/>
              <w:rPr>
                <w:rFonts w:ascii="仿宋_GB2312" w:hAnsi="仿宋_GB2312" w:eastAsia="仿宋_GB2312" w:cs="仿宋_GB2312"/>
                <w:color w:val="000000"/>
                <w:kern w:val="0"/>
                <w:szCs w:val="21"/>
              </w:rPr>
            </w:pPr>
            <w:r>
              <w:rPr>
                <w:rFonts w:hint="eastAsia" w:ascii="仿宋_GB2312" w:hAnsi="仿宋_GB2312" w:eastAsia="仿宋_GB2312" w:cs="仿宋_GB2312"/>
                <w:color w:val="000000"/>
                <w:kern w:val="0"/>
                <w:szCs w:val="21"/>
              </w:rPr>
              <w:t>评价要点：</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3.通过预算支出项目的实施，是否达到减少污染物排放；</w:t>
            </w:r>
            <w:r>
              <w:rPr>
                <w:rFonts w:hint="eastAsia" w:ascii="仿宋_GB2312" w:hAnsi="仿宋_GB2312" w:eastAsia="仿宋_GB2312" w:cs="仿宋_GB2312"/>
                <w:color w:val="000000"/>
                <w:kern w:val="0"/>
                <w:szCs w:val="21"/>
              </w:rPr>
              <w:br w:type="textWrapping"/>
            </w:r>
            <w:r>
              <w:rPr>
                <w:rFonts w:hint="eastAsia" w:ascii="仿宋_GB2312" w:hAnsi="仿宋_GB2312" w:eastAsia="仿宋_GB2312" w:cs="仿宋_GB2312"/>
                <w:color w:val="000000"/>
                <w:kern w:val="0"/>
                <w:szCs w:val="21"/>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ascii="仿宋_GB2312" w:hAnsi="仿宋_GB2312" w:eastAsia="仿宋_GB2312" w:cs="仿宋_GB2312"/>
                <w:szCs w:val="21"/>
              </w:rPr>
            </w:pPr>
            <w:r>
              <w:rPr>
                <w:rFonts w:hint="eastAsia" w:ascii="仿宋_GB2312" w:hAnsi="仿宋_GB2312" w:eastAsia="仿宋_GB2312" w:cs="仿宋_GB2312"/>
                <w:color w:val="000000"/>
                <w:kern w:val="0"/>
                <w:szCs w:val="21"/>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仿宋_GB2312" w:eastAsia="仿宋_GB2312" w:cs="仿宋_GB2312"/>
                <w:szCs w:val="21"/>
              </w:rPr>
            </w:pPr>
            <w:r>
              <w:rPr>
                <w:rFonts w:hint="eastAsia" w:ascii="仿宋_GB2312" w:hAnsi="仿宋_GB2312" w:eastAsia="仿宋_GB2312" w:cs="仿宋_GB2312"/>
                <w:kern w:val="0"/>
                <w:szCs w:val="21"/>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szCs w:val="21"/>
              </w:rPr>
            </w:pPr>
            <w:r>
              <w:rPr>
                <w:rFonts w:hint="eastAsia"/>
                <w:szCs w:val="21"/>
              </w:rPr>
              <w:t>5</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p>
    <w:p>
      <w:pPr>
        <w:jc w:val="center"/>
        <w:rPr>
          <w:rFonts w:ascii="黑体" w:hAnsi="黑体" w:eastAsia="黑体" w:cs="黑体"/>
          <w:b/>
          <w:bCs/>
          <w:sz w:val="36"/>
          <w:szCs w:val="36"/>
        </w:rPr>
      </w:pPr>
      <w:r>
        <w:rPr>
          <w:rFonts w:hint="eastAsia" w:ascii="黑体" w:hAnsi="黑体" w:eastAsia="黑体" w:cs="黑体"/>
          <w:b/>
          <w:bCs/>
          <w:sz w:val="36"/>
          <w:szCs w:val="36"/>
        </w:rPr>
        <w:t>隆尧县人民检察院2019年整体支出绩效评价报告</w:t>
      </w:r>
    </w:p>
    <w:p>
      <w:pPr>
        <w:ind w:firstLine="600" w:firstLineChars="200"/>
        <w:rPr>
          <w:rFonts w:ascii="仿宋" w:hAnsi="仿宋" w:eastAsia="仿宋" w:cs="仿宋"/>
          <w:sz w:val="32"/>
          <w:szCs w:val="32"/>
        </w:rPr>
      </w:pPr>
      <w:r>
        <w:rPr>
          <w:rFonts w:hint="eastAsia" w:ascii="仿宋" w:hAnsi="仿宋" w:eastAsia="仿宋" w:cs="仿宋"/>
          <w:sz w:val="30"/>
          <w:szCs w:val="30"/>
        </w:rPr>
        <w:t>根据《中华人民共和国预算法》和中共隆尧县县委、隆尧县人民政府关于全面落实预算绩效管理的实施意见，现就我院开展2019年度部门整体指出绩效自评工作汇报如下：</w:t>
      </w:r>
    </w:p>
    <w:p>
      <w:pPr>
        <w:numPr>
          <w:ilvl w:val="0"/>
          <w:numId w:val="1"/>
        </w:numPr>
        <w:ind w:firstLine="643" w:firstLineChars="200"/>
        <w:rPr>
          <w:rFonts w:ascii="仿宋" w:hAnsi="仿宋" w:eastAsia="仿宋" w:cs="仿宋"/>
          <w:b/>
          <w:bCs/>
          <w:sz w:val="32"/>
          <w:szCs w:val="32"/>
        </w:rPr>
      </w:pPr>
      <w:r>
        <w:rPr>
          <w:rFonts w:hint="eastAsia" w:ascii="仿宋" w:hAnsi="仿宋" w:eastAsia="仿宋" w:cs="仿宋"/>
          <w:b/>
          <w:bCs/>
          <w:sz w:val="32"/>
          <w:szCs w:val="32"/>
        </w:rPr>
        <w:t>基本概况</w:t>
      </w:r>
    </w:p>
    <w:p>
      <w:pPr>
        <w:ind w:firstLine="560" w:firstLineChars="200"/>
        <w:rPr>
          <w:rFonts w:ascii="黑体" w:hAnsi="黑体" w:eastAsia="黑体"/>
          <w:sz w:val="28"/>
          <w:szCs w:val="28"/>
        </w:rPr>
      </w:pPr>
      <w:r>
        <w:rPr>
          <w:rFonts w:hint="eastAsia" w:ascii="黑体" w:hAnsi="黑体" w:eastAsia="黑体"/>
          <w:sz w:val="28"/>
          <w:szCs w:val="28"/>
        </w:rPr>
        <w:t>部门职责：</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（一）对于严重破坏国家的政策、法律、法令、政令统一实施的重大犯罪案件行使国家检察权；</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（二）对于直接受理的刑事案件进行侦查；</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（三）对于办理的刑事案件进行审查，决定是否批准逮捕、起诉；对于公安机关的立案活动、侦查活动是否合法实行监督；</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（四）对于刑事案件提起公诉，支持公诉；对于刑事审判活动是否合法实行监督；</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（五）对于刑事案件判决、裁定的执行和看守所的活动是否合法实行监督；</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（六）对于民事诉讼和行政诉讼是否合法实行监督；</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（七）法律规定的其他职权。</w:t>
      </w:r>
    </w:p>
    <w:p>
      <w:pPr>
        <w:spacing w:line="560" w:lineRule="exact"/>
        <w:ind w:firstLine="560" w:firstLineChars="200"/>
        <w:rPr>
          <w:rFonts w:ascii="黑体" w:hAnsi="黑体" w:eastAsia="黑体"/>
          <w:sz w:val="28"/>
          <w:szCs w:val="28"/>
        </w:rPr>
      </w:pPr>
      <w:r>
        <w:rPr>
          <w:rFonts w:hint="eastAsia" w:ascii="黑体" w:hAnsi="黑体" w:eastAsia="黑体"/>
          <w:sz w:val="28"/>
          <w:szCs w:val="28"/>
        </w:rPr>
        <w:t>内设机构及人员：</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隆尧县检察院为行政单位，现有政法干警编制39个，实有干警44人，书记员12人，离退人员33人。内设5个职能部门，分别为办公室、政治部、检察一部、检察二部、检察三部。</w:t>
      </w:r>
    </w:p>
    <w:p>
      <w:pPr>
        <w:spacing w:line="560" w:lineRule="exact"/>
        <w:ind w:firstLine="560" w:firstLineChars="200"/>
        <w:rPr>
          <w:rFonts w:ascii="黑体" w:hAnsi="黑体" w:eastAsia="黑体"/>
          <w:sz w:val="28"/>
          <w:szCs w:val="28"/>
        </w:rPr>
      </w:pPr>
      <w:r>
        <w:rPr>
          <w:rFonts w:hint="eastAsia" w:ascii="黑体" w:hAnsi="黑体" w:eastAsia="黑体"/>
          <w:sz w:val="28"/>
          <w:szCs w:val="28"/>
        </w:rPr>
        <w:t>资产情况：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我院至2019年12月31日固定资产总额为680.57万元。其中房屋面积为3620平方米，价值为84.4万元。现有车辆11辆，价值为101万元。</w:t>
      </w:r>
    </w:p>
    <w:p>
      <w:pPr>
        <w:spacing w:line="560" w:lineRule="exact"/>
        <w:ind w:firstLine="560" w:firstLineChars="200"/>
        <w:rPr>
          <w:rFonts w:ascii="黑体" w:hAnsi="黑体" w:eastAsia="黑体"/>
          <w:sz w:val="28"/>
          <w:szCs w:val="28"/>
        </w:rPr>
      </w:pPr>
      <w:r>
        <w:rPr>
          <w:rFonts w:hint="eastAsia" w:ascii="黑体" w:hAnsi="黑体" w:eastAsia="黑体"/>
          <w:sz w:val="28"/>
          <w:szCs w:val="28"/>
        </w:rPr>
        <w:t>部门履职总体目标、年度整体绩效目标、工作任务：</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总体目标：推动检察工作再上一个新台阶，全体干警一起精诚团结，精心竭力做好各项检察工作，深入推进检察业务、队伍管理、检务保障的精细规范，突出创新、强调特色，打造精致独特的检察业务品牌。</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年度整体绩效目标：诉讼监督等各项检察工作都有比较完善的机制，检察职能得到充分发挥，执法办案的法律效果、政治效果和社会效果良好，无违法办案和安全事故发生。继续完善《刑事检察监督工作实施办法》，并将对刑事诉讼全程进行全面动态监督的机制逐步扩展到民事、行政诉讼监督过程中，将诉讼监督工作打造成我院业务工作亮点。</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工作任务：规范执法办案程序，加强重点案件、重要执法环节的内部监督制约，加强廉政建设，强化自身监督，为执法规范化提供执法保障。</w:t>
      </w:r>
    </w:p>
    <w:p>
      <w:pPr>
        <w:snapToGrid w:val="0"/>
        <w:spacing w:line="520" w:lineRule="exact"/>
        <w:ind w:firstLine="560" w:firstLineChars="200"/>
        <w:rPr>
          <w:rFonts w:ascii="楷体_GB2312" w:hAnsi="仿宋" w:eastAsia="楷体_GB2312"/>
          <w:b/>
          <w:sz w:val="32"/>
          <w:szCs w:val="32"/>
        </w:rPr>
      </w:pPr>
      <w:r>
        <w:rPr>
          <w:rFonts w:hint="eastAsia" w:ascii="黑体" w:hAnsi="黑体" w:eastAsia="黑体"/>
          <w:sz w:val="28"/>
          <w:szCs w:val="28"/>
        </w:rPr>
        <w:t>收入支出预算安排情况：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按照预算管理有关规定，部门预算的编制实行综合预算制度，即全部收入和支出都反映在预算中。2019年度，财政拨款收入年初预算为1210.33万元。财政拨款预算支出为1210.33万元。</w:t>
      </w:r>
    </w:p>
    <w:p>
      <w:pPr>
        <w:snapToGrid w:val="0"/>
        <w:spacing w:line="520" w:lineRule="exact"/>
        <w:ind w:firstLine="560" w:firstLineChars="200"/>
        <w:rPr>
          <w:rFonts w:ascii="黑体" w:hAnsi="黑体" w:eastAsia="黑体"/>
          <w:sz w:val="28"/>
          <w:szCs w:val="28"/>
        </w:rPr>
      </w:pPr>
      <w:r>
        <w:rPr>
          <w:rFonts w:hint="eastAsia" w:ascii="黑体" w:hAnsi="黑体" w:eastAsia="黑体"/>
          <w:sz w:val="28"/>
          <w:szCs w:val="28"/>
        </w:rPr>
        <w:t>收入支出预算执行情况：</w:t>
      </w:r>
    </w:p>
    <w:p>
      <w:pPr>
        <w:ind w:firstLine="600" w:firstLineChars="200"/>
        <w:rPr>
          <w:rFonts w:ascii="仿宋" w:hAnsi="仿宋" w:eastAsia="仿宋" w:cs="仿宋"/>
          <w:b/>
          <w:bCs/>
          <w:sz w:val="32"/>
          <w:szCs w:val="32"/>
        </w:rPr>
      </w:pPr>
      <w:r>
        <w:rPr>
          <w:rFonts w:hint="eastAsia" w:ascii="仿宋_GB2312" w:hAnsi="仿宋_GB2312" w:eastAsia="仿宋_GB2312" w:cs="仿宋_GB2312"/>
          <w:sz w:val="30"/>
          <w:szCs w:val="30"/>
        </w:rPr>
        <w:t>2019年年初预算收到1210.33万元，比年初预算少是由于人员经费发生调整。决算支出1172.3万元，决算支出比预算收入小38.03万元，原因为2018年有专款结余转入，2019年有专款结余。</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（二）预算绩效管理开展及整体绩效实现情况</w:t>
      </w:r>
    </w:p>
    <w:p>
      <w:pPr>
        <w:snapToGrid w:val="0"/>
        <w:spacing w:line="520" w:lineRule="exact"/>
        <w:ind w:firstLine="560" w:firstLineChars="200"/>
        <w:rPr>
          <w:rFonts w:ascii="黑体" w:hAnsi="黑体" w:eastAsia="黑体"/>
          <w:sz w:val="28"/>
          <w:szCs w:val="28"/>
        </w:rPr>
      </w:pPr>
      <w:r>
        <w:rPr>
          <w:rFonts w:hint="eastAsia" w:ascii="黑体" w:hAnsi="黑体" w:eastAsia="黑体"/>
          <w:sz w:val="28"/>
          <w:szCs w:val="28"/>
        </w:rPr>
        <w:t>开展预算绩效管理情况：</w:t>
      </w:r>
    </w:p>
    <w:p>
      <w:pPr>
        <w:ind w:firstLine="600" w:firstLineChars="200"/>
        <w:rPr>
          <w:rFonts w:ascii="仿宋" w:hAnsi="仿宋" w:eastAsia="仿宋" w:cs="仿宋"/>
          <w:sz w:val="32"/>
          <w:szCs w:val="32"/>
        </w:rPr>
      </w:pPr>
      <w:r>
        <w:rPr>
          <w:rFonts w:hint="eastAsia" w:ascii="仿宋_GB2312" w:hAnsi="仿宋_GB2312" w:eastAsia="仿宋_GB2312" w:cs="仿宋_GB2312"/>
          <w:sz w:val="30"/>
          <w:szCs w:val="30"/>
        </w:rPr>
        <w:t>按照预算绩效管理要求，我院开展了预算绩效自评工作。根据部门职能、年初制定的绩效考核目标及绩效评价指标体系评分表进行了绩效考评。</w:t>
      </w:r>
    </w:p>
    <w:p>
      <w:pPr>
        <w:snapToGrid w:val="0"/>
        <w:spacing w:line="520" w:lineRule="exact"/>
        <w:ind w:firstLine="560" w:firstLineChars="200"/>
        <w:rPr>
          <w:rFonts w:ascii="黑体" w:hAnsi="黑体" w:eastAsia="黑体"/>
          <w:sz w:val="28"/>
          <w:szCs w:val="28"/>
        </w:rPr>
      </w:pPr>
      <w:r>
        <w:rPr>
          <w:rFonts w:hint="eastAsia" w:ascii="黑体" w:hAnsi="黑体" w:eastAsia="黑体"/>
          <w:sz w:val="28"/>
          <w:szCs w:val="28"/>
        </w:rPr>
        <w:t>工作履行活动完成情况：</w:t>
      </w:r>
    </w:p>
    <w:p>
      <w:pPr>
        <w:ind w:firstLine="600" w:firstLineChars="200"/>
        <w:rPr>
          <w:rFonts w:ascii="仿宋" w:hAnsi="仿宋" w:eastAsia="仿宋" w:cs="仿宋"/>
          <w:sz w:val="32"/>
          <w:szCs w:val="32"/>
        </w:rPr>
      </w:pPr>
      <w:r>
        <w:rPr>
          <w:rFonts w:hint="eastAsia" w:ascii="仿宋_GB2312" w:hAnsi="仿宋_GB2312" w:eastAsia="仿宋_GB2312" w:cs="仿宋_GB2312"/>
          <w:sz w:val="30"/>
          <w:szCs w:val="30"/>
        </w:rPr>
        <w:t>2019年，我院根据年初工作规划及重点工作，积极履行职责、强化管理，较好的完成了年度工作目标。</w:t>
      </w:r>
    </w:p>
    <w:p>
      <w:pPr>
        <w:ind w:firstLine="560" w:firstLineChars="200"/>
        <w:rPr>
          <w:rFonts w:ascii="仿宋" w:hAnsi="仿宋" w:eastAsia="仿宋" w:cs="仿宋"/>
          <w:color w:val="0000FF"/>
          <w:sz w:val="32"/>
          <w:szCs w:val="32"/>
        </w:rPr>
      </w:pPr>
      <w:r>
        <w:rPr>
          <w:rFonts w:hint="eastAsia" w:ascii="黑体" w:hAnsi="黑体" w:eastAsia="黑体"/>
          <w:sz w:val="28"/>
          <w:szCs w:val="28"/>
        </w:rPr>
        <w:t>实施履职活动产生的效果及社会公众或服务对象满意程度：</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我院本年预算配置控制较好，预算管理方面制定了切实有效的内部财务、车辆、资产内部管理制度，执行总体较为有效。我院结合实际情况建立健全了财务管理制度和约束机制，依法、有效地利用财政资金，提高财政资金使用效率，合理分配人、财、物，完成了部门职能目标，实现了较高的工作效率和支出绩效。</w:t>
      </w:r>
    </w:p>
    <w:p>
      <w:pPr>
        <w:ind w:firstLine="643" w:firstLineChars="200"/>
        <w:rPr>
          <w:rFonts w:ascii="仿宋" w:hAnsi="仿宋" w:eastAsia="仿宋" w:cs="仿宋"/>
          <w:color w:val="0000FF"/>
          <w:sz w:val="32"/>
          <w:szCs w:val="32"/>
        </w:rPr>
      </w:pPr>
      <w:r>
        <w:rPr>
          <w:rFonts w:hint="eastAsia" w:ascii="仿宋" w:hAnsi="仿宋" w:eastAsia="仿宋" w:cs="仿宋"/>
          <w:b/>
          <w:bCs/>
          <w:sz w:val="32"/>
          <w:szCs w:val="32"/>
        </w:rPr>
        <w:t>（三）绩效评价的组织实施情况</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我院根据绩效评价指标体系评分表，对2019年整体支出开展自评工作。我院严格按照国家的财务管理制度规定，财务制度健全、会计核算规范，依照法规管理使用，整体支出对打击犯罪、贯彻执行国家政策、法律法规，发挥了重要作用。</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（四）各项绩效目标的实现程度及差异性原因分析。</w:t>
      </w:r>
    </w:p>
    <w:p>
      <w:pPr>
        <w:ind w:firstLine="600" w:firstLineChars="200"/>
        <w:rPr>
          <w:rFonts w:ascii="仿宋" w:hAnsi="仿宋" w:eastAsia="仿宋" w:cs="仿宋"/>
          <w:color w:val="0000FF"/>
          <w:sz w:val="32"/>
          <w:szCs w:val="32"/>
        </w:rPr>
      </w:pPr>
      <w:r>
        <w:rPr>
          <w:rFonts w:hint="eastAsia" w:ascii="仿宋_GB2312" w:hAnsi="仿宋_GB2312" w:eastAsia="仿宋_GB2312" w:cs="仿宋_GB2312"/>
          <w:sz w:val="30"/>
          <w:szCs w:val="30"/>
        </w:rPr>
        <w:t>我院根据绩效评价指标体系评分表，对2019年整体支出开展自评工作。各绩效目标均较好的完成。</w:t>
      </w:r>
    </w:p>
    <w:p>
      <w:pPr>
        <w:ind w:firstLine="643" w:firstLineChars="200"/>
        <w:rPr>
          <w:rFonts w:ascii="仿宋" w:hAnsi="仿宋" w:eastAsia="仿宋" w:cs="仿宋"/>
          <w:b/>
          <w:bCs/>
          <w:sz w:val="32"/>
          <w:szCs w:val="32"/>
        </w:rPr>
      </w:pPr>
      <w:r>
        <w:rPr>
          <w:rFonts w:hint="eastAsia" w:ascii="仿宋" w:hAnsi="仿宋" w:eastAsia="仿宋" w:cs="仿宋"/>
          <w:b/>
          <w:bCs/>
          <w:sz w:val="32"/>
          <w:szCs w:val="32"/>
        </w:rPr>
        <w:t>（五）存在问题、采取的纠偏措施及改进绩效管理建议。</w:t>
      </w:r>
    </w:p>
    <w:p>
      <w:pPr>
        <w:pStyle w:val="7"/>
        <w:shd w:val="clear" w:color="auto" w:fill="FFFFFF"/>
        <w:spacing w:before="0" w:beforeAutospacing="0" w:after="150" w:afterAutospacing="0" w:line="450" w:lineRule="atLeast"/>
        <w:rPr>
          <w:rFonts w:ascii="黑体" w:hAnsi="黑体" w:eastAsia="黑体" w:cstheme="minorBidi"/>
          <w:kern w:val="2"/>
          <w:sz w:val="28"/>
          <w:szCs w:val="28"/>
        </w:rPr>
      </w:pPr>
      <w:r>
        <w:rPr>
          <w:rFonts w:hint="eastAsia" w:ascii="微软雅黑" w:hAnsi="微软雅黑" w:eastAsia="微软雅黑" w:cs="微软雅黑"/>
          <w:color w:val="555555"/>
          <w:shd w:val="clear" w:color="auto" w:fill="FFFFFF"/>
        </w:rPr>
        <w:t>　</w:t>
      </w:r>
      <w:r>
        <w:rPr>
          <w:rFonts w:hint="eastAsia" w:ascii="仿宋_GB2312" w:hAnsi="仿宋_GB2312" w:eastAsia="仿宋_GB2312" w:cs="仿宋_GB2312"/>
          <w:kern w:val="2"/>
          <w:sz w:val="30"/>
          <w:szCs w:val="30"/>
        </w:rPr>
        <w:t>　</w:t>
      </w:r>
      <w:r>
        <w:rPr>
          <w:rFonts w:hint="eastAsia" w:ascii="黑体" w:hAnsi="黑体" w:eastAsia="黑体" w:cstheme="minorBidi"/>
          <w:kern w:val="2"/>
          <w:sz w:val="28"/>
          <w:szCs w:val="28"/>
        </w:rPr>
        <w:t>存在问题：</w:t>
      </w:r>
    </w:p>
    <w:p>
      <w:pPr>
        <w:pStyle w:val="7"/>
        <w:shd w:val="clear" w:color="auto" w:fill="FFFFFF"/>
        <w:tabs>
          <w:tab w:val="left" w:pos="1212"/>
        </w:tabs>
        <w:spacing w:before="0" w:beforeAutospacing="0" w:after="0" w:afterAutospacing="0" w:line="26" w:lineRule="atLeast"/>
        <w:ind w:firstLine="560" w:firstLineChars="200"/>
        <w:rPr>
          <w:rFonts w:ascii="仿宋_GB2312" w:hAnsi="仿宋_GB2312" w:eastAsia="仿宋_GB2312" w:cs="仿宋_GB2312"/>
          <w:kern w:val="2"/>
          <w:sz w:val="30"/>
          <w:szCs w:val="30"/>
        </w:rPr>
      </w:pPr>
      <w:r>
        <w:rPr>
          <w:rFonts w:hint="eastAsia" w:ascii="仿宋_GB2312" w:hAnsi="仿宋_GB2312" w:eastAsia="仿宋_GB2312" w:cs="仿宋_GB2312"/>
          <w:color w:val="000000"/>
          <w:sz w:val="28"/>
          <w:szCs w:val="28"/>
          <w:shd w:val="clear" w:color="auto" w:fill="FFFFFF"/>
        </w:rPr>
        <w:t>1.我院</w:t>
      </w:r>
      <w:r>
        <w:rPr>
          <w:rFonts w:hint="eastAsia" w:ascii="仿宋_GB2312" w:hAnsi="仿宋_GB2312" w:eastAsia="仿宋_GB2312" w:cs="仿宋_GB2312"/>
          <w:sz w:val="28"/>
          <w:szCs w:val="28"/>
          <w:shd w:val="clear" w:color="auto" w:fill="FFFFFF"/>
        </w:rPr>
        <w:t>部分项目未按期实施或按期完成，导致项目资金年末存在结转结余。</w:t>
      </w:r>
      <w:r>
        <w:rPr>
          <w:rFonts w:hint="eastAsia" w:ascii="仿宋_GB2312" w:hAnsi="仿宋_GB2312" w:eastAsia="仿宋_GB2312" w:cs="仿宋_GB2312"/>
          <w:color w:val="000000"/>
          <w:sz w:val="28"/>
          <w:szCs w:val="28"/>
          <w:shd w:val="clear" w:color="auto" w:fill="FFFFFF"/>
        </w:rPr>
        <w:t>绩效目标管理还处于初步阶段，需要在今后的工作中进一步细化和完善，更好地达到绩效目标管理在预算管理中的作用和效果。</w:t>
      </w:r>
    </w:p>
    <w:p>
      <w:pPr>
        <w:pStyle w:val="7"/>
        <w:shd w:val="clear" w:color="auto" w:fill="FFFFFF"/>
        <w:spacing w:before="0" w:beforeAutospacing="0" w:after="150" w:afterAutospacing="0" w:line="450" w:lineRule="atLeast"/>
        <w:ind w:firstLine="600" w:firstLineChars="200"/>
        <w:rPr>
          <w:rFonts w:ascii="仿宋_GB2312" w:hAnsi="仿宋_GB2312" w:eastAsia="仿宋_GB2312" w:cs="仿宋_GB2312"/>
          <w:kern w:val="2"/>
          <w:sz w:val="30"/>
          <w:szCs w:val="30"/>
        </w:rPr>
      </w:pPr>
      <w:r>
        <w:rPr>
          <w:rFonts w:hint="eastAsia" w:ascii="仿宋_GB2312" w:hAnsi="仿宋_GB2312" w:eastAsia="仿宋_GB2312" w:cs="仿宋_GB2312"/>
          <w:kern w:val="2"/>
          <w:sz w:val="30"/>
          <w:szCs w:val="30"/>
        </w:rPr>
        <w:t>2.财务人员业务水平仍需提高，需加强对财务业务知识的培训。</w:t>
      </w:r>
    </w:p>
    <w:p>
      <w:pPr>
        <w:pStyle w:val="7"/>
        <w:shd w:val="clear" w:color="auto" w:fill="FFFFFF"/>
        <w:spacing w:before="0" w:beforeAutospacing="0" w:after="150" w:afterAutospacing="0" w:line="450" w:lineRule="atLeast"/>
        <w:ind w:firstLine="560" w:firstLineChars="200"/>
        <w:rPr>
          <w:rFonts w:ascii="黑体" w:hAnsi="黑体" w:eastAsia="黑体" w:cstheme="minorBidi"/>
          <w:kern w:val="2"/>
          <w:sz w:val="28"/>
          <w:szCs w:val="28"/>
        </w:rPr>
      </w:pPr>
      <w:r>
        <w:rPr>
          <w:rFonts w:hint="eastAsia" w:ascii="黑体" w:hAnsi="黑体" w:eastAsia="黑体" w:cstheme="minorBidi"/>
          <w:kern w:val="2"/>
          <w:sz w:val="28"/>
          <w:szCs w:val="28"/>
        </w:rPr>
        <w:t>改进建议：</w:t>
      </w:r>
    </w:p>
    <w:p>
      <w:pPr>
        <w:pStyle w:val="7"/>
        <w:shd w:val="clear" w:color="auto" w:fill="FFFFFF"/>
        <w:spacing w:before="0" w:beforeAutospacing="0" w:after="150" w:afterAutospacing="0" w:line="450" w:lineRule="atLeast"/>
        <w:rPr>
          <w:rFonts w:ascii="仿宋_GB2312" w:hAnsi="仿宋_GB2312" w:eastAsia="仿宋_GB2312" w:cs="仿宋_GB2312"/>
          <w:kern w:val="2"/>
          <w:sz w:val="30"/>
          <w:szCs w:val="30"/>
        </w:rPr>
      </w:pPr>
      <w:r>
        <w:rPr>
          <w:rFonts w:hint="eastAsia" w:ascii="仿宋_GB2312" w:hAnsi="仿宋_GB2312" w:eastAsia="仿宋_GB2312" w:cs="仿宋_GB2312"/>
          <w:kern w:val="2"/>
          <w:sz w:val="30"/>
          <w:szCs w:val="30"/>
        </w:rPr>
        <w:t>　　　1.加强财务管理，严格财务审核，规范财务行为。</w:t>
      </w:r>
      <w:r>
        <w:rPr>
          <w:rFonts w:hint="eastAsia" w:ascii="仿宋_GB2312" w:hAnsi="仿宋_GB2312" w:eastAsia="仿宋_GB2312" w:cs="仿宋_GB2312"/>
          <w:sz w:val="28"/>
          <w:szCs w:val="28"/>
          <w:shd w:val="clear" w:color="auto" w:fill="FFFFFF"/>
        </w:rPr>
        <w:t>今后应加强预算支出管理，做到及时支出。</w:t>
      </w:r>
      <w:r>
        <w:rPr>
          <w:rFonts w:hint="eastAsia" w:ascii="仿宋_GB2312" w:hAnsi="仿宋_GB2312" w:eastAsia="仿宋_GB2312" w:cs="仿宋_GB2312"/>
          <w:kern w:val="2"/>
          <w:sz w:val="30"/>
          <w:szCs w:val="30"/>
        </w:rPr>
        <w:t>在费用报账支付时，按照预算规定的费用项目和用途进行资金列报支付，杜绝超支现象的发生。</w:t>
      </w:r>
    </w:p>
    <w:p>
      <w:pPr>
        <w:pStyle w:val="7"/>
        <w:shd w:val="clear" w:color="auto" w:fill="FFFFFF"/>
        <w:spacing w:before="0" w:beforeAutospacing="0" w:after="150" w:afterAutospacing="0" w:line="450" w:lineRule="atLeast"/>
        <w:rPr>
          <w:rFonts w:ascii="仿宋_GB2312" w:hAnsi="仿宋_GB2312" w:eastAsia="仿宋_GB2312" w:cs="仿宋_GB2312"/>
          <w:kern w:val="2"/>
          <w:sz w:val="30"/>
          <w:szCs w:val="30"/>
        </w:rPr>
      </w:pPr>
      <w:r>
        <w:rPr>
          <w:rFonts w:hint="eastAsia" w:ascii="仿宋_GB2312" w:hAnsi="仿宋_GB2312" w:eastAsia="仿宋_GB2312" w:cs="仿宋_GB2312"/>
          <w:kern w:val="2"/>
          <w:sz w:val="30"/>
          <w:szCs w:val="30"/>
        </w:rPr>
        <w:t>　　　2.对相关人员加强培训，规范部门预算收支核算，切实提高部门预算收支管理水平。</w:t>
      </w:r>
    </w:p>
    <w:p>
      <w:pPr>
        <w:ind w:firstLine="643" w:firstLineChars="200"/>
        <w:rPr>
          <w:rFonts w:ascii="仿宋" w:hAnsi="仿宋" w:eastAsia="仿宋" w:cs="仿宋"/>
          <w:color w:val="0000FF"/>
          <w:sz w:val="32"/>
          <w:szCs w:val="32"/>
        </w:rPr>
      </w:pPr>
      <w:r>
        <w:rPr>
          <w:rFonts w:hint="eastAsia" w:ascii="仿宋" w:hAnsi="仿宋" w:eastAsia="仿宋" w:cs="仿宋"/>
          <w:b/>
          <w:bCs/>
          <w:sz w:val="32"/>
          <w:szCs w:val="32"/>
        </w:rPr>
        <w:t>（六）其他需要说明的问题</w:t>
      </w:r>
    </w:p>
    <w:p>
      <w:pPr>
        <w:ind w:firstLine="600" w:firstLineChars="200"/>
        <w:rPr>
          <w:rFonts w:ascii="仿宋_GB2312" w:hAnsi="仿宋_GB2312" w:eastAsia="仿宋_GB2312" w:cs="仿宋_GB2312"/>
          <w:sz w:val="30"/>
          <w:szCs w:val="30"/>
        </w:rPr>
      </w:pPr>
      <w:r>
        <w:rPr>
          <w:rFonts w:hint="eastAsia" w:ascii="仿宋_GB2312" w:hAnsi="仿宋_GB2312" w:eastAsia="仿宋_GB2312" w:cs="仿宋_GB2312"/>
          <w:sz w:val="30"/>
          <w:szCs w:val="30"/>
        </w:rPr>
        <w:t>无</w:t>
      </w:r>
    </w:p>
    <w:p>
      <w:pPr>
        <w:rPr>
          <w:rFonts w:ascii="仿宋" w:hAnsi="仿宋" w:eastAsia="仿宋" w:cs="仿宋"/>
          <w:sz w:val="32"/>
          <w:szCs w:val="32"/>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_GB2312">
    <w:altName w:val="楷体"/>
    <w:panose1 w:val="00000000000000000000"/>
    <w:charset w:val="86"/>
    <w:family w:val="modern"/>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8</w:t>
    </w:r>
    <w:r>
      <w:rPr>
        <w:rStyle w:val="11"/>
        <w:rFonts w:ascii="宋体" w:hAnsi="宋体" w:eastAsia="宋体"/>
        <w:sz w:val="28"/>
        <w:szCs w:val="28"/>
      </w:rPr>
      <w:fldChar w:fldCharType="end"/>
    </w:r>
    <w:r>
      <w:rPr>
        <w:rStyle w:val="11"/>
        <w:rFonts w:hint="eastAsia" w:ascii="宋体" w:hAnsi="宋体" w:eastAsia="宋体"/>
        <w:sz w:val="28"/>
        <w:szCs w:val="28"/>
      </w:rPr>
      <w:t>-</w:t>
    </w:r>
  </w:p>
  <w:p>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1EDEA68"/>
    <w:multiLevelType w:val="singleLevel"/>
    <w:tmpl w:val="41EDEA68"/>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0F2AE1"/>
    <w:rsid w:val="00103547"/>
    <w:rsid w:val="00124640"/>
    <w:rsid w:val="0017068B"/>
    <w:rsid w:val="00185A3C"/>
    <w:rsid w:val="00192D5A"/>
    <w:rsid w:val="001B56DB"/>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24522"/>
    <w:rsid w:val="0054173F"/>
    <w:rsid w:val="00567FE6"/>
    <w:rsid w:val="0058162A"/>
    <w:rsid w:val="005B3616"/>
    <w:rsid w:val="005E12FA"/>
    <w:rsid w:val="00683167"/>
    <w:rsid w:val="006A5056"/>
    <w:rsid w:val="006E64C9"/>
    <w:rsid w:val="007048FF"/>
    <w:rsid w:val="00712100"/>
    <w:rsid w:val="0071700D"/>
    <w:rsid w:val="00742652"/>
    <w:rsid w:val="00772600"/>
    <w:rsid w:val="007B6D70"/>
    <w:rsid w:val="007D5D41"/>
    <w:rsid w:val="007F01F9"/>
    <w:rsid w:val="00856BA1"/>
    <w:rsid w:val="00867620"/>
    <w:rsid w:val="008709E0"/>
    <w:rsid w:val="008713B2"/>
    <w:rsid w:val="008A6A10"/>
    <w:rsid w:val="008A6A31"/>
    <w:rsid w:val="008D1EC8"/>
    <w:rsid w:val="00904AF4"/>
    <w:rsid w:val="00905542"/>
    <w:rsid w:val="00917700"/>
    <w:rsid w:val="00956F74"/>
    <w:rsid w:val="009B0B5F"/>
    <w:rsid w:val="009C04DA"/>
    <w:rsid w:val="009C4C62"/>
    <w:rsid w:val="009E3627"/>
    <w:rsid w:val="009F53E7"/>
    <w:rsid w:val="00A11BF8"/>
    <w:rsid w:val="00A12286"/>
    <w:rsid w:val="00A14A33"/>
    <w:rsid w:val="00A6449D"/>
    <w:rsid w:val="00A768DB"/>
    <w:rsid w:val="00AA09C8"/>
    <w:rsid w:val="00AD5F30"/>
    <w:rsid w:val="00B0681D"/>
    <w:rsid w:val="00B856AB"/>
    <w:rsid w:val="00B9023F"/>
    <w:rsid w:val="00BC1FDC"/>
    <w:rsid w:val="00BD0FD8"/>
    <w:rsid w:val="00C44804"/>
    <w:rsid w:val="00C6362A"/>
    <w:rsid w:val="00C81363"/>
    <w:rsid w:val="00CB27A5"/>
    <w:rsid w:val="00CD55ED"/>
    <w:rsid w:val="00CD63C0"/>
    <w:rsid w:val="00CE62A0"/>
    <w:rsid w:val="00D21F0C"/>
    <w:rsid w:val="00D366C1"/>
    <w:rsid w:val="00D877F7"/>
    <w:rsid w:val="00D96427"/>
    <w:rsid w:val="00DB26E6"/>
    <w:rsid w:val="00DB2D43"/>
    <w:rsid w:val="00E266F1"/>
    <w:rsid w:val="00EB16A8"/>
    <w:rsid w:val="00EC7904"/>
    <w:rsid w:val="00F72E93"/>
    <w:rsid w:val="00F87A11"/>
    <w:rsid w:val="00FB7E01"/>
    <w:rsid w:val="00FE5F4C"/>
    <w:rsid w:val="00FF39F6"/>
    <w:rsid w:val="05374814"/>
    <w:rsid w:val="084D76E6"/>
    <w:rsid w:val="0F8F6BFC"/>
    <w:rsid w:val="3791647A"/>
    <w:rsid w:val="455969D8"/>
    <w:rsid w:val="526A3656"/>
    <w:rsid w:val="5D643D56"/>
    <w:rsid w:val="69BD0A47"/>
    <w:rsid w:val="71A911C9"/>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autoRedefine/>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autoRedefine/>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autoRedefine/>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autoRedefine/>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autoRedefine/>
    <w:qFormat/>
    <w:uiPriority w:val="9"/>
    <w:rPr>
      <w:rFonts w:ascii="宋体" w:hAnsi="宋体" w:eastAsia="宋体" w:cs="宋体"/>
      <w:b/>
      <w:kern w:val="44"/>
      <w:sz w:val="48"/>
      <w:szCs w:val="48"/>
    </w:rPr>
  </w:style>
  <w:style w:type="character" w:customStyle="1" w:styleId="16">
    <w:name w:val="font31"/>
    <w:basedOn w:val="9"/>
    <w:autoRedefine/>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11</Pages>
  <Words>1080</Words>
  <Characters>6160</Characters>
  <Lines>51</Lines>
  <Paragraphs>14</Paragraphs>
  <TotalTime>3</TotalTime>
  <ScaleCrop>false</ScaleCrop>
  <LinksUpToDate>false</LinksUpToDate>
  <CharactersWithSpaces>7226</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2020-05-13T02:07:00Z</dcterms:created>
  <dc:creator>Administrator</dc:creator>
  <cp:lastModifiedBy>童话故事书</cp:lastModifiedBy>
  <cp:lastPrinted>2018-11-29T03:23:00Z</cp:lastPrinted>
  <dcterms:modified xsi:type="dcterms:W3CDTF">2024-04-03T06:47:38Z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E8696581E8404DF08621D0C8B9E994A3_12</vt:lpwstr>
  </property>
</Properties>
</file>