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仿宋"/>
          <w:kern w:val="0"/>
          <w:sz w:val="32"/>
          <w:szCs w:val="32"/>
          <w:shd w:val="clear" w:color="auto" w:fill="FFFFFF"/>
          <w:lang w:bidi="ar"/>
        </w:rPr>
      </w:pPr>
    </w:p>
    <w:p>
      <w:pPr>
        <w:widowControl/>
        <w:spacing w:line="480" w:lineRule="exact"/>
        <w:jc w:val="left"/>
        <w:rPr>
          <w:rFonts w:ascii="宋体" w:hAnsi="宋体" w:eastAsia="宋体" w:cs="宋体"/>
          <w:b/>
          <w:color w:val="000000"/>
          <w:kern w:val="0"/>
          <w:sz w:val="44"/>
          <w:szCs w:val="44"/>
          <w:shd w:val="clear" w:color="auto" w:fill="FFFFFF"/>
          <w:lang w:bidi="ar"/>
        </w:rPr>
      </w:pPr>
      <w:r>
        <w:rPr>
          <w:rFonts w:hint="eastAsia" w:ascii="仿宋" w:hAnsi="仿宋" w:eastAsia="仿宋" w:cs="仿宋"/>
          <w:kern w:val="0"/>
          <w:sz w:val="32"/>
          <w:szCs w:val="32"/>
          <w:shd w:val="clear" w:color="auto" w:fill="FFFFFF"/>
          <w:lang w:bidi="ar"/>
        </w:rPr>
        <w:t>附件7：</w:t>
      </w:r>
    </w:p>
    <w:p>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lang w:bidi="ar"/>
        </w:rPr>
        <w:t>指标体系评分表</w:t>
      </w:r>
    </w:p>
    <w:tbl>
      <w:tblPr>
        <w:tblStyle w:val="8"/>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lang w:bidi="ar"/>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绩效目标设定情况</w:t>
            </w:r>
          </w:p>
          <w:p>
            <w:pPr>
              <w:widowControl/>
              <w:spacing w:line="240" w:lineRule="exact"/>
              <w:jc w:val="left"/>
              <w:rPr>
                <w:rFonts w:hint="eastAsia" w:ascii="仿宋_GB2312" w:hAnsi="仿宋_GB2312" w:eastAsia="仿宋_GB2312" w:cs="仿宋_GB2312"/>
                <w:color w:val="FF0000"/>
                <w:szCs w:val="21"/>
              </w:rPr>
            </w:pPr>
            <w:r>
              <w:rPr>
                <w:rFonts w:hint="eastAsia" w:ascii="仿宋_GB2312" w:hAnsi="仿宋_GB2312" w:eastAsia="仿宋_GB2312" w:cs="仿宋_GB2312"/>
                <w:kern w:val="0"/>
                <w:szCs w:val="21"/>
                <w:lang w:bidi="ar"/>
              </w:rPr>
              <w:t>（5分）</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符合（1）；</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部门的活动是否在职责范围之内并符合部门中长期规划，用以反映和评价部门活动目标与部门履职、年度工作任务的相符性情况。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1.部门活动的设定在部门所确定的职责范围之内；</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部门所设立的活动是否明确合理、活动的关键性指标设置是否可衡量，用以反映和评价部门活动目标设定的合理性。</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1.活动目标的设定是可量化的，可通过清晰、可衡量的关键指标值予以体现；</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预算配置情况(5分)</w:t>
            </w: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在职人员控制率（1分）</w:t>
            </w:r>
          </w:p>
        </w:tc>
        <w:tc>
          <w:tcPr>
            <w:tcW w:w="3436"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“三公经费”变动率（2分）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“三公经费”：年度预算安排的因公出国（境）费、公务车辆购置及运行费和公务招待费。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小于或等于-5%的，得满分；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3.在职人员控制率在-5%-10%之间的，在0分和满分之间计算确定：</w:t>
            </w:r>
          </w:p>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得分=[max（</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重点支出安排率（2分）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在85%-95%之间的，在0分和满分之间计算确定：</w:t>
            </w:r>
          </w:p>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得分=[某部门</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部门本年度预算调整数与预算数的比率，用以反映和评价部门预算的调整程度。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1.预算调整率等于0的，得满分； </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支付进度率</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部门年度支付数与年度任务数的比率，用以反映和评价部门预算执行的及时和均衡程度。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按年度的执行情况进行打分。得分=年度支付数/年度任务数×该指标分值。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通过对部门本年度结转结余总额与支出预算数的比较，反映和评价部门对本年度结转结余资金的实际控制程度。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预算管理情况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（15）</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部门使用预算资金是否符合相关的预算财务管理制度的规定，反映和评价部门预算资金的规范运行情况。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1.符合国家财经法规和财务管理制度规定以及有关部门资金管理办法的规定；</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2.资金的拨付有完整的审批过程和手续；</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3.项目的重大开支经过评估论证；</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4.符合部门预算批复的用途；</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5.不存在截留情况；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6.不存在挤占情况；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7.不存在挪用情况；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全部符合（8）；</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符合其中七项（6）；</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符合其中六项（4）；</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符合其中五项（2）；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部门是否按照政府信息公开有关规定公开相关预决算信息，用以反映和评价部门预决算管理的公开透明情况。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预决算信息是指与部门预算、执行、决算、监督、绩效等管理相关的信息。</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1.公开预决算信息；</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2.按规定内容公开预决算信息；</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全部符合（3）；</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基础信息完善性</w:t>
            </w:r>
            <w:r>
              <w:rPr>
                <w:rFonts w:hint="eastAsia" w:ascii="仿宋_GB2312" w:hAnsi="仿宋_GB2312" w:eastAsia="仿宋_GB2312" w:cs="仿宋_GB2312"/>
                <w:kern w:val="0"/>
                <w:szCs w:val="21"/>
                <w:lang w:bidi="ar"/>
              </w:rPr>
              <w:t>（4分）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部门基础信息是否完善，用以反映和评价基础信息对预算管理工作的支撑情况。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1.基本财务管理制度健全；</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2.基础数据信息和会计信息资料真实；</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3.基础数据信息和会计信息资料完整；</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符合全部四项（4）；</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符合其中三项（2）；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符合其中两项（1）；</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部门的资产是否保存完整、使用合规、收入及时足额上缴，用以反映和评价部门资产运行情况。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1.资产保存完整；</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2.资产账务管理是否合规，帐实相符；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符合全部三项（3）；</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部门实际在用固定资产总额与所有固定资产总额的比率，用以反映和评价部门固定资产使用效率。</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根据年度主要任务分解表</w:t>
            </w:r>
            <w:bookmarkStart w:id="0" w:name="_GoBack"/>
            <w:bookmarkEnd w:id="0"/>
            <w:r>
              <w:rPr>
                <w:rFonts w:hint="eastAsia" w:ascii="仿宋_GB2312" w:hAnsi="仿宋_GB2312" w:eastAsia="仿宋_GB2312" w:cs="仿宋_GB2312"/>
                <w:color w:val="000000"/>
                <w:kern w:val="0"/>
                <w:szCs w:val="21"/>
                <w:lang w:bidi="ar"/>
              </w:rPr>
              <w:t>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1.每项任务是否已制定了明确、具体、可量化、可衡量的绩效指标；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2.每项任务绩效指标的完成情况，是全部完成、基本完成、未完成，还是未实施；</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3.每项任务实施效果情况，是优秀、良好、一般，还是无效果；</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项目完成质量达标率（15）</w:t>
            </w:r>
          </w:p>
        </w:tc>
        <w:tc>
          <w:tcPr>
            <w:tcW w:w="3436"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部门已完成项目中质量达标项目个数占已完成项目个数的比率,用以反映和评价部门履职质量目标的实现程度。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项目质量达标是指项目决算验收合格。</w:t>
            </w:r>
          </w:p>
        </w:tc>
        <w:tc>
          <w:tcPr>
            <w:tcW w:w="2373"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效果（20分）</w:t>
            </w:r>
          </w:p>
        </w:tc>
        <w:tc>
          <w:tcPr>
            <w:tcW w:w="743"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p>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履职效益情况</w:t>
            </w:r>
          </w:p>
          <w:p>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经济效益</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部门及所属二级单位通过履行职责和预算安排支出项目的实施，对我市带来的经济影响。</w:t>
            </w:r>
          </w:p>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1.通过部门所属企事业单位改革，促进了企事业单位效益增长情况；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2.通过预算支出项目的实施，促进了行业生产能力增长，从而带动行业经济效益增长；</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3.通过预算支出项目的实施，有效提高劳动效率，节约成本费用；</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4.通过预算支出项目的实施，降低了损耗，从而提高了生产效益；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部门及所属二级单位履行职责对社会发展所带来的直接或间接影响。</w:t>
            </w:r>
          </w:p>
          <w:p>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2.通过预算支出项目的实施，是否明显促进了行业精神文明建设；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部门及所属二级单位履行职责对生态环境所带来的直接或间接影响。</w:t>
            </w:r>
          </w:p>
          <w:p>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3.通过预算支出项目的实施，是否达到减少污染物排放；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auto"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hint="eastAsia"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pPr>
              <w:widowControl/>
              <w:spacing w:line="240" w:lineRule="exact"/>
              <w:rPr>
                <w:rFonts w:hint="eastAsia"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bl>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auto"/>
        <w:rPr>
          <w:rFonts w:hint="eastAsia" w:ascii="仿宋" w:hAnsi="仿宋" w:eastAsia="仿宋" w:cs="仿宋"/>
          <w:b/>
          <w:bCs/>
          <w:sz w:val="30"/>
          <w:szCs w:val="30"/>
          <w:lang w:val="en-US" w:eastAsia="zh-CN"/>
        </w:rPr>
      </w:pPr>
    </w:p>
    <w:p>
      <w:pPr>
        <w:spacing w:line="240" w:lineRule="auto"/>
        <w:rPr>
          <w:rFonts w:hint="eastAsia" w:ascii="仿宋" w:hAnsi="仿宋" w:eastAsia="仿宋" w:cs="仿宋"/>
          <w:b/>
          <w:bCs/>
          <w:sz w:val="30"/>
          <w:szCs w:val="30"/>
          <w:lang w:val="en-US" w:eastAsia="zh-CN"/>
        </w:rPr>
      </w:pPr>
    </w:p>
    <w:p>
      <w:pPr>
        <w:spacing w:line="240" w:lineRule="auto"/>
        <w:rPr>
          <w:rFonts w:hint="eastAsia" w:ascii="仿宋" w:hAnsi="仿宋" w:eastAsia="仿宋" w:cs="仿宋"/>
          <w:b/>
          <w:bCs/>
          <w:sz w:val="30"/>
          <w:szCs w:val="30"/>
          <w:lang w:val="en-US" w:eastAsia="zh-CN"/>
        </w:rPr>
      </w:pPr>
    </w:p>
    <w:p>
      <w:pPr>
        <w:spacing w:line="240" w:lineRule="auto"/>
        <w:rPr>
          <w:rFonts w:hint="eastAsia" w:ascii="仿宋" w:hAnsi="仿宋" w:eastAsia="仿宋" w:cs="仿宋"/>
          <w:b/>
          <w:bCs/>
          <w:sz w:val="30"/>
          <w:szCs w:val="30"/>
          <w:lang w:val="en-US" w:eastAsia="zh-CN"/>
        </w:rPr>
      </w:pPr>
    </w:p>
    <w:p>
      <w:pPr>
        <w:spacing w:line="240" w:lineRule="auto"/>
        <w:rPr>
          <w:rFonts w:hint="eastAsia" w:ascii="仿宋" w:hAnsi="仿宋" w:eastAsia="仿宋" w:cs="仿宋"/>
          <w:b/>
          <w:bCs/>
          <w:sz w:val="30"/>
          <w:szCs w:val="30"/>
          <w:lang w:val="en-US" w:eastAsia="zh-CN"/>
        </w:rPr>
      </w:pPr>
    </w:p>
    <w:p>
      <w:pPr>
        <w:spacing w:line="240" w:lineRule="auto"/>
        <w:rPr>
          <w:rFonts w:hint="eastAsia" w:ascii="仿宋" w:hAnsi="仿宋" w:eastAsia="仿宋" w:cs="仿宋"/>
          <w:b/>
          <w:bCs/>
          <w:sz w:val="30"/>
          <w:szCs w:val="30"/>
          <w:lang w:val="en-US" w:eastAsia="zh-CN"/>
        </w:rPr>
      </w:pPr>
    </w:p>
    <w:p>
      <w:pPr>
        <w:spacing w:line="240" w:lineRule="auto"/>
        <w:rPr>
          <w:rFonts w:hint="eastAsia" w:ascii="仿宋" w:hAnsi="仿宋" w:eastAsia="仿宋" w:cs="仿宋"/>
          <w:b/>
          <w:bCs/>
          <w:sz w:val="30"/>
          <w:szCs w:val="30"/>
          <w:lang w:val="en-US" w:eastAsia="zh-CN"/>
        </w:rPr>
      </w:pPr>
    </w:p>
    <w:p>
      <w:pPr>
        <w:spacing w:line="240" w:lineRule="auto"/>
        <w:rPr>
          <w:rFonts w:hint="eastAsia" w:ascii="仿宋" w:hAnsi="仿宋" w:eastAsia="仿宋" w:cs="仿宋"/>
          <w:b/>
          <w:bCs/>
          <w:sz w:val="30"/>
          <w:szCs w:val="30"/>
          <w:lang w:val="en-US" w:eastAsia="zh-CN"/>
        </w:rPr>
      </w:pPr>
    </w:p>
    <w:p>
      <w:pPr>
        <w:spacing w:line="240" w:lineRule="auto"/>
        <w:rPr>
          <w:rFonts w:hint="eastAsia" w:ascii="仿宋" w:hAnsi="仿宋" w:eastAsia="仿宋" w:cs="仿宋"/>
          <w:b/>
          <w:bCs/>
          <w:sz w:val="30"/>
          <w:szCs w:val="30"/>
          <w:lang w:val="en-US" w:eastAsia="zh-CN"/>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共青团隆尧县委</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部门整体支出绩效评价报告</w:t>
      </w:r>
    </w:p>
    <w:p>
      <w:pPr>
        <w:numPr>
          <w:ilvl w:val="0"/>
          <w:numId w:val="0"/>
        </w:numP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一、基本概况</w:t>
      </w:r>
    </w:p>
    <w:p>
      <w:pPr>
        <w:keepNext w:val="0"/>
        <w:keepLines w:val="0"/>
        <w:pageBreakBefore w:val="0"/>
        <w:numPr>
          <w:ilvl w:val="0"/>
          <w:numId w:val="0"/>
        </w:numPr>
        <w:kinsoku/>
        <w:wordWrap/>
        <w:overflowPunct/>
        <w:topLinePunct w:val="0"/>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1．主要职能</w:t>
      </w:r>
    </w:p>
    <w:p>
      <w:pPr>
        <w:keepNext w:val="0"/>
        <w:keepLines w:val="0"/>
        <w:pageBreakBefore w:val="0"/>
        <w:numPr>
          <w:ilvl w:val="0"/>
          <w:numId w:val="0"/>
        </w:numPr>
        <w:kinsoku/>
        <w:wordWrap/>
        <w:overflowPunct/>
        <w:topLinePunct w:val="0"/>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领导全县共青团工作，指导全县青、学联和少先队工作，对全县性青年社团组织指导和管理；对青年工作院校、青少年活动阵地和青少年服务机构的建设等进行规划和管理；协助县政府教育部门做好学生教育管理工作；调查青年思想动态和工作状况，研究青少年运动、青少年工作理论和思想教育问题并开展各种活动；组织和带领青年在经济建设中发挥生力军和突击队作用；丰富青少年活动，服务青年学习成才、交流交友、社会融入等现实需求；研究有关青少年发展问题，参与制定本县保护青少年健康成长的法律、地方性法规；参与监督青少年法规的执行、处理侵害青少年合法权益的问题；负责县未成年人保护委员会的日常工作。负责党和政府交办的其他事项及团的各项综合事务管理。</w:t>
      </w:r>
    </w:p>
    <w:p>
      <w:pPr>
        <w:keepNext w:val="0"/>
        <w:keepLines w:val="0"/>
        <w:pageBreakBefore w:val="0"/>
        <w:numPr>
          <w:ilvl w:val="0"/>
          <w:numId w:val="1"/>
        </w:numPr>
        <w:kinsoku/>
        <w:wordWrap/>
        <w:overflowPunct/>
        <w:topLinePunct w:val="0"/>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机构情况</w:t>
      </w:r>
    </w:p>
    <w:p>
      <w:pPr>
        <w:keepNext w:val="0"/>
        <w:keepLines w:val="0"/>
        <w:pageBreakBefore w:val="0"/>
        <w:numPr>
          <w:ilvl w:val="0"/>
          <w:numId w:val="0"/>
        </w:numPr>
        <w:kinsoku/>
        <w:wordWrap/>
        <w:overflowPunct/>
        <w:topLinePunct w:val="0"/>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团委属隆尧县党政机关，行政编制人数5人，正科级领导指数1，副科级领导指数为2，内设三部一室：组织部、宣传部、学少部、办公室。</w:t>
      </w:r>
    </w:p>
    <w:p>
      <w:pPr>
        <w:keepNext w:val="0"/>
        <w:keepLines w:val="0"/>
        <w:pageBreakBefore w:val="0"/>
        <w:numPr>
          <w:ilvl w:val="0"/>
          <w:numId w:val="2"/>
        </w:numPr>
        <w:kinsoku/>
        <w:wordWrap/>
        <w:overflowPunct/>
        <w:topLinePunct w:val="0"/>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人员情况</w:t>
      </w:r>
    </w:p>
    <w:p>
      <w:pPr>
        <w:keepNext w:val="0"/>
        <w:keepLines w:val="0"/>
        <w:pageBreakBefore w:val="0"/>
        <w:numPr>
          <w:ilvl w:val="0"/>
          <w:numId w:val="0"/>
        </w:numPr>
        <w:kinsoku/>
        <w:wordWrap/>
        <w:overflowPunct/>
        <w:topLinePunct w:val="0"/>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核定行政编制5名，实有行政编制4名。书记1名，副书记2名，一般人员1名。</w:t>
      </w:r>
    </w:p>
    <w:p>
      <w:pPr>
        <w:keepNext w:val="0"/>
        <w:keepLines w:val="0"/>
        <w:pageBreakBefore w:val="0"/>
        <w:numPr>
          <w:ilvl w:val="0"/>
          <w:numId w:val="2"/>
        </w:numPr>
        <w:kinsoku/>
        <w:wordWrap/>
        <w:overflowPunct/>
        <w:topLinePunct w:val="0"/>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部门履职总体目标</w:t>
      </w:r>
    </w:p>
    <w:p>
      <w:pPr>
        <w:keepNext w:val="0"/>
        <w:keepLines w:val="0"/>
        <w:pageBreakBefore w:val="0"/>
        <w:numPr>
          <w:ilvl w:val="0"/>
          <w:numId w:val="0"/>
        </w:numPr>
        <w:kinsoku/>
        <w:wordWrap/>
        <w:overflowPunct/>
        <w:topLinePunct w:val="0"/>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高举中国特色社会主义伟大旗帜，以邓小平理论、“三个代表”重要思想、科学发展观、习近平新时代中国特色社会主义思想为指导，深入贯彻党的十九大精神、中央群团工作会议精神和团十八大精神，以“党有号召、团有行动”和“服务大局、服务社会、服务青年”为工作总方向，全面履行组织、引导、服务青年，引领全县团员青年为“绿色隆尧”创建贡献青春力量。</w:t>
      </w:r>
    </w:p>
    <w:p>
      <w:pPr>
        <w:keepNext w:val="0"/>
        <w:keepLines w:val="0"/>
        <w:pageBreakBefore w:val="0"/>
        <w:numPr>
          <w:ilvl w:val="0"/>
          <w:numId w:val="0"/>
        </w:numPr>
        <w:kinsoku/>
        <w:wordWrap/>
        <w:overflowPunct/>
        <w:topLinePunct w:val="0"/>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5、主要任务和目标规划</w:t>
      </w:r>
    </w:p>
    <w:p>
      <w:pPr>
        <w:keepNext w:val="0"/>
        <w:keepLines w:val="0"/>
        <w:pageBreakBefore w:val="0"/>
        <w:numPr>
          <w:ilvl w:val="0"/>
          <w:numId w:val="0"/>
        </w:numPr>
        <w:kinsoku/>
        <w:wordWrap/>
        <w:overflowPunct/>
        <w:topLinePunct w:val="0"/>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(1)全面加强团的组织建设</w:t>
      </w:r>
    </w:p>
    <w:p>
      <w:pPr>
        <w:keepNext w:val="0"/>
        <w:keepLines w:val="0"/>
        <w:pageBreakBefore w:val="0"/>
        <w:numPr>
          <w:ilvl w:val="0"/>
          <w:numId w:val="0"/>
        </w:numPr>
        <w:kinsoku/>
        <w:wordWrap/>
        <w:overflowPunct/>
        <w:topLinePunct w:val="0"/>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(2)全力推进青少年思想引导工作</w:t>
      </w:r>
    </w:p>
    <w:p>
      <w:pPr>
        <w:keepNext w:val="0"/>
        <w:keepLines w:val="0"/>
        <w:pageBreakBefore w:val="0"/>
        <w:numPr>
          <w:ilvl w:val="0"/>
          <w:numId w:val="0"/>
        </w:numPr>
        <w:kinsoku/>
        <w:wordWrap/>
        <w:overflowPunct/>
        <w:topLinePunct w:val="0"/>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(3)加强工作调研和创新，全面开展服务全县青少年成长成才作和活动  </w:t>
      </w:r>
    </w:p>
    <w:p>
      <w:pPr>
        <w:keepNext w:val="0"/>
        <w:keepLines w:val="0"/>
        <w:pageBreakBefore w:val="0"/>
        <w:numPr>
          <w:ilvl w:val="0"/>
          <w:numId w:val="0"/>
        </w:numPr>
        <w:kinsoku/>
        <w:wordWrap/>
        <w:overflowPunct/>
        <w:topLinePunct w:val="0"/>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(4)充分发挥助手和生力军作用，助力党政大局工作</w:t>
      </w:r>
    </w:p>
    <w:p>
      <w:pPr>
        <w:keepNext w:val="0"/>
        <w:keepLines w:val="0"/>
        <w:pageBreakBefore w:val="0"/>
        <w:numPr>
          <w:ilvl w:val="0"/>
          <w:numId w:val="0"/>
        </w:numPr>
        <w:kinsoku/>
        <w:wordWrap/>
        <w:overflowPunct/>
        <w:topLinePunct w:val="0"/>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6、预算资金安排及资金支出情况</w:t>
      </w:r>
    </w:p>
    <w:p>
      <w:pPr>
        <w:pStyle w:val="3"/>
        <w:keepNext w:val="0"/>
        <w:keepLines w:val="0"/>
        <w:pageBreakBefore w:val="0"/>
        <w:kinsoku/>
        <w:wordWrap/>
        <w:overflowPunct/>
        <w:topLinePunct w:val="0"/>
        <w:bidi w:val="0"/>
        <w:spacing w:after="0" w:line="560" w:lineRule="exact"/>
        <w:ind w:firstLine="472"/>
        <w:textAlignment w:val="auto"/>
        <w:rPr>
          <w:rFonts w:hint="eastAsia" w:ascii="仿宋_GB2312" w:hAnsi="仿宋_GB2312" w:eastAsia="仿宋_GB2312" w:cs="仿宋_GB2312"/>
          <w:spacing w:val="0"/>
          <w:kern w:val="2"/>
          <w:sz w:val="32"/>
          <w:szCs w:val="32"/>
          <w:lang w:val="en-US" w:eastAsia="zh-CN" w:bidi="ar-SA"/>
        </w:rPr>
      </w:pPr>
      <w:r>
        <w:rPr>
          <w:rFonts w:hint="eastAsia" w:ascii="仿宋_GB2312" w:hAnsi="仿宋_GB2312" w:eastAsia="仿宋_GB2312" w:cs="仿宋_GB2312"/>
          <w:spacing w:val="0"/>
          <w:kern w:val="2"/>
          <w:sz w:val="32"/>
          <w:szCs w:val="32"/>
          <w:lang w:val="en-US" w:eastAsia="zh-CN" w:bidi="ar-SA"/>
        </w:rPr>
        <w:t xml:space="preserve"> 2019年部门收入年初预算数37.17万元，支出年初预算数37.17万元，调整后的年初结余为0万元。调整预算收入为35.31万元，调整预算支出为35.31万元。收入和支出均较上年度增加幅度不大，养老保险支出减少导致的人员经费的减少。</w:t>
      </w:r>
    </w:p>
    <w:p>
      <w:pPr>
        <w:keepNext w:val="0"/>
        <w:keepLines w:val="0"/>
        <w:pageBreakBefore w:val="0"/>
        <w:kinsoku/>
        <w:wordWrap/>
        <w:overflowPunct/>
        <w:topLinePunct w:val="0"/>
        <w:bidi w:val="0"/>
        <w:spacing w:line="560" w:lineRule="exact"/>
        <w:textAlignment w:val="auto"/>
        <w:rPr>
          <w:rFonts w:hint="eastAsia" w:ascii="黑体" w:hAnsi="黑体" w:eastAsia="黑体" w:cs="黑体"/>
          <w:spacing w:val="0"/>
          <w:kern w:val="2"/>
          <w:sz w:val="32"/>
          <w:szCs w:val="32"/>
          <w:lang w:val="en-US" w:eastAsia="zh-CN" w:bidi="ar-SA"/>
        </w:rPr>
      </w:pPr>
      <w:r>
        <w:rPr>
          <w:rFonts w:hint="eastAsia" w:ascii="黑体" w:hAnsi="黑体" w:eastAsia="黑体" w:cs="黑体"/>
          <w:spacing w:val="0"/>
          <w:kern w:val="2"/>
          <w:sz w:val="32"/>
          <w:szCs w:val="32"/>
          <w:lang w:val="en-US" w:eastAsia="zh-CN" w:bidi="ar-SA"/>
        </w:rPr>
        <w:t>二、收入支出预算执行情况</w:t>
      </w:r>
    </w:p>
    <w:p>
      <w:pPr>
        <w:pStyle w:val="3"/>
        <w:keepNext w:val="0"/>
        <w:keepLines w:val="0"/>
        <w:pageBreakBefore w:val="0"/>
        <w:kinsoku/>
        <w:wordWrap/>
        <w:overflowPunct/>
        <w:topLinePunct w:val="0"/>
        <w:bidi w:val="0"/>
        <w:spacing w:line="560" w:lineRule="exact"/>
        <w:ind w:firstLine="472"/>
        <w:textAlignment w:val="auto"/>
        <w:rPr>
          <w:rFonts w:hint="eastAsia" w:ascii="仿宋_GB2312" w:hAnsi="仿宋_GB2312" w:eastAsia="仿宋_GB2312" w:cs="仿宋_GB2312"/>
          <w:spacing w:val="0"/>
          <w:kern w:val="2"/>
          <w:sz w:val="32"/>
          <w:szCs w:val="32"/>
          <w:lang w:val="en-US" w:eastAsia="zh-CN" w:bidi="ar-SA"/>
        </w:rPr>
      </w:pPr>
      <w:r>
        <w:rPr>
          <w:rFonts w:hint="eastAsia" w:ascii="仿宋_GB2312" w:hAnsi="仿宋_GB2312" w:eastAsia="仿宋_GB2312" w:cs="仿宋_GB2312"/>
          <w:spacing w:val="0"/>
          <w:kern w:val="2"/>
          <w:sz w:val="32"/>
          <w:szCs w:val="32"/>
          <w:lang w:val="en-US" w:eastAsia="zh-CN" w:bidi="ar-SA"/>
        </w:rPr>
        <w:t>1．收入支出与预算对比分析</w:t>
      </w:r>
    </w:p>
    <w:p>
      <w:pPr>
        <w:pStyle w:val="3"/>
        <w:keepNext w:val="0"/>
        <w:keepLines w:val="0"/>
        <w:pageBreakBefore w:val="0"/>
        <w:kinsoku/>
        <w:wordWrap/>
        <w:overflowPunct/>
        <w:topLinePunct w:val="0"/>
        <w:bidi w:val="0"/>
        <w:spacing w:line="560" w:lineRule="exact"/>
        <w:ind w:firstLine="472"/>
        <w:textAlignment w:val="auto"/>
        <w:rPr>
          <w:rFonts w:hint="eastAsia" w:ascii="仿宋_GB2312" w:hAnsi="仿宋_GB2312" w:eastAsia="仿宋_GB2312" w:cs="仿宋_GB2312"/>
          <w:spacing w:val="0"/>
          <w:kern w:val="2"/>
          <w:sz w:val="32"/>
          <w:szCs w:val="32"/>
          <w:lang w:val="en-US" w:eastAsia="zh-CN" w:bidi="ar-SA"/>
        </w:rPr>
      </w:pPr>
      <w:r>
        <w:rPr>
          <w:rFonts w:hint="eastAsia" w:ascii="仿宋_GB2312" w:hAnsi="仿宋_GB2312" w:eastAsia="仿宋_GB2312" w:cs="仿宋_GB2312"/>
          <w:spacing w:val="0"/>
          <w:kern w:val="2"/>
          <w:sz w:val="32"/>
          <w:szCs w:val="32"/>
          <w:lang w:val="en-US" w:eastAsia="zh-CN" w:bidi="ar-SA"/>
        </w:rPr>
        <w:t>全年实际收入35.31万元，年初结余调整前为0万元。实际支出35.31万元，结余0万元，实际支出比上年减少1.36万元，减少幅度为1%。结余数比上年减少0万元，减少幅度为100%。工作和活动增加。决算情况与预算情况相差不大，预算执行情况较好。</w:t>
      </w:r>
    </w:p>
    <w:p>
      <w:pPr>
        <w:keepNext w:val="0"/>
        <w:keepLines w:val="0"/>
        <w:pageBreakBefore w:val="0"/>
        <w:kinsoku/>
        <w:wordWrap/>
        <w:overflowPunct/>
        <w:topLinePunct w:val="0"/>
        <w:bidi w:val="0"/>
        <w:spacing w:line="560" w:lineRule="exact"/>
        <w:ind w:firstLine="640" w:firstLineChars="200"/>
        <w:textAlignment w:val="auto"/>
        <w:rPr>
          <w:rFonts w:hint="eastAsia" w:ascii="仿宋_GB2312" w:hAnsi="仿宋_GB2312" w:eastAsia="仿宋_GB2312" w:cs="仿宋_GB2312"/>
          <w:spacing w:val="0"/>
          <w:kern w:val="2"/>
          <w:sz w:val="32"/>
          <w:szCs w:val="32"/>
          <w:lang w:val="en-US" w:eastAsia="zh-CN" w:bidi="ar-SA"/>
        </w:rPr>
      </w:pPr>
      <w:r>
        <w:rPr>
          <w:rFonts w:hint="eastAsia" w:ascii="仿宋_GB2312" w:hAnsi="仿宋_GB2312" w:eastAsia="仿宋_GB2312" w:cs="仿宋_GB2312"/>
          <w:spacing w:val="0"/>
          <w:kern w:val="2"/>
          <w:sz w:val="32"/>
          <w:szCs w:val="32"/>
          <w:lang w:val="en-US" w:eastAsia="zh-CN" w:bidi="ar-SA"/>
        </w:rPr>
        <w:t>2．收入支出结构分析</w:t>
      </w:r>
    </w:p>
    <w:p>
      <w:pPr>
        <w:keepNext w:val="0"/>
        <w:keepLines w:val="0"/>
        <w:pageBreakBefore w:val="0"/>
        <w:widowControl/>
        <w:kinsoku/>
        <w:wordWrap/>
        <w:overflowPunct/>
        <w:topLinePunct w:val="0"/>
        <w:bidi w:val="0"/>
        <w:spacing w:line="560" w:lineRule="exact"/>
        <w:ind w:firstLine="480"/>
        <w:textAlignment w:val="auto"/>
        <w:rPr>
          <w:rFonts w:hint="eastAsia" w:ascii="仿宋_GB2312" w:hAnsi="仿宋_GB2312" w:eastAsia="仿宋_GB2312" w:cs="仿宋_GB2312"/>
          <w:spacing w:val="0"/>
          <w:kern w:val="2"/>
          <w:sz w:val="32"/>
          <w:szCs w:val="32"/>
          <w:lang w:val="en-US" w:eastAsia="zh-CN" w:bidi="ar-SA"/>
        </w:rPr>
      </w:pPr>
      <w:r>
        <w:rPr>
          <w:rFonts w:hint="eastAsia" w:ascii="仿宋_GB2312" w:hAnsi="仿宋_GB2312" w:eastAsia="仿宋_GB2312" w:cs="仿宋_GB2312"/>
          <w:spacing w:val="0"/>
          <w:kern w:val="2"/>
          <w:sz w:val="32"/>
          <w:szCs w:val="32"/>
          <w:lang w:val="en-US" w:eastAsia="zh-CN" w:bidi="ar-SA"/>
        </w:rPr>
        <w:t>全年实际收入35.31万元，上年度结转结余0万元。均为一般公共预算收入。人员经费支出25.41万元，日常公用经费支出2.9万元，分别占支出总额的71.96%和8.21%。</w:t>
      </w:r>
    </w:p>
    <w:p>
      <w:pPr>
        <w:keepNext w:val="0"/>
        <w:keepLines w:val="0"/>
        <w:pageBreakBefore w:val="0"/>
        <w:widowControl/>
        <w:numPr>
          <w:ilvl w:val="0"/>
          <w:numId w:val="0"/>
        </w:numPr>
        <w:kinsoku/>
        <w:wordWrap/>
        <w:overflowPunct/>
        <w:topLinePunct w:val="0"/>
        <w:bidi w:val="0"/>
        <w:spacing w:line="56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三、预算绩效管理开展及整体绩效实现情况</w:t>
      </w:r>
    </w:p>
    <w:p>
      <w:pPr>
        <w:keepNext w:val="0"/>
        <w:keepLines w:val="0"/>
        <w:pageBreakBefore w:val="0"/>
        <w:widowControl/>
        <w:numPr>
          <w:ilvl w:val="0"/>
          <w:numId w:val="0"/>
        </w:numPr>
        <w:kinsoku/>
        <w:wordWrap/>
        <w:overflowPunct/>
        <w:topLinePunct w:val="0"/>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2019年，我单位按照县财政局的预算绩效管理工作要求，紧紧围绕财政中心工作，积极推进预算绩效管理工作，建立了“预算编制有目标、预算执行有监控、预算完成有评价、评价结果有反馈、反馈结果有运用”的全程预算绩效管理机制，积极推进预算绩效管理工作，具体作了如下工作：一是进一步夯实基础，健全完善制度我单位坚持制度先行一步，大力推进绩效管理制度建设，按照县财政局要求已建立绩效目标管理、绩效监控、绩效评价管理及评价结果应用管理相关工作制度，使绩效管理工作制度化、规范化。二是积极开展绩效目标编制为更好落实预算绩效目标，我单位把预算绩效目标的编制纳入了年初预算编制体系，全面推进了项目绩效目标编报工作。</w:t>
      </w:r>
    </w:p>
    <w:p>
      <w:pPr>
        <w:keepNext w:val="0"/>
        <w:keepLines w:val="0"/>
        <w:pageBreakBefore w:val="0"/>
        <w:widowControl/>
        <w:numPr>
          <w:ilvl w:val="0"/>
          <w:numId w:val="0"/>
        </w:numPr>
        <w:kinsoku/>
        <w:wordWrap/>
        <w:overflowPunct/>
        <w:topLinePunct w:val="0"/>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2019年我单位整体绩效实现情况较好，基本实现年初设定的绩效目标，各项工作有序推进，得到了全县广大团员青年和少队员们们的一致认可。</w:t>
      </w:r>
    </w:p>
    <w:p>
      <w:pPr>
        <w:keepNext w:val="0"/>
        <w:keepLines w:val="0"/>
        <w:pageBreakBefore w:val="0"/>
        <w:numPr>
          <w:ilvl w:val="0"/>
          <w:numId w:val="0"/>
        </w:numPr>
        <w:kinsoku/>
        <w:wordWrap/>
        <w:overflowPunct/>
        <w:topLinePunct w:val="0"/>
        <w:bidi w:val="0"/>
        <w:spacing w:line="560" w:lineRule="exact"/>
        <w:ind w:firstLine="960" w:firstLineChars="300"/>
        <w:textAlignment w:val="auto"/>
        <w:rPr>
          <w:rFonts w:hint="eastAsia" w:ascii="黑体" w:hAnsi="黑体" w:eastAsia="黑体" w:cs="黑体"/>
          <w:sz w:val="32"/>
          <w:szCs w:val="32"/>
          <w:lang w:val="en-US" w:eastAsia="zh-CN"/>
        </w:rPr>
      </w:pPr>
    </w:p>
    <w:p>
      <w:pPr>
        <w:keepNext w:val="0"/>
        <w:keepLines w:val="0"/>
        <w:pageBreakBefore w:val="0"/>
        <w:numPr>
          <w:ilvl w:val="0"/>
          <w:numId w:val="0"/>
        </w:numPr>
        <w:kinsoku/>
        <w:wordWrap/>
        <w:overflowPunct/>
        <w:topLinePunct w:val="0"/>
        <w:bidi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四、绩效评价的组织实施情况</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bidi w:val="0"/>
        <w:spacing w:before="60" w:beforeAutospacing="0" w:after="60" w:afterAutospacing="0" w:line="560" w:lineRule="exact"/>
        <w:ind w:righ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kern w:val="2"/>
          <w:sz w:val="32"/>
          <w:szCs w:val="32"/>
          <w:lang w:val="en-US" w:eastAsia="zh-CN" w:bidi="ar-SA"/>
        </w:rPr>
        <w:t>在开展绩效评价工作中，我单位主要采取单位自评的办法，逐步推进项目评价工作的实施。对2019年的团委事务管理项目进行评价自评工作，2019团委事务管理项目的经费是7万元，组织实施自评工作。按照要求成立了评价工作组，较好地完成了自评工作。通过自评工作的开展，逐步扭转了单位“重预算轻管理，重分配轻监督，重使用轻效益”的现象，为财政资金的配置运用更加合理提供了依据，有效地推动了源头防腐和廉政建设，促进了项目实施发挥应有的经济效益和社会效益。</w:t>
      </w:r>
    </w:p>
    <w:p>
      <w:pPr>
        <w:keepNext w:val="0"/>
        <w:keepLines w:val="0"/>
        <w:pageBreakBefore w:val="0"/>
        <w:numPr>
          <w:ilvl w:val="0"/>
          <w:numId w:val="0"/>
        </w:numPr>
        <w:kinsoku/>
        <w:wordWrap/>
        <w:overflowPunct/>
        <w:topLinePunct w:val="0"/>
        <w:bidi w:val="0"/>
        <w:spacing w:line="560" w:lineRule="exact"/>
        <w:textAlignment w:val="auto"/>
        <w:rPr>
          <w:rFonts w:hint="eastAsia" w:ascii="仿宋_GB2312" w:hAnsi="仿宋_GB2312" w:eastAsia="黑体" w:cs="仿宋_GB2312"/>
          <w:sz w:val="32"/>
          <w:szCs w:val="32"/>
          <w:lang w:val="en-US" w:eastAsia="zh-CN"/>
        </w:rPr>
      </w:pPr>
      <w:r>
        <w:rPr>
          <w:rFonts w:hint="eastAsia" w:ascii="仿宋_GB2312" w:hAnsi="仿宋_GB2312" w:eastAsia="黑体" w:cs="仿宋_GB2312"/>
          <w:sz w:val="32"/>
          <w:szCs w:val="32"/>
          <w:lang w:val="en-US" w:eastAsia="zh-CN"/>
        </w:rPr>
        <w:t>五、各项绩效目标的实现程度及差异性原因分析</w:t>
      </w:r>
    </w:p>
    <w:p>
      <w:pPr>
        <w:keepNext w:val="0"/>
        <w:keepLines w:val="0"/>
        <w:pageBreakBefore w:val="0"/>
        <w:numPr>
          <w:ilvl w:val="0"/>
          <w:numId w:val="0"/>
        </w:numPr>
        <w:kinsoku/>
        <w:wordWrap/>
        <w:overflowPunct/>
        <w:topLinePunct w:val="0"/>
        <w:bidi w:val="0"/>
        <w:spacing w:line="560" w:lineRule="exact"/>
        <w:ind w:firstLine="960" w:firstLineChars="3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通过自评，我单位各项绩效目标基本实现。</w:t>
      </w:r>
    </w:p>
    <w:p>
      <w:pPr>
        <w:keepNext w:val="0"/>
        <w:keepLines w:val="0"/>
        <w:pageBreakBefore w:val="0"/>
        <w:numPr>
          <w:ilvl w:val="0"/>
          <w:numId w:val="0"/>
        </w:numPr>
        <w:kinsoku/>
        <w:wordWrap/>
        <w:overflowPunct/>
        <w:topLinePunct w:val="0"/>
        <w:bidi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六、存在问题及建议</w:t>
      </w:r>
    </w:p>
    <w:p>
      <w:pPr>
        <w:keepNext w:val="0"/>
        <w:keepLines w:val="0"/>
        <w:pageBreakBefore w:val="0"/>
        <w:numPr>
          <w:ilvl w:val="0"/>
          <w:numId w:val="0"/>
        </w:numPr>
        <w:kinsoku/>
        <w:wordWrap/>
        <w:overflowPunct/>
        <w:topLinePunct w:val="0"/>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我单位财务人员业务能力还有待进一步提高。由于预算绩效管理工作开展时间较短，加上缺乏系统培训，致使我单位人员对这项工作的熟悉程度还不够，业务能力有待提升。</w:t>
      </w:r>
    </w:p>
    <w:p>
      <w:pPr>
        <w:keepNext w:val="0"/>
        <w:keepLines w:val="0"/>
        <w:pageBreakBefore w:val="0"/>
        <w:numPr>
          <w:ilvl w:val="0"/>
          <w:numId w:val="0"/>
        </w:numPr>
        <w:kinsoku/>
        <w:wordWrap/>
        <w:overflowPunct/>
        <w:topLinePunct w:val="0"/>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建议县财政部门组织开展相关业务培训指导。</w:t>
      </w: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1583861-3343-4BD3-BCFE-12D83EC0AAF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FBEBAAFA-2FA4-4A11-931E-37E09E8E9BF4}"/>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 w:name="方正小标宋简体">
    <w:panose1 w:val="02000000000000000000"/>
    <w:charset w:val="86"/>
    <w:family w:val="auto"/>
    <w:pitch w:val="default"/>
    <w:sig w:usb0="00000001" w:usb1="08000000" w:usb2="00000000" w:usb3="00000000" w:csb0="00040000" w:csb1="00000000"/>
    <w:embedRegular r:id="rId3" w:fontKey="{1A85106A-FF33-4B28-8A4A-C813FBD9EF1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6</w:t>
    </w:r>
    <w:r>
      <w:rPr>
        <w:rStyle w:val="11"/>
        <w:rFonts w:ascii="宋体" w:hAnsi="宋体" w:eastAsia="宋体"/>
        <w:sz w:val="28"/>
        <w:szCs w:val="28"/>
      </w:rPr>
      <w:fldChar w:fldCharType="end"/>
    </w:r>
    <w:r>
      <w:rPr>
        <w:rStyle w:val="11"/>
        <w:rFonts w:hint="eastAsia" w:ascii="宋体" w:hAnsi="宋体" w:eastAsia="宋体"/>
        <w:sz w:val="28"/>
        <w:szCs w:val="28"/>
      </w:rPr>
      <w:t>-</w:t>
    </w:r>
  </w:p>
  <w:p>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D514A6"/>
    <w:multiLevelType w:val="singleLevel"/>
    <w:tmpl w:val="90D514A6"/>
    <w:lvl w:ilvl="0" w:tentative="0">
      <w:start w:val="2"/>
      <w:numFmt w:val="decimal"/>
      <w:suff w:val="nothing"/>
      <w:lvlText w:val="%1．"/>
      <w:lvlJc w:val="left"/>
    </w:lvl>
  </w:abstractNum>
  <w:abstractNum w:abstractNumId="1">
    <w:nsid w:val="69EF2661"/>
    <w:multiLevelType w:val="singleLevel"/>
    <w:tmpl w:val="69EF2661"/>
    <w:lvl w:ilvl="0" w:tentative="0">
      <w:start w:val="3"/>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313"/>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VjZjRjNmMxMjE1MDg4OTJhZmE0OTM3NDdkNjVhODEifQ=="/>
  </w:docVars>
  <w:rsids>
    <w:rsidRoot w:val="00042933"/>
    <w:rsid w:val="00002F2C"/>
    <w:rsid w:val="000070A8"/>
    <w:rsid w:val="00016CA4"/>
    <w:rsid w:val="000324AE"/>
    <w:rsid w:val="00042933"/>
    <w:rsid w:val="0008033E"/>
    <w:rsid w:val="0008759D"/>
    <w:rsid w:val="00094F2B"/>
    <w:rsid w:val="000B0A83"/>
    <w:rsid w:val="000B6322"/>
    <w:rsid w:val="000C2CC1"/>
    <w:rsid w:val="000E4A5A"/>
    <w:rsid w:val="00103547"/>
    <w:rsid w:val="0017068B"/>
    <w:rsid w:val="00185A3C"/>
    <w:rsid w:val="00192D5A"/>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E3B64"/>
    <w:rsid w:val="005020C5"/>
    <w:rsid w:val="00567FE6"/>
    <w:rsid w:val="0058162A"/>
    <w:rsid w:val="005B3616"/>
    <w:rsid w:val="005E12FA"/>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266F1"/>
    <w:rsid w:val="00EB16A8"/>
    <w:rsid w:val="00EC7904"/>
    <w:rsid w:val="00F72E93"/>
    <w:rsid w:val="00F87A11"/>
    <w:rsid w:val="00FB7E01"/>
    <w:rsid w:val="00FE5F4C"/>
    <w:rsid w:val="00FF39F6"/>
    <w:rsid w:val="05374814"/>
    <w:rsid w:val="0F8F6BFC"/>
    <w:rsid w:val="25297727"/>
    <w:rsid w:val="3791647A"/>
    <w:rsid w:val="3C0C1F4D"/>
    <w:rsid w:val="45053545"/>
    <w:rsid w:val="455969D8"/>
    <w:rsid w:val="526A3656"/>
    <w:rsid w:val="5D643D56"/>
    <w:rsid w:val="69BD0A47"/>
    <w:rsid w:val="6F2C0A30"/>
    <w:rsid w:val="71A911C9"/>
    <w:rsid w:val="72D9383A"/>
    <w:rsid w:val="77A86A4F"/>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autoRedefine/>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autoRedefine/>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autoRedefine/>
    <w:qFormat/>
    <w:uiPriority w:val="99"/>
    <w:rPr>
      <w:sz w:val="18"/>
      <w:szCs w:val="18"/>
    </w:rPr>
  </w:style>
  <w:style w:type="character" w:customStyle="1" w:styleId="13">
    <w:name w:val="页脚 Char"/>
    <w:basedOn w:val="9"/>
    <w:link w:val="5"/>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autoRedefine/>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795</Words>
  <Characters>4535</Characters>
  <Lines>37</Lines>
  <Paragraphs>10</Paragraphs>
  <TotalTime>20</TotalTime>
  <ScaleCrop>false</ScaleCrop>
  <LinksUpToDate>false</LinksUpToDate>
  <CharactersWithSpaces>5320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童话故事书</cp:lastModifiedBy>
  <cp:lastPrinted>2018-11-29T03:23:00Z</cp:lastPrinted>
  <dcterms:modified xsi:type="dcterms:W3CDTF">2024-04-03T06:46:00Z</dcterms:modified>
  <cp:revision>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679FA83247A141CA8A92C654B5342053_12</vt:lpwstr>
  </property>
</Properties>
</file>