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80" w:lineRule="exact"/>
        <w:jc w:val="left"/>
        <w:rPr>
          <w:rFonts w:ascii="宋体" w:hAnsi="宋体" w:eastAsia="宋体" w:cs="宋体"/>
          <w:b/>
          <w:color w:val="000000"/>
          <w:kern w:val="0"/>
          <w:sz w:val="44"/>
          <w:szCs w:val="44"/>
          <w:shd w:val="clear" w:color="auto" w:fill="FFFFFF"/>
          <w:lang w:bidi="ar"/>
        </w:rPr>
      </w:pPr>
    </w:p>
    <w:p>
      <w:pPr>
        <w:spacing w:line="480" w:lineRule="exact"/>
        <w:jc w:val="center"/>
        <w:rPr>
          <w:rFonts w:hint="eastAsia" w:ascii="宋体" w:hAnsi="宋体"/>
          <w:b/>
          <w:sz w:val="44"/>
          <w:szCs w:val="44"/>
          <w:lang w:eastAsia="zh-CN"/>
        </w:rPr>
      </w:pPr>
      <w:r>
        <w:rPr>
          <w:rFonts w:hint="eastAsia" w:ascii="宋体" w:hAnsi="宋体"/>
          <w:b/>
          <w:sz w:val="44"/>
          <w:szCs w:val="44"/>
          <w:lang w:eastAsia="zh-CN"/>
        </w:rPr>
        <w:t>隆尧县人民政府办公室</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lang w:bidi="ar"/>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w:t>
            </w:r>
            <w:bookmarkStart w:id="0" w:name="_GoBack"/>
            <w:bookmarkEnd w:id="0"/>
            <w:r>
              <w:rPr>
                <w:rFonts w:hint="eastAsia" w:ascii="仿宋_GB2312" w:hAnsi="仿宋_GB2312" w:eastAsia="仿宋_GB2312" w:cs="仿宋_GB2312"/>
                <w:color w:val="000000"/>
                <w:kern w:val="0"/>
                <w:szCs w:val="21"/>
                <w:lang w:bidi="ar"/>
              </w:rPr>
              <w:t>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0" w:hRule="atLeast"/>
        </w:trPr>
        <w:tc>
          <w:tcPr>
            <w:tcW w:w="152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hint="eastAsia" w:ascii="仿宋_GB2312" w:hAnsi="仿宋_GB2312" w:eastAsia="仿宋_GB2312" w:cs="仿宋_GB2312"/>
                <w:szCs w:val="21"/>
                <w:lang w:eastAsia="zh-CN"/>
              </w:rPr>
            </w:pPr>
            <w:r>
              <w:rPr>
                <w:rFonts w:hint="eastAsia" w:ascii="仿宋_GB2312" w:hAnsi="仿宋_GB2312" w:eastAsia="仿宋_GB2312" w:cs="仿宋_GB2312"/>
                <w:szCs w:val="21"/>
                <w:lang w:eastAsia="zh-CN"/>
              </w:rPr>
              <w:t>总分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hint="default" w:ascii="仿宋_GB2312" w:hAnsi="仿宋_GB2312" w:eastAsia="仿宋_GB2312" w:cs="仿宋_GB2312"/>
                <w:kern w:val="0"/>
                <w:szCs w:val="21"/>
                <w:lang w:val="en-US" w:eastAsia="zh-CN" w:bidi="ar"/>
              </w:rPr>
            </w:pPr>
            <w:r>
              <w:rPr>
                <w:rFonts w:hint="eastAsia" w:ascii="仿宋_GB2312" w:hAnsi="仿宋_GB2312" w:eastAsia="仿宋_GB2312" w:cs="仿宋_GB2312"/>
                <w:kern w:val="0"/>
                <w:szCs w:val="21"/>
                <w:lang w:val="en-US" w:eastAsia="zh-CN" w:bidi="ar"/>
              </w:rPr>
              <w:t>100分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kern w:val="0"/>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96分</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隆尧县人民政府办公室</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部门整体支出绩效评价报告</w:t>
      </w:r>
    </w:p>
    <w:p>
      <w:pPr>
        <w:numPr>
          <w:ilvl w:val="0"/>
          <w:numId w:val="0"/>
        </w:numPr>
        <w:spacing w:line="24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一、基本概况。</w:t>
      </w:r>
    </w:p>
    <w:p>
      <w:pPr>
        <w:adjustRightInd w:val="0"/>
        <w:spacing w:line="60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部门主要职责职能：</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负责县政府领导活动的组织和协调工作；负责县政府</w:t>
      </w:r>
      <w:r>
        <w:rPr>
          <w:rFonts w:hint="eastAsia" w:ascii="仿宋_GB2312" w:hAnsi="仿宋_GB2312" w:eastAsia="仿宋_GB2312" w:cs="仿宋_GB2312"/>
          <w:spacing w:val="-6"/>
          <w:sz w:val="32"/>
          <w:szCs w:val="32"/>
        </w:rPr>
        <w:t>会议的筹备和服务工作，协助县政府领导组织落实会议决定事项。</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研究县政府各部门、各乡镇政府、开发区、食品城请示县政府的事项，提出审核意见，报县政府领导审批。</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根据县政府领导的指示，对县政府部门间出现的争议问题提出处理意见，报县政府领导决定。</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组织起草县政府领导重要讲话及其他重要文稿。</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督促检查县政府各部门、各乡镇政府、开发区、食品城对市政府和县政府决定事项及市政府、县政府领导重要批示的执行落实情况并跟踪调研，及时向县政府领导报告。</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负责县政府值班工作，及时报告重要情况，传达和督促落实县政府领导工作要求，协助处理各部门、各乡镇向县政府反映的重要问题。</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根据县政府工作部署和县政府领导的指示，组织专题调研，及时反映情况，提出建议。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组织承办人大代表建议和政协提案工作。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负责推进、指导、协调、监督全县政府信息公开工作。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负责政务信息（包括舆情信息）服务工作和全县政府系统机关电子政务工作，协同有关部门统筹协调县政府新闻宣传、舆情回应等工作。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负责对人民群众通过电话反映的政府及政府各部门存在的问题、直接影响群众生活的应由县政府及有关职能部门协调解决的问题和其他带有普遍性、倾向性、苗头性的重要问题进行受理、登记、呈交、督促、反馈。</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负责县政府公务接待工作；做好县政府办公室有关行政事务工作。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负责综合性政策研究并向县政府提供决策咨询。</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负责关于党中央重要文件涉及县政府系统需落实事项、县委主要领导批示件和县委常委会会议决定、县委专题会议议定的涉及县政府系统落实事项的督办、汇总、反馈工作。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负责承办县政府提请县人大常委会任免议案和县政府任免人员的行政任免手续等有关事宜，承办县政府任命工作人员宪法宣誓工作。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贯彻执行国家、省、市有关人民防空的法律、法规和规章，结合我县实际，拟订人民防空工作管理办法、人民防空</w:t>
      </w:r>
      <w:r>
        <w:rPr>
          <w:rFonts w:hint="eastAsia" w:ascii="仿宋_GB2312" w:hAnsi="仿宋_GB2312" w:eastAsia="仿宋_GB2312" w:cs="仿宋_GB2312"/>
          <w:spacing w:val="-4"/>
          <w:sz w:val="32"/>
          <w:szCs w:val="32"/>
        </w:rPr>
        <w:t>事业发展规划和年度计划，经县政府批准后组织实施和监督检查。</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管理人民防空工程建设；负责人民防空组织指挥工作；负责人民防空信息化建设；组织开展防空防灾宣传教育；战时组织指挥城乡群众开展防空袭斗争；承担县政府赋予的防灾救灾等应急保障任务。</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负责指导地方志编研工作。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完成县委、县政府交办的其他任务。</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县政府办公室设下列内设机构</w:t>
      </w:r>
      <w:r>
        <w:rPr>
          <w:rFonts w:hint="eastAsia" w:ascii="仿宋_GB2312" w:hAnsi="仿宋_GB2312" w:eastAsia="仿宋_GB2312" w:cs="仿宋_GB2312"/>
          <w:sz w:val="32"/>
          <w:szCs w:val="32"/>
          <w:lang w:eastAsia="zh-CN"/>
        </w:rPr>
        <w:t>：</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值班室（群众服务热线办公室）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秘书股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综合一股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综合二股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综合三至七股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党务办公室（政务公开股）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机关事务股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隆尧县地方金融监督管理局（金融工作办公室）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隆尧县人民政府督查室（政府督查室）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隆尧县人民防空办公室</w:t>
      </w:r>
      <w:r>
        <w:rPr>
          <w:rFonts w:hint="eastAsia" w:ascii="仿宋_GB2312" w:hAnsi="仿宋_GB2312" w:eastAsia="仿宋_GB2312" w:cs="仿宋_GB2312"/>
          <w:sz w:val="32"/>
          <w:szCs w:val="32"/>
          <w:lang w:eastAsia="zh-CN"/>
        </w:rPr>
        <w:t>。</w:t>
      </w:r>
    </w:p>
    <w:p>
      <w:pPr>
        <w:numPr>
          <w:ilvl w:val="0"/>
          <w:numId w:val="1"/>
        </w:numPr>
        <w:adjustRightInd w:val="0"/>
        <w:spacing w:line="600" w:lineRule="exact"/>
        <w:ind w:left="0" w:leftChars="0"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县政府办公室</w:t>
      </w:r>
      <w:r>
        <w:rPr>
          <w:rFonts w:hint="eastAsia" w:ascii="仿宋_GB2312" w:hAnsi="仿宋_GB2312" w:eastAsia="仿宋_GB2312" w:cs="仿宋_GB2312"/>
          <w:sz w:val="32"/>
          <w:szCs w:val="32"/>
          <w:lang w:eastAsia="zh-CN"/>
        </w:rPr>
        <w:t>截至</w:t>
      </w:r>
      <w:r>
        <w:rPr>
          <w:rFonts w:hint="eastAsia" w:ascii="仿宋_GB2312" w:hAnsi="仿宋_GB2312" w:eastAsia="仿宋_GB2312" w:cs="仿宋_GB2312"/>
          <w:sz w:val="32"/>
          <w:szCs w:val="32"/>
          <w:lang w:val="en-US" w:eastAsia="zh-CN"/>
        </w:rPr>
        <w:t>2019年末</w:t>
      </w:r>
      <w:r>
        <w:rPr>
          <w:rFonts w:hint="eastAsia" w:ascii="仿宋_GB2312" w:hAnsi="仿宋_GB2312" w:eastAsia="仿宋_GB2312" w:cs="仿宋_GB2312"/>
          <w:sz w:val="32"/>
          <w:szCs w:val="32"/>
          <w:lang w:eastAsia="zh-CN"/>
        </w:rPr>
        <w:t>在职人员共计</w:t>
      </w:r>
      <w:r>
        <w:rPr>
          <w:rFonts w:hint="eastAsia" w:ascii="仿宋_GB2312" w:hAnsi="仿宋_GB2312" w:eastAsia="仿宋_GB2312" w:cs="仿宋_GB2312"/>
          <w:sz w:val="32"/>
          <w:szCs w:val="32"/>
          <w:lang w:val="en-US" w:eastAsia="zh-CN"/>
        </w:rPr>
        <w:t>53人，其中：行</w:t>
      </w:r>
      <w:r>
        <w:rPr>
          <w:rFonts w:hint="eastAsia" w:ascii="仿宋_GB2312" w:hAnsi="仿宋_GB2312" w:eastAsia="仿宋_GB2312" w:cs="仿宋_GB2312"/>
          <w:sz w:val="32"/>
          <w:szCs w:val="32"/>
        </w:rPr>
        <w:t>政编制3</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名</w:t>
      </w:r>
      <w:r>
        <w:rPr>
          <w:rFonts w:hint="eastAsia" w:ascii="仿宋_GB2312" w:hAnsi="仿宋_GB2312" w:eastAsia="仿宋_GB2312" w:cs="仿宋_GB2312"/>
          <w:sz w:val="32"/>
          <w:szCs w:val="32"/>
          <w:lang w:eastAsia="zh-CN"/>
        </w:rPr>
        <w:t>，工勤人员</w:t>
      </w:r>
      <w:r>
        <w:rPr>
          <w:rFonts w:hint="eastAsia" w:ascii="仿宋_GB2312" w:hAnsi="仿宋_GB2312" w:eastAsia="仿宋_GB2312" w:cs="仿宋_GB2312"/>
          <w:sz w:val="32"/>
          <w:szCs w:val="32"/>
          <w:lang w:val="en-US" w:eastAsia="zh-CN"/>
        </w:rPr>
        <w:t>4人，事业编制人员16人</w:t>
      </w:r>
      <w:r>
        <w:rPr>
          <w:rFonts w:hint="eastAsia" w:ascii="仿宋_GB2312" w:hAnsi="仿宋_GB2312" w:eastAsia="仿宋_GB2312" w:cs="仿宋_GB2312"/>
          <w:sz w:val="32"/>
          <w:szCs w:val="32"/>
        </w:rPr>
        <w:t>。</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县政府办公室</w:t>
      </w:r>
      <w:r>
        <w:rPr>
          <w:rFonts w:hint="eastAsia" w:ascii="仿宋_GB2312" w:hAnsi="仿宋_GB2312" w:eastAsia="仿宋_GB2312" w:cs="仿宋_GB2312"/>
          <w:sz w:val="32"/>
          <w:szCs w:val="32"/>
          <w:lang w:val="en-US" w:eastAsia="zh-CN"/>
        </w:rPr>
        <w:t>共有7472272.8元国有资产。其中：专用设备</w:t>
      </w:r>
      <w:r>
        <w:rPr>
          <w:rFonts w:hint="eastAsia" w:ascii="仿宋_GB2312" w:hAnsi="仿宋_GB2312" w:eastAsia="仿宋_GB2312" w:cs="仿宋_GB2312"/>
          <w:sz w:val="32"/>
          <w:szCs w:val="32"/>
          <w:lang w:eastAsia="zh-CN"/>
        </w:rPr>
        <w:t>28594元，</w:t>
      </w:r>
      <w:r>
        <w:rPr>
          <w:rFonts w:hint="eastAsia" w:ascii="仿宋_GB2312" w:hAnsi="仿宋_GB2312" w:eastAsia="仿宋_GB2312" w:cs="仿宋_GB2312"/>
          <w:sz w:val="32"/>
          <w:szCs w:val="32"/>
          <w:lang w:val="en-US" w:eastAsia="zh-CN"/>
        </w:rPr>
        <w:t>家具、用具、装具及装备</w:t>
      </w:r>
      <w:r>
        <w:rPr>
          <w:rFonts w:hint="eastAsia" w:ascii="仿宋_GB2312" w:hAnsi="仿宋_GB2312" w:eastAsia="仿宋_GB2312" w:cs="仿宋_GB2312"/>
          <w:sz w:val="32"/>
          <w:szCs w:val="32"/>
          <w:lang w:eastAsia="zh-CN"/>
        </w:rPr>
        <w:t>851068元，</w:t>
      </w:r>
      <w:r>
        <w:rPr>
          <w:rFonts w:hint="eastAsia" w:ascii="仿宋_GB2312" w:hAnsi="仿宋_GB2312" w:eastAsia="仿宋_GB2312" w:cs="仿宋_GB2312"/>
          <w:sz w:val="32"/>
          <w:szCs w:val="32"/>
          <w:lang w:val="en-US" w:eastAsia="zh-CN"/>
        </w:rPr>
        <w:t>通用设备</w:t>
      </w:r>
      <w:r>
        <w:rPr>
          <w:rFonts w:hint="eastAsia" w:ascii="仿宋_GB2312" w:hAnsi="仿宋_GB2312" w:eastAsia="仿宋_GB2312" w:cs="仿宋_GB2312"/>
          <w:sz w:val="32"/>
          <w:szCs w:val="32"/>
          <w:lang w:eastAsia="zh-CN"/>
        </w:rPr>
        <w:t>2606241元，</w:t>
      </w:r>
      <w:r>
        <w:rPr>
          <w:rFonts w:hint="eastAsia" w:ascii="仿宋_GB2312" w:hAnsi="仿宋_GB2312" w:eastAsia="仿宋_GB2312" w:cs="仿宋_GB2312"/>
          <w:sz w:val="32"/>
          <w:szCs w:val="32"/>
          <w:lang w:val="en-US" w:eastAsia="zh-CN"/>
        </w:rPr>
        <w:t>土地、房屋及构筑物</w:t>
      </w:r>
      <w:r>
        <w:rPr>
          <w:rFonts w:hint="eastAsia" w:ascii="仿宋_GB2312" w:hAnsi="仿宋_GB2312" w:eastAsia="仿宋_GB2312" w:cs="仿宋_GB2312"/>
          <w:sz w:val="32"/>
          <w:szCs w:val="32"/>
          <w:lang w:eastAsia="zh-CN"/>
        </w:rPr>
        <w:t>3986369.8元。</w:t>
      </w:r>
    </w:p>
    <w:p>
      <w:pPr>
        <w:adjustRightInd w:val="0"/>
        <w:spacing w:line="600" w:lineRule="exact"/>
        <w:ind w:firstLine="64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（五）部门履职总体目标：紧扣全县发展大局和中心工作，以“信念坚定、为民服务、勤政务实、敢于担当、清正廉洁”为理念，充分发挥综合协调、督办落实、参政设谋作用，较好的完成和各项工作任务。</w:t>
      </w:r>
    </w:p>
    <w:p>
      <w:pPr>
        <w:adjustRightInd w:val="0"/>
        <w:spacing w:line="600" w:lineRule="exact"/>
        <w:ind w:firstLine="64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（六）年度整体绩效目标:</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围绕县政府本年度中心工作和重点工作，按照本年度财政预算合理安排资金；对县政府各种会议及大型会议提前早安排，保证会议如期成功举行；认真搞好县政府接待工作；认真搞好政府后勤服务和机关事务管理</w:t>
      </w:r>
      <w:r>
        <w:rPr>
          <w:rFonts w:hint="eastAsia" w:ascii="仿宋_GB2312" w:hAnsi="仿宋_GB2312" w:eastAsia="仿宋_GB2312" w:cs="仿宋_GB2312"/>
          <w:sz w:val="32"/>
          <w:szCs w:val="32"/>
          <w:lang w:eastAsia="zh-CN"/>
        </w:rPr>
        <w:t>；各项</w:t>
      </w:r>
      <w:r>
        <w:rPr>
          <w:rFonts w:hint="eastAsia" w:ascii="仿宋_GB2312" w:hAnsi="仿宋_GB2312" w:eastAsia="仿宋_GB2312" w:cs="仿宋_GB2312"/>
          <w:sz w:val="32"/>
          <w:szCs w:val="32"/>
        </w:rPr>
        <w:t>日常工作</w:t>
      </w:r>
      <w:r>
        <w:rPr>
          <w:rFonts w:hint="eastAsia" w:ascii="仿宋_GB2312" w:hAnsi="仿宋_GB2312" w:eastAsia="仿宋_GB2312" w:cs="仿宋_GB2312"/>
          <w:color w:val="auto"/>
          <w:sz w:val="32"/>
          <w:szCs w:val="32"/>
          <w:lang w:val="en-US" w:eastAsia="zh-CN"/>
        </w:rPr>
        <w:t>工作有条不紊的进行。</w:t>
      </w:r>
    </w:p>
    <w:p>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（七）2019年总预算资金为18744574.64元，资金支出18744574.64元，无结余。</w:t>
      </w:r>
    </w:p>
    <w:p>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二、预算绩效管理开展及整体绩效实现情况</w:t>
      </w:r>
    </w:p>
    <w:p>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（一）预算绩效管理开展情况</w:t>
      </w:r>
    </w:p>
    <w:p>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为全面实施预算项目绩效管理，我单位一是加强预算编制绩效管理，每年对单位申报预算项目进行全面梳理、加强审核、合理保障，所有项目有明细的资金预算；二是完善项目绩效管理责任，财政局批复下达年度预算时，通过规范格式同步下达绩效目标，我单位明确预算执行主体，负责实现项目绩效目标，对未如期完成或绩效目标结果差的，在编制下年度预算时适当调减项目资金额度；三是，积极推进项目绩效评价，在加强预算编制环节的基础上，加强预算执行监管和执行结果评价，将财务监督渗透到预算管理的事前、事中、事后各个环节。</w:t>
      </w:r>
    </w:p>
    <w:p>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（二）整体绩效实现情况</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县政府各种会议及大型会议如期成功举行；县政府接待工作</w:t>
      </w:r>
      <w:r>
        <w:rPr>
          <w:rFonts w:hint="eastAsia" w:ascii="仿宋_GB2312" w:hAnsi="仿宋_GB2312" w:eastAsia="仿宋_GB2312" w:cs="仿宋_GB2312"/>
          <w:sz w:val="32"/>
          <w:szCs w:val="32"/>
          <w:lang w:eastAsia="zh-CN"/>
        </w:rPr>
        <w:t>圆满完成</w:t>
      </w:r>
      <w:r>
        <w:rPr>
          <w:rFonts w:hint="eastAsia" w:ascii="仿宋_GB2312" w:hAnsi="仿宋_GB2312" w:eastAsia="仿宋_GB2312" w:cs="仿宋_GB2312"/>
          <w:sz w:val="32"/>
          <w:szCs w:val="32"/>
        </w:rPr>
        <w:t>；政府后勤服务和机关事务管理</w:t>
      </w:r>
      <w:r>
        <w:rPr>
          <w:rFonts w:hint="eastAsia" w:ascii="仿宋_GB2312" w:hAnsi="仿宋_GB2312" w:eastAsia="仿宋_GB2312" w:cs="仿宋_GB2312"/>
          <w:sz w:val="32"/>
          <w:szCs w:val="32"/>
          <w:lang w:eastAsia="zh-CN"/>
        </w:rPr>
        <w:t>都很好完成</w:t>
      </w:r>
      <w:r>
        <w:rPr>
          <w:rFonts w:hint="eastAsia" w:ascii="仿宋_GB2312" w:hAnsi="仿宋_GB2312" w:eastAsia="仿宋_GB2312" w:cs="仿宋_GB2312"/>
          <w:sz w:val="32"/>
          <w:szCs w:val="32"/>
        </w:rPr>
        <w:t>，县政府日常工作运转</w:t>
      </w:r>
      <w:r>
        <w:rPr>
          <w:rFonts w:hint="eastAsia" w:ascii="仿宋_GB2312" w:hAnsi="仿宋_GB2312" w:eastAsia="仿宋_GB2312" w:cs="仿宋_GB2312"/>
          <w:color w:val="auto"/>
          <w:sz w:val="32"/>
          <w:szCs w:val="32"/>
          <w:lang w:val="en-US" w:eastAsia="zh-CN"/>
        </w:rPr>
        <w:t>有条不紊</w:t>
      </w:r>
      <w:r>
        <w:rPr>
          <w:rFonts w:hint="eastAsia" w:ascii="仿宋_GB2312" w:hAnsi="仿宋_GB2312" w:eastAsia="仿宋_GB2312" w:cs="仿宋_GB2312"/>
          <w:sz w:val="32"/>
          <w:szCs w:val="32"/>
          <w:lang w:eastAsia="zh-CN"/>
        </w:rPr>
        <w:t>。</w:t>
      </w:r>
    </w:p>
    <w:p>
      <w:pPr>
        <w:numPr>
          <w:ilvl w:val="0"/>
          <w:numId w:val="2"/>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绩效评价的组织实施情况</w:t>
      </w:r>
    </w:p>
    <w:p>
      <w:pPr>
        <w:widowControl w:val="0"/>
        <w:numPr>
          <w:ilvl w:val="0"/>
          <w:numId w:val="0"/>
        </w:numPr>
        <w:spacing w:line="240" w:lineRule="auto"/>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lang w:eastAsia="zh-CN"/>
        </w:rPr>
        <w:t>成立了由单位主任担任组长，政府办副主任及两名科员为成员的</w:t>
      </w:r>
      <w:r>
        <w:rPr>
          <w:rFonts w:hint="eastAsia" w:ascii="仿宋_GB2312" w:hAnsi="仿宋_GB2312" w:eastAsia="仿宋_GB2312" w:cs="仿宋_GB2312"/>
          <w:color w:val="auto"/>
          <w:sz w:val="32"/>
          <w:szCs w:val="32"/>
          <w:lang w:val="en-US" w:eastAsia="zh-CN"/>
        </w:rPr>
        <w:t>4人部门</w:t>
      </w:r>
      <w:r>
        <w:rPr>
          <w:rFonts w:hint="eastAsia" w:ascii="仿宋_GB2312" w:hAnsi="仿宋_GB2312" w:eastAsia="仿宋_GB2312" w:cs="仿宋_GB2312"/>
          <w:color w:val="auto"/>
          <w:sz w:val="32"/>
          <w:szCs w:val="32"/>
          <w:lang w:eastAsia="zh-CN"/>
        </w:rPr>
        <w:t>整体支出绩效</w:t>
      </w:r>
      <w:r>
        <w:rPr>
          <w:rFonts w:hint="eastAsia" w:ascii="仿宋_GB2312" w:hAnsi="仿宋_GB2312" w:eastAsia="仿宋_GB2312" w:cs="仿宋_GB2312"/>
          <w:color w:val="auto"/>
          <w:sz w:val="32"/>
          <w:szCs w:val="32"/>
        </w:rPr>
        <w:t>自评</w:t>
      </w:r>
      <w:r>
        <w:rPr>
          <w:rFonts w:hint="eastAsia" w:ascii="仿宋_GB2312" w:hAnsi="仿宋_GB2312" w:eastAsia="仿宋_GB2312" w:cs="仿宋_GB2312"/>
          <w:color w:val="auto"/>
          <w:sz w:val="32"/>
          <w:szCs w:val="32"/>
          <w:lang w:eastAsia="zh-CN"/>
        </w:rPr>
        <w:t>小组，</w:t>
      </w:r>
      <w:r>
        <w:rPr>
          <w:rFonts w:hint="eastAsia" w:ascii="仿宋_GB2312" w:hAnsi="仿宋_GB2312" w:eastAsia="仿宋_GB2312" w:cs="仿宋_GB2312"/>
          <w:color w:val="auto"/>
          <w:sz w:val="32"/>
          <w:szCs w:val="32"/>
          <w:lang w:val="en-US" w:eastAsia="zh-CN"/>
        </w:rPr>
        <w:t>遵循客观公正，操作简便高效，尊重客观实际，实事求是的原则，</w:t>
      </w:r>
      <w:r>
        <w:rPr>
          <w:rFonts w:hint="eastAsia" w:ascii="仿宋_GB2312" w:hAnsi="仿宋_GB2312" w:eastAsia="仿宋_GB2312" w:cs="仿宋_GB2312"/>
          <w:sz w:val="32"/>
          <w:szCs w:val="32"/>
          <w:lang w:eastAsia="zh-CN"/>
        </w:rPr>
        <w:t>负责本单位整体绩效自评工作。</w:t>
      </w:r>
    </w:p>
    <w:p>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整体支出绩效评价体系：指标体系包括共性指标和个性指标两部分，主要参照财政部门制定的《部门整体支出绩效评价指标体系》的相关内容，根据单位具体情况对个性指标进行了调整细化。</w:t>
      </w:r>
    </w:p>
    <w:p>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整体支出绩效评价方法：主要采用因素分析法、比较法等方法。</w:t>
      </w:r>
    </w:p>
    <w:p>
      <w:pPr>
        <w:numPr>
          <w:ilvl w:val="0"/>
          <w:numId w:val="3"/>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各项绩效目标的实现程度及差异性原因分析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 xml:space="preserve"> 我单位各个项目绩效目标均已完成。</w:t>
      </w:r>
    </w:p>
    <w:p>
      <w:pPr>
        <w:numPr>
          <w:ilvl w:val="0"/>
          <w:numId w:val="3"/>
        </w:numPr>
        <w:spacing w:line="240" w:lineRule="auto"/>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存在问题、采取的纠偏措施及改进绩效管理建议。</w:t>
      </w:r>
    </w:p>
    <w:p>
      <w:pPr>
        <w:widowControl w:val="0"/>
        <w:numPr>
          <w:ilvl w:val="0"/>
          <w:numId w:val="0"/>
        </w:numPr>
        <w:spacing w:line="240" w:lineRule="auto"/>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（一）注重抓贯彻，忽视抓典型。对上级要求的各项工作，我们很重视，但思想停留在“完成”二字上，少有创新举措，忽视对典型的挖掘和推介。</w:t>
      </w:r>
    </w:p>
    <w:p>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（二）注重按时，忽视评估效果。对于各项工作任务，我们一般提前谋划，但对完成的效果以及影响力的评估，我们少有探究，联系实际、服务群众做的不够。</w:t>
      </w:r>
    </w:p>
    <w:p>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六、改进措施和有关建议</w:t>
      </w:r>
    </w:p>
    <w:p>
      <w:pPr>
        <w:widowControl w:val="0"/>
        <w:numPr>
          <w:ilvl w:val="0"/>
          <w:numId w:val="0"/>
        </w:numPr>
        <w:spacing w:line="240" w:lineRule="auto"/>
        <w:ind w:firstLine="640" w:firstLineChars="200"/>
        <w:jc w:val="both"/>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进一步规范财务管理，对本单位当年度的各项工作开展做到心中有数，统筹安排，合理配置。在以后工作中，坚持做到合理安排预算资金，不断完善支出结构，优化资金使用率，进一步完善预算管理体制。</w:t>
      </w:r>
    </w:p>
    <w:sectPr>
      <w:footerReference r:id="rId3" w:type="default"/>
      <w:footerReference r:id="rId4" w:type="even"/>
      <w:pgSz w:w="11906" w:h="16838"/>
      <w:pgMar w:top="1985" w:right="1418" w:bottom="1985" w:left="1418" w:header="851" w:footer="1701" w:gutter="0"/>
      <w:pgNumType w:fmt="decimal"/>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31B6C850-9D46-4464-AD11-1D02F56D22C3}"/>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方正小标宋简体">
    <w:panose1 w:val="02000000000000000000"/>
    <w:charset w:val="86"/>
    <w:family w:val="auto"/>
    <w:pitch w:val="default"/>
    <w:sig w:usb0="00000001" w:usb1="08000000" w:usb2="00000000" w:usb3="00000000" w:csb0="00040000" w:csb1="00000000"/>
    <w:embedRegular r:id="rId2" w:fontKey="{5DF4F70C-29B2-4D48-A7EA-AFD90585301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5"/>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122E0F"/>
    <w:multiLevelType w:val="singleLevel"/>
    <w:tmpl w:val="F0122E0F"/>
    <w:lvl w:ilvl="0" w:tentative="0">
      <w:start w:val="4"/>
      <w:numFmt w:val="chineseCounting"/>
      <w:suff w:val="nothing"/>
      <w:lvlText w:val="%1、"/>
      <w:lvlJc w:val="left"/>
      <w:rPr>
        <w:rFonts w:hint="eastAsia"/>
      </w:rPr>
    </w:lvl>
  </w:abstractNum>
  <w:abstractNum w:abstractNumId="1">
    <w:nsid w:val="3C32C34E"/>
    <w:multiLevelType w:val="singleLevel"/>
    <w:tmpl w:val="3C32C34E"/>
    <w:lvl w:ilvl="0" w:tentative="0">
      <w:start w:val="3"/>
      <w:numFmt w:val="chineseCounting"/>
      <w:suff w:val="nothing"/>
      <w:lvlText w:val="%1、"/>
      <w:lvlJc w:val="left"/>
      <w:rPr>
        <w:rFonts w:hint="eastAsia"/>
      </w:rPr>
    </w:lvl>
  </w:abstractNum>
  <w:abstractNum w:abstractNumId="2">
    <w:nsid w:val="4093634B"/>
    <w:multiLevelType w:val="singleLevel"/>
    <w:tmpl w:val="4093634B"/>
    <w:lvl w:ilvl="0" w:tentative="0">
      <w:start w:val="3"/>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17E6B"/>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1EE22B7"/>
    <w:rsid w:val="0255560C"/>
    <w:rsid w:val="026707DF"/>
    <w:rsid w:val="02F42596"/>
    <w:rsid w:val="03CB115B"/>
    <w:rsid w:val="046D6031"/>
    <w:rsid w:val="05374814"/>
    <w:rsid w:val="056F1526"/>
    <w:rsid w:val="06850320"/>
    <w:rsid w:val="0692422B"/>
    <w:rsid w:val="074A52A7"/>
    <w:rsid w:val="0F8F6BFC"/>
    <w:rsid w:val="128133AB"/>
    <w:rsid w:val="138957DC"/>
    <w:rsid w:val="138E1A49"/>
    <w:rsid w:val="1AD129F3"/>
    <w:rsid w:val="1AEA3DD1"/>
    <w:rsid w:val="1EFC509A"/>
    <w:rsid w:val="230D50B6"/>
    <w:rsid w:val="24DC5139"/>
    <w:rsid w:val="2FF53383"/>
    <w:rsid w:val="32117C99"/>
    <w:rsid w:val="338D6297"/>
    <w:rsid w:val="358E42A3"/>
    <w:rsid w:val="3791647A"/>
    <w:rsid w:val="3BEA3FE2"/>
    <w:rsid w:val="3DB65D22"/>
    <w:rsid w:val="43FA7283"/>
    <w:rsid w:val="455969D8"/>
    <w:rsid w:val="458F061F"/>
    <w:rsid w:val="45F501CE"/>
    <w:rsid w:val="4DEE67CA"/>
    <w:rsid w:val="4F0D7F90"/>
    <w:rsid w:val="526A3656"/>
    <w:rsid w:val="5431272C"/>
    <w:rsid w:val="5D643D56"/>
    <w:rsid w:val="5DBF5EC6"/>
    <w:rsid w:val="639E0CA2"/>
    <w:rsid w:val="640D4B88"/>
    <w:rsid w:val="6458692A"/>
    <w:rsid w:val="69BD0A47"/>
    <w:rsid w:val="6DD10080"/>
    <w:rsid w:val="6E1A5E0C"/>
    <w:rsid w:val="6FA54D0F"/>
    <w:rsid w:val="71A911C9"/>
    <w:rsid w:val="71D009CA"/>
    <w:rsid w:val="746A481D"/>
    <w:rsid w:val="77A86A4F"/>
    <w:rsid w:val="7BC5035E"/>
    <w:rsid w:val="7CCC213E"/>
    <w:rsid w:val="7D3A0F1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autoRedefine/>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795</Words>
  <Characters>4535</Characters>
  <Lines>37</Lines>
  <Paragraphs>10</Paragraphs>
  <TotalTime>2</TotalTime>
  <ScaleCrop>false</ScaleCrop>
  <LinksUpToDate>false</LinksUpToDate>
  <CharactersWithSpaces>5320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童话故事书</cp:lastModifiedBy>
  <cp:lastPrinted>2020-05-26T09:15:00Z</cp:lastPrinted>
  <dcterms:modified xsi:type="dcterms:W3CDTF">2024-04-03T06:43:56Z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15054347CD6D446F9F07A5F479CF2BF1_12</vt:lpwstr>
  </property>
</Properties>
</file>