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rPr>
          <w:rFonts w:ascii="Times New Roman" w:hAnsi="Times New Roman" w:eastAsia="方正小标宋_GBK"/>
          <w:sz w:val="44"/>
          <w:szCs w:val="44"/>
        </w:rPr>
      </w:pPr>
      <w:r>
        <w:rPr>
          <w:rFonts w:hint="eastAsia" w:ascii="Times New Roman" w:hAnsi="Times New Roman" w:eastAsia="方正小标宋_GBK"/>
          <w:sz w:val="44"/>
          <w:szCs w:val="44"/>
        </w:rPr>
        <w:t>隆尧县市场监督管理局</w:t>
      </w:r>
      <w:r>
        <w:rPr>
          <w:rFonts w:ascii="Times New Roman" w:hAnsi="Times New Roman" w:eastAsia="方正小标宋_GBK"/>
          <w:sz w:val="44"/>
          <w:szCs w:val="44"/>
        </w:rPr>
        <w:t>2021</w:t>
      </w:r>
      <w:r>
        <w:rPr>
          <w:rFonts w:hint="eastAsia" w:ascii="Times New Roman" w:hAnsi="Times New Roman" w:eastAsia="方正小标宋_GBK"/>
          <w:sz w:val="44"/>
          <w:szCs w:val="44"/>
        </w:rPr>
        <w:t>年部门预算信息公开情况说明</w:t>
      </w:r>
    </w:p>
    <w:p>
      <w:pPr>
        <w:ind w:firstLine="640" w:firstLineChars="200"/>
        <w:rPr>
          <w:rFonts w:ascii="仿宋" w:hAnsi="仿宋" w:eastAsia="仿宋" w:cs="宋体"/>
          <w:sz w:val="32"/>
          <w:szCs w:val="32"/>
        </w:rPr>
      </w:pPr>
      <w:r>
        <w:rPr>
          <w:rFonts w:hint="eastAsia" w:ascii="仿宋" w:hAnsi="仿宋" w:eastAsia="仿宋" w:cs="宋体"/>
          <w:sz w:val="32"/>
          <w:szCs w:val="32"/>
        </w:rPr>
        <w:t>按照《预算法》、《地方预决算公开操作规程》和《河北省省级预算公开办法》规定，现将隆尧县市场监督管理局2020年部门预算公开如下：</w:t>
      </w:r>
    </w:p>
    <w:p>
      <w:pPr>
        <w:numPr>
          <w:ilvl w:val="0"/>
          <w:numId w:val="1"/>
        </w:numPr>
        <w:rPr>
          <w:rFonts w:ascii="黑体" w:hAnsi="黑体" w:eastAsia="黑体"/>
          <w:sz w:val="32"/>
          <w:szCs w:val="32"/>
        </w:rPr>
      </w:pPr>
      <w:r>
        <w:rPr>
          <w:rFonts w:hint="eastAsia" w:ascii="黑体" w:hAnsi="黑体" w:eastAsia="黑体"/>
          <w:sz w:val="32"/>
          <w:szCs w:val="32"/>
        </w:rPr>
        <w:t>部门职责及机构设置情况</w:t>
      </w:r>
    </w:p>
    <w:p>
      <w:pPr>
        <w:ind w:firstLine="627" w:firstLineChars="196"/>
        <w:rPr>
          <w:rFonts w:ascii="仿宋" w:hAnsi="仿宋" w:eastAsia="仿宋" w:cs="宋体"/>
          <w:sz w:val="32"/>
          <w:szCs w:val="32"/>
        </w:rPr>
      </w:pPr>
      <w:r>
        <w:rPr>
          <w:rFonts w:hint="eastAsia" w:ascii="仿宋" w:hAnsi="仿宋" w:eastAsia="仿宋" w:cs="宋体"/>
          <w:b/>
          <w:sz w:val="32"/>
          <w:szCs w:val="32"/>
        </w:rPr>
        <w:t>部门职责：</w:t>
      </w:r>
      <w:r>
        <w:rPr>
          <w:rFonts w:hint="eastAsia" w:ascii="仿宋" w:hAnsi="仿宋" w:eastAsia="仿宋" w:cs="宋体"/>
          <w:sz w:val="32"/>
          <w:szCs w:val="32"/>
        </w:rPr>
        <w:t>（一）贯彻执行国家、省、市食品（含食品添加剂、保健食品，下同）安全、药品（含中药、民族药，下同）、医疗器械、化妆品、工商行政监督管理的法律法规和方针政策。拟订政策措施和规划，推动建立落实食品药品安全企业主体责任、乡（镇）人民政府负总责的机制，并组织实施和监督检查。（二）依法负责市场监督管理和行政执法工作。落实县政府、市工商行政管理局、市食品药品监督管理局的工作部署；拟订全县市场监督管理措施办法。（三）承担全县食品（含酒类）生产、流通、消费环节安全监督管理工作；负责食品行政许可实施办法的监督实施。参与制定食品安全风险监测方案，根据食品安全风险监测方案开展食品安全风险监测。建立完善全县食品安全隐患排查机制，制定全县食品安全检查年度计划、重大整顿治理方案并组织落实。（四）负责药品、医疗器械监督管理。监督实施国家药品、医疗器械标准，监督实施药品和医疗器械研制、生产、经营、使用方面的质量管理规范。建立药品不良反应、医疗器械不良事件和药物滥用监测体系并开展监测和处置工作。配合实施国家基本药物制度。（五）负责化妆品的监督管理和全县化妆品不良反应监测的管理。（六）监督实施中药材生产质量管理规范、中药饮片炮制规范。依法实施中药品种保护制度。（七）负责制定食品、药品、医疗器械、化妆品监督管理的稽查制度并组织实施，组织查处重大违法行为。监督实施问题产品召回和处置制度。（八）负责食品药品安全事故应急体系建设，组织和指导食品药品安全事故应急处置和调查处理工作，监督事故查处落实情况。（九）负责建立食品、药品、医疗器械、化妆品安全信息统一公布制度和重大信息直报制度，公布安全监管信息。（十）负责制定全县食品药品安全科技发展规划并组织实施，推动食品药品检验检测体系、电子监管追溯体系和信息化建设。（十一）负责食品药品安全宣传、教育培训及对外交流与合作。推进诚信体系建设。（十二）负责指导和监督全县食品药品监督管理工作，规范行政执法行为，推动完善行政执法与刑事司法衔接机制。（十三）承担县政府食品安全委员会日常工作。负责食品安全监督管理综合协调，推动健全协调联动机制。督促检查乡（镇）人民政府和县有关部门履行食品药品安全监督管理职责，并负责考核评价。（十四）依法组织指导各类市场主体的登记注册和监督管理工作，按照业务权限负责各类企业、从事经营活动的单位以及外国（地区）企业驻辖区代表机构的登记注册和监督管理。在县政府领导下，按照职责分工依法查处取缔无照经营。（十五）负责依法规范和维护市场经营秩序，监督管理市场交易行为和网络商品交易及有关服务行为。（十六）负责依法监督管理流通领域商品质量，组织开展消费维权工作，按分工查处经营假冒伪劣商品等违法行为，受理、处理消费者咨询、投诉、举报，指导12315网络体系建设工作，保护消费者、经营者合法权益。（十七）按照职责分工依法查处传销和违法直销行为，依法监督管理直销活动。（十八）根据授权依法负责垄断协议、滥用市场支配地位、滥用行政权力排除限制竞争方面的反垄断执法工作（价格垄断行为除外）；依法查处不正当竞争等经济违法行为。（十九）依法组织指导对经纪人、经纪机构及经纪活动的监督管理工作。（二十）依法实施合同行政监督管理，组织指导动产抵押登记、拍卖行为监督管理工作，查处合同欺诈等违法行为。（二十一）指导广告业发展，负责广告活动的监督管理工作。（二十二）组织指导商标管理工作，依法保护商标专用权和查处商标侵权行为，负责驰名商标、著名商标的培育推荐保护工作；负责特殊标志、官方标志的保护。（二十三）负责企业信用体系建设工作，组织指导企业、个体工商户、商品交易市场信用管理，负责工商行政管理业务信息库建设，研究分析并依法发布市场主体登记注册基础信息等相关信息，为政府决策和社会公众提供信息服务。（二十四）负责个体工商户、私营企业经营行为的服务和监督管理。（二十五）组织指导消费者协会、私营企业协会、个体劳动者协会、民用品维修行业协会、商标协会、广告协会等有关社团的工作。（二十六）负责指导非公有制企业党建工作。（二十七）承办县政府交办的其他事项。</w:t>
      </w:r>
    </w:p>
    <w:p>
      <w:pPr>
        <w:ind w:firstLine="627" w:firstLineChars="196"/>
        <w:rPr>
          <w:rFonts w:ascii="黑体" w:hAnsi="黑体" w:eastAsia="黑体"/>
          <w:b/>
          <w:sz w:val="32"/>
          <w:szCs w:val="32"/>
        </w:rPr>
      </w:pPr>
      <w:r>
        <w:rPr>
          <w:rFonts w:hint="eastAsia" w:ascii="仿宋" w:hAnsi="仿宋" w:eastAsia="仿宋" w:cs="宋体"/>
          <w:b/>
          <w:sz w:val="32"/>
          <w:szCs w:val="32"/>
        </w:rPr>
        <w:t>机构设置情况：</w:t>
      </w:r>
    </w:p>
    <w:tbl>
      <w:tblPr>
        <w:tblStyle w:val="11"/>
        <w:tblW w:w="9169" w:type="dxa"/>
        <w:tblInd w:w="72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869"/>
        <w:gridCol w:w="2340"/>
        <w:gridCol w:w="1440"/>
        <w:gridCol w:w="252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69" w:type="dxa"/>
          </w:tcPr>
          <w:p>
            <w:pPr>
              <w:autoSpaceDE w:val="0"/>
              <w:autoSpaceDN w:val="0"/>
              <w:adjustRightInd w:val="0"/>
              <w:jc w:val="left"/>
              <w:rPr>
                <w:rFonts w:ascii="仿宋" w:hAnsi="仿宋" w:eastAsia="仿宋"/>
                <w:kern w:val="0"/>
                <w:sz w:val="32"/>
                <w:szCs w:val="32"/>
              </w:rPr>
            </w:pPr>
            <w:r>
              <w:rPr>
                <w:rFonts w:hint="eastAsia" w:ascii="仿宋" w:hAnsi="仿宋" w:eastAsia="仿宋" w:cs="方正书宋_GBK"/>
                <w:sz w:val="32"/>
                <w:szCs w:val="32"/>
              </w:rPr>
              <w:t>单位名称</w:t>
            </w:r>
          </w:p>
        </w:tc>
        <w:tc>
          <w:tcPr>
            <w:tcW w:w="2340" w:type="dxa"/>
          </w:tcPr>
          <w:p>
            <w:pPr>
              <w:autoSpaceDE w:val="0"/>
              <w:autoSpaceDN w:val="0"/>
              <w:adjustRightInd w:val="0"/>
              <w:jc w:val="left"/>
              <w:rPr>
                <w:rFonts w:ascii="仿宋" w:hAnsi="仿宋" w:eastAsia="仿宋"/>
                <w:kern w:val="0"/>
                <w:sz w:val="32"/>
                <w:szCs w:val="32"/>
              </w:rPr>
            </w:pPr>
            <w:r>
              <w:rPr>
                <w:rFonts w:hint="eastAsia" w:ascii="仿宋" w:hAnsi="仿宋" w:eastAsia="仿宋" w:cs="方正书宋_GBK"/>
                <w:sz w:val="32"/>
                <w:szCs w:val="32"/>
              </w:rPr>
              <w:t>单位性质</w:t>
            </w:r>
          </w:p>
        </w:tc>
        <w:tc>
          <w:tcPr>
            <w:tcW w:w="1440" w:type="dxa"/>
          </w:tcPr>
          <w:p>
            <w:pPr>
              <w:autoSpaceDE w:val="0"/>
              <w:autoSpaceDN w:val="0"/>
              <w:adjustRightInd w:val="0"/>
              <w:jc w:val="left"/>
              <w:rPr>
                <w:rFonts w:ascii="仿宋" w:hAnsi="仿宋" w:eastAsia="仿宋"/>
                <w:kern w:val="0"/>
                <w:sz w:val="32"/>
                <w:szCs w:val="32"/>
              </w:rPr>
            </w:pPr>
            <w:r>
              <w:rPr>
                <w:rFonts w:hint="eastAsia" w:ascii="仿宋" w:hAnsi="仿宋" w:eastAsia="仿宋" w:cs="方正书宋_GBK"/>
                <w:sz w:val="32"/>
                <w:szCs w:val="32"/>
              </w:rPr>
              <w:t>单位规格</w:t>
            </w:r>
          </w:p>
        </w:tc>
        <w:tc>
          <w:tcPr>
            <w:tcW w:w="2520" w:type="dxa"/>
          </w:tcPr>
          <w:p>
            <w:pPr>
              <w:autoSpaceDE w:val="0"/>
              <w:autoSpaceDN w:val="0"/>
              <w:adjustRightInd w:val="0"/>
              <w:jc w:val="left"/>
              <w:rPr>
                <w:rFonts w:ascii="仿宋" w:hAnsi="仿宋" w:eastAsia="仿宋"/>
                <w:kern w:val="0"/>
                <w:sz w:val="32"/>
                <w:szCs w:val="32"/>
              </w:rPr>
            </w:pPr>
            <w:r>
              <w:rPr>
                <w:rFonts w:hint="eastAsia" w:ascii="仿宋" w:hAnsi="仿宋" w:eastAsia="仿宋" w:cs="方正书宋_GBK"/>
                <w:sz w:val="32"/>
                <w:szCs w:val="32"/>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69" w:type="dxa"/>
          </w:tcPr>
          <w:p>
            <w:pPr>
              <w:autoSpaceDE w:val="0"/>
              <w:autoSpaceDN w:val="0"/>
              <w:adjustRightInd w:val="0"/>
              <w:jc w:val="left"/>
              <w:rPr>
                <w:rFonts w:ascii="仿宋" w:hAnsi="仿宋" w:eastAsia="仿宋"/>
                <w:kern w:val="0"/>
                <w:sz w:val="32"/>
                <w:szCs w:val="32"/>
              </w:rPr>
            </w:pPr>
            <w:r>
              <w:rPr>
                <w:rFonts w:hint="eastAsia" w:ascii="仿宋" w:hAnsi="仿宋" w:eastAsia="仿宋" w:cs="仿宋_GB2312"/>
                <w:kern w:val="0"/>
                <w:sz w:val="32"/>
                <w:szCs w:val="32"/>
              </w:rPr>
              <w:t>隆尧县市场监督管理局</w:t>
            </w:r>
          </w:p>
        </w:tc>
        <w:tc>
          <w:tcPr>
            <w:tcW w:w="2340" w:type="dxa"/>
          </w:tcPr>
          <w:p>
            <w:pPr>
              <w:autoSpaceDE w:val="0"/>
              <w:autoSpaceDN w:val="0"/>
              <w:adjustRightInd w:val="0"/>
              <w:jc w:val="left"/>
              <w:rPr>
                <w:rFonts w:ascii="仿宋" w:hAnsi="仿宋" w:eastAsia="仿宋"/>
                <w:kern w:val="0"/>
                <w:sz w:val="32"/>
                <w:szCs w:val="32"/>
              </w:rPr>
            </w:pPr>
            <w:r>
              <w:rPr>
                <w:rFonts w:hint="eastAsia" w:ascii="仿宋" w:hAnsi="仿宋" w:eastAsia="仿宋" w:cs="仿宋_GB2312"/>
                <w:kern w:val="0"/>
                <w:sz w:val="32"/>
                <w:szCs w:val="32"/>
              </w:rPr>
              <w:t>行政</w:t>
            </w:r>
          </w:p>
        </w:tc>
        <w:tc>
          <w:tcPr>
            <w:tcW w:w="1440" w:type="dxa"/>
          </w:tcPr>
          <w:p>
            <w:pPr>
              <w:autoSpaceDE w:val="0"/>
              <w:autoSpaceDN w:val="0"/>
              <w:adjustRightInd w:val="0"/>
              <w:jc w:val="left"/>
              <w:rPr>
                <w:rFonts w:ascii="仿宋" w:hAnsi="仿宋" w:eastAsia="仿宋"/>
                <w:kern w:val="0"/>
                <w:sz w:val="32"/>
                <w:szCs w:val="32"/>
              </w:rPr>
            </w:pPr>
            <w:r>
              <w:rPr>
                <w:rFonts w:hint="eastAsia" w:ascii="仿宋" w:hAnsi="仿宋" w:eastAsia="仿宋" w:cs="仿宋_GB2312"/>
                <w:kern w:val="0"/>
                <w:sz w:val="32"/>
                <w:szCs w:val="32"/>
              </w:rPr>
              <w:t>正科级</w:t>
            </w:r>
          </w:p>
        </w:tc>
        <w:tc>
          <w:tcPr>
            <w:tcW w:w="2520" w:type="dxa"/>
          </w:tcPr>
          <w:p>
            <w:pPr>
              <w:autoSpaceDE w:val="0"/>
              <w:autoSpaceDN w:val="0"/>
              <w:adjustRightInd w:val="0"/>
              <w:jc w:val="left"/>
              <w:rPr>
                <w:rFonts w:ascii="仿宋" w:hAnsi="仿宋" w:eastAsia="仿宋"/>
                <w:kern w:val="0"/>
                <w:sz w:val="32"/>
                <w:szCs w:val="32"/>
              </w:rPr>
            </w:pPr>
            <w:r>
              <w:rPr>
                <w:rFonts w:hint="eastAsia" w:ascii="仿宋" w:hAnsi="仿宋" w:eastAsia="仿宋" w:cs="仿宋_GB2312"/>
                <w:kern w:val="0"/>
                <w:sz w:val="32"/>
                <w:szCs w:val="32"/>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69" w:type="dxa"/>
          </w:tcPr>
          <w:p>
            <w:pPr>
              <w:autoSpaceDE w:val="0"/>
              <w:autoSpaceDN w:val="0"/>
              <w:adjustRightInd w:val="0"/>
              <w:jc w:val="left"/>
              <w:rPr>
                <w:rFonts w:ascii="仿宋" w:hAnsi="仿宋" w:eastAsia="仿宋"/>
                <w:kern w:val="0"/>
                <w:sz w:val="32"/>
                <w:szCs w:val="32"/>
              </w:rPr>
            </w:pPr>
            <w:r>
              <w:rPr>
                <w:rFonts w:ascii="仿宋" w:hAnsi="仿宋" w:eastAsia="仿宋"/>
                <w:kern w:val="0"/>
                <w:sz w:val="32"/>
                <w:szCs w:val="32"/>
              </w:rPr>
              <w:t>…</w:t>
            </w:r>
          </w:p>
        </w:tc>
        <w:tc>
          <w:tcPr>
            <w:tcW w:w="2340" w:type="dxa"/>
          </w:tcPr>
          <w:p>
            <w:pPr>
              <w:autoSpaceDE w:val="0"/>
              <w:autoSpaceDN w:val="0"/>
              <w:adjustRightInd w:val="0"/>
              <w:jc w:val="left"/>
              <w:rPr>
                <w:rFonts w:ascii="仿宋" w:hAnsi="仿宋" w:eastAsia="仿宋"/>
                <w:kern w:val="0"/>
                <w:sz w:val="32"/>
                <w:szCs w:val="32"/>
              </w:rPr>
            </w:pPr>
            <w:r>
              <w:rPr>
                <w:rFonts w:ascii="仿宋" w:hAnsi="仿宋" w:eastAsia="仿宋"/>
                <w:kern w:val="0"/>
                <w:sz w:val="32"/>
                <w:szCs w:val="32"/>
              </w:rPr>
              <w:t>…</w:t>
            </w:r>
          </w:p>
        </w:tc>
        <w:tc>
          <w:tcPr>
            <w:tcW w:w="1440" w:type="dxa"/>
          </w:tcPr>
          <w:p>
            <w:pPr>
              <w:autoSpaceDE w:val="0"/>
              <w:autoSpaceDN w:val="0"/>
              <w:adjustRightInd w:val="0"/>
              <w:jc w:val="left"/>
              <w:rPr>
                <w:rFonts w:ascii="仿宋" w:hAnsi="仿宋" w:eastAsia="仿宋"/>
                <w:kern w:val="0"/>
                <w:sz w:val="32"/>
                <w:szCs w:val="32"/>
              </w:rPr>
            </w:pPr>
            <w:r>
              <w:rPr>
                <w:rFonts w:ascii="仿宋" w:hAnsi="仿宋" w:eastAsia="仿宋"/>
                <w:kern w:val="0"/>
                <w:sz w:val="32"/>
                <w:szCs w:val="32"/>
              </w:rPr>
              <w:t>…</w:t>
            </w:r>
          </w:p>
        </w:tc>
        <w:tc>
          <w:tcPr>
            <w:tcW w:w="2520" w:type="dxa"/>
          </w:tcPr>
          <w:p>
            <w:pPr>
              <w:autoSpaceDE w:val="0"/>
              <w:autoSpaceDN w:val="0"/>
              <w:adjustRightInd w:val="0"/>
              <w:jc w:val="left"/>
              <w:rPr>
                <w:rFonts w:ascii="仿宋" w:hAnsi="仿宋" w:eastAsia="仿宋"/>
                <w:kern w:val="0"/>
                <w:sz w:val="32"/>
                <w:szCs w:val="32"/>
              </w:rPr>
            </w:pPr>
            <w:r>
              <w:rPr>
                <w:rFonts w:ascii="仿宋" w:hAnsi="仿宋" w:eastAsia="仿宋"/>
                <w:kern w:val="0"/>
                <w:sz w:val="32"/>
                <w:szCs w:val="32"/>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69" w:type="dxa"/>
          </w:tcPr>
          <w:p>
            <w:pPr>
              <w:autoSpaceDE w:val="0"/>
              <w:autoSpaceDN w:val="0"/>
              <w:adjustRightInd w:val="0"/>
              <w:jc w:val="left"/>
              <w:rPr>
                <w:rFonts w:ascii="仿宋" w:hAnsi="仿宋" w:eastAsia="仿宋"/>
                <w:kern w:val="0"/>
                <w:sz w:val="32"/>
                <w:szCs w:val="32"/>
              </w:rPr>
            </w:pPr>
            <w:r>
              <w:rPr>
                <w:rFonts w:ascii="仿宋" w:hAnsi="仿宋" w:eastAsia="仿宋"/>
                <w:kern w:val="0"/>
                <w:sz w:val="32"/>
                <w:szCs w:val="32"/>
              </w:rPr>
              <w:t>…</w:t>
            </w:r>
          </w:p>
        </w:tc>
        <w:tc>
          <w:tcPr>
            <w:tcW w:w="2340" w:type="dxa"/>
          </w:tcPr>
          <w:p>
            <w:pPr>
              <w:autoSpaceDE w:val="0"/>
              <w:autoSpaceDN w:val="0"/>
              <w:adjustRightInd w:val="0"/>
              <w:jc w:val="left"/>
              <w:rPr>
                <w:rFonts w:ascii="仿宋" w:hAnsi="仿宋" w:eastAsia="仿宋"/>
                <w:kern w:val="0"/>
                <w:sz w:val="32"/>
                <w:szCs w:val="32"/>
              </w:rPr>
            </w:pPr>
            <w:r>
              <w:rPr>
                <w:rFonts w:ascii="仿宋" w:hAnsi="仿宋" w:eastAsia="仿宋"/>
                <w:kern w:val="0"/>
                <w:sz w:val="32"/>
                <w:szCs w:val="32"/>
              </w:rPr>
              <w:t>…</w:t>
            </w:r>
          </w:p>
        </w:tc>
        <w:tc>
          <w:tcPr>
            <w:tcW w:w="1440" w:type="dxa"/>
          </w:tcPr>
          <w:p>
            <w:pPr>
              <w:autoSpaceDE w:val="0"/>
              <w:autoSpaceDN w:val="0"/>
              <w:adjustRightInd w:val="0"/>
              <w:jc w:val="left"/>
              <w:rPr>
                <w:rFonts w:ascii="仿宋" w:hAnsi="仿宋" w:eastAsia="仿宋"/>
                <w:kern w:val="0"/>
                <w:sz w:val="32"/>
                <w:szCs w:val="32"/>
              </w:rPr>
            </w:pPr>
            <w:r>
              <w:rPr>
                <w:rFonts w:ascii="仿宋" w:hAnsi="仿宋" w:eastAsia="仿宋"/>
                <w:kern w:val="0"/>
                <w:sz w:val="32"/>
                <w:szCs w:val="32"/>
              </w:rPr>
              <w:t>…</w:t>
            </w:r>
          </w:p>
        </w:tc>
        <w:tc>
          <w:tcPr>
            <w:tcW w:w="2520" w:type="dxa"/>
          </w:tcPr>
          <w:p>
            <w:pPr>
              <w:autoSpaceDE w:val="0"/>
              <w:autoSpaceDN w:val="0"/>
              <w:adjustRightInd w:val="0"/>
              <w:jc w:val="left"/>
              <w:rPr>
                <w:rFonts w:ascii="仿宋" w:hAnsi="仿宋" w:eastAsia="仿宋"/>
                <w:kern w:val="0"/>
                <w:sz w:val="32"/>
                <w:szCs w:val="32"/>
              </w:rPr>
            </w:pPr>
            <w:r>
              <w:rPr>
                <w:rFonts w:ascii="仿宋" w:hAnsi="仿宋" w:eastAsia="仿宋"/>
                <w:kern w:val="0"/>
                <w:sz w:val="32"/>
                <w:szCs w:val="32"/>
              </w:rPr>
              <w:t>…</w:t>
            </w:r>
          </w:p>
        </w:tc>
      </w:tr>
    </w:tbl>
    <w:p>
      <w:pPr>
        <w:ind w:firstLine="640"/>
        <w:rPr>
          <w:rFonts w:ascii="黑体" w:hAnsi="黑体" w:eastAsia="黑体"/>
          <w:sz w:val="32"/>
          <w:szCs w:val="32"/>
        </w:rPr>
      </w:pPr>
      <w:r>
        <w:rPr>
          <w:rFonts w:hint="eastAsia" w:ascii="黑体" w:hAnsi="黑体" w:eastAsia="黑体"/>
          <w:sz w:val="32"/>
          <w:szCs w:val="32"/>
        </w:rPr>
        <w:t>二、部门预算安排的总体情况</w:t>
      </w:r>
    </w:p>
    <w:p>
      <w:pPr>
        <w:autoSpaceDE w:val="0"/>
        <w:autoSpaceDN w:val="0"/>
        <w:ind w:firstLine="640" w:firstLineChars="200"/>
        <w:rPr>
          <w:rFonts w:ascii="仿宋" w:hAnsi="仿宋" w:eastAsia="仿宋" w:cs="宋体"/>
          <w:color w:val="000000"/>
          <w:sz w:val="32"/>
          <w:szCs w:val="32"/>
        </w:rPr>
      </w:pPr>
      <w:r>
        <w:rPr>
          <w:rFonts w:hint="eastAsia" w:ascii="仿宋" w:hAnsi="仿宋" w:eastAsia="仿宋" w:cs="宋体"/>
          <w:color w:val="000000"/>
          <w:sz w:val="32"/>
          <w:szCs w:val="32"/>
        </w:rPr>
        <w:t>按照预算管理有关规定，目前我局部门预算的编制实行综合预算制度，即全部收入和支出都反映预算中。</w:t>
      </w:r>
      <w:r>
        <w:rPr>
          <w:rFonts w:hint="eastAsia" w:ascii="仿宋" w:hAnsi="仿宋" w:eastAsia="仿宋" w:cs="宋体"/>
          <w:kern w:val="0"/>
          <w:sz w:val="32"/>
          <w:szCs w:val="32"/>
        </w:rPr>
        <w:t>隆尧县市场监督管理局</w:t>
      </w:r>
      <w:r>
        <w:rPr>
          <w:rFonts w:hint="eastAsia" w:ascii="仿宋" w:hAnsi="仿宋" w:eastAsia="仿宋" w:cs="宋体"/>
          <w:color w:val="000000"/>
          <w:sz w:val="32"/>
          <w:szCs w:val="32"/>
        </w:rPr>
        <w:t>收支包含在部门预算中。</w:t>
      </w:r>
    </w:p>
    <w:p>
      <w:pPr>
        <w:ind w:firstLine="640"/>
        <w:rPr>
          <w:rFonts w:ascii="仿宋" w:hAnsi="仿宋" w:eastAsia="仿宋"/>
          <w:b/>
          <w:sz w:val="32"/>
          <w:szCs w:val="32"/>
        </w:rPr>
      </w:pPr>
      <w:r>
        <w:rPr>
          <w:rFonts w:hint="eastAsia" w:ascii="仿宋" w:hAnsi="仿宋" w:eastAsia="仿宋"/>
          <w:b/>
          <w:sz w:val="32"/>
          <w:szCs w:val="32"/>
        </w:rPr>
        <w:t>1、</w:t>
      </w:r>
      <w:r>
        <w:rPr>
          <w:rFonts w:ascii="仿宋" w:hAnsi="仿宋" w:eastAsia="仿宋"/>
          <w:b/>
          <w:sz w:val="32"/>
          <w:szCs w:val="32"/>
        </w:rPr>
        <w:t>收入说明</w:t>
      </w:r>
    </w:p>
    <w:p>
      <w:pPr>
        <w:ind w:firstLine="640"/>
        <w:rPr>
          <w:rFonts w:ascii="仿宋" w:hAnsi="仿宋" w:eastAsia="仿宋"/>
          <w:sz w:val="32"/>
          <w:szCs w:val="32"/>
        </w:rPr>
      </w:pPr>
      <w:r>
        <w:rPr>
          <w:rFonts w:hint="eastAsia" w:ascii="仿宋" w:hAnsi="仿宋" w:eastAsia="仿宋"/>
          <w:sz w:val="32"/>
          <w:szCs w:val="32"/>
        </w:rPr>
        <w:t>反映本部门当年全部收入。2021年预算收入2118.6914万元，其中：一般公共预算收入2118.6914万元，基金预算收入0万元，财政专户核拨收入0万元，其他来源收入0万元。</w:t>
      </w:r>
    </w:p>
    <w:p>
      <w:pPr>
        <w:ind w:firstLine="640"/>
        <w:rPr>
          <w:rFonts w:ascii="仿宋" w:hAnsi="仿宋" w:eastAsia="仿宋"/>
          <w:b/>
          <w:sz w:val="32"/>
          <w:szCs w:val="32"/>
        </w:rPr>
      </w:pPr>
      <w:r>
        <w:rPr>
          <w:rFonts w:hint="eastAsia" w:ascii="仿宋" w:hAnsi="仿宋" w:eastAsia="仿宋"/>
          <w:b/>
          <w:sz w:val="32"/>
          <w:szCs w:val="32"/>
        </w:rPr>
        <w:t>2、</w:t>
      </w:r>
      <w:r>
        <w:rPr>
          <w:rFonts w:ascii="仿宋" w:hAnsi="仿宋" w:eastAsia="仿宋"/>
          <w:b/>
          <w:sz w:val="32"/>
          <w:szCs w:val="32"/>
        </w:rPr>
        <w:t>支出说明</w:t>
      </w:r>
    </w:p>
    <w:p>
      <w:pPr>
        <w:ind w:firstLine="640"/>
        <w:rPr>
          <w:rFonts w:ascii="仿宋" w:hAnsi="仿宋" w:eastAsia="仿宋"/>
          <w:sz w:val="32"/>
          <w:szCs w:val="32"/>
        </w:rPr>
      </w:pPr>
      <w:r>
        <w:rPr>
          <w:rFonts w:hint="eastAsia" w:ascii="仿宋" w:hAnsi="仿宋" w:eastAsia="仿宋"/>
          <w:sz w:val="32"/>
          <w:szCs w:val="32"/>
        </w:rPr>
        <w:t>收支预算总表支出栏、基本支出表、项目支出表按经济分类和支出功能分类科目编制，反映隆尧县市场监督管理局年度部门预算中支出预算的总体情况。</w:t>
      </w:r>
      <w:r>
        <w:rPr>
          <w:rFonts w:ascii="仿宋" w:hAnsi="仿宋" w:eastAsia="仿宋"/>
          <w:sz w:val="32"/>
          <w:szCs w:val="32"/>
        </w:rPr>
        <w:t>2021</w:t>
      </w:r>
      <w:r>
        <w:rPr>
          <w:rFonts w:hint="eastAsia" w:ascii="仿宋" w:hAnsi="仿宋" w:eastAsia="仿宋"/>
          <w:sz w:val="32"/>
          <w:szCs w:val="32"/>
        </w:rPr>
        <w:t>年支出预算2118.6914万元，其中基本支出1291.4604万元，包括人员经费1156.6144万元和日常公用经费134.846万元；项目支出827.231万元主要为食品、工业产品及流通领域商品抽检、市场监督执法、食品检验中心运行和基层所提升等。</w:t>
      </w:r>
    </w:p>
    <w:p>
      <w:pPr>
        <w:ind w:firstLine="640"/>
        <w:rPr>
          <w:rFonts w:ascii="仿宋" w:hAnsi="仿宋" w:eastAsia="仿宋"/>
          <w:b/>
          <w:sz w:val="32"/>
          <w:szCs w:val="32"/>
        </w:rPr>
      </w:pPr>
      <w:r>
        <w:rPr>
          <w:rFonts w:hint="eastAsia" w:ascii="仿宋" w:hAnsi="仿宋" w:eastAsia="仿宋"/>
          <w:b/>
          <w:sz w:val="32"/>
          <w:szCs w:val="32"/>
        </w:rPr>
        <w:t>3、</w:t>
      </w:r>
      <w:r>
        <w:rPr>
          <w:rFonts w:ascii="仿宋" w:hAnsi="仿宋" w:eastAsia="仿宋"/>
          <w:b/>
          <w:sz w:val="32"/>
          <w:szCs w:val="32"/>
        </w:rPr>
        <w:t>比上年增减情况</w:t>
      </w:r>
    </w:p>
    <w:p>
      <w:pPr>
        <w:ind w:firstLine="640"/>
        <w:rPr>
          <w:rFonts w:ascii="仿宋" w:hAnsi="仿宋" w:eastAsia="仿宋"/>
          <w:sz w:val="32"/>
          <w:szCs w:val="32"/>
        </w:rPr>
      </w:pPr>
      <w:r>
        <w:rPr>
          <w:rFonts w:hint="eastAsia" w:ascii="仿宋" w:hAnsi="仿宋" w:eastAsia="仿宋"/>
          <w:color w:val="000000"/>
          <w:sz w:val="32"/>
          <w:szCs w:val="32"/>
        </w:rPr>
        <w:t>2021年部门预算收支安排</w:t>
      </w:r>
      <w:r>
        <w:rPr>
          <w:rFonts w:hint="eastAsia" w:ascii="仿宋" w:hAnsi="仿宋" w:eastAsia="仿宋"/>
          <w:sz w:val="32"/>
          <w:szCs w:val="32"/>
        </w:rPr>
        <w:t>2118.6914</w:t>
      </w:r>
      <w:r>
        <w:rPr>
          <w:rFonts w:hint="eastAsia" w:ascii="仿宋" w:hAnsi="仿宋" w:eastAsia="仿宋"/>
          <w:color w:val="000000"/>
          <w:sz w:val="32"/>
          <w:szCs w:val="32"/>
        </w:rPr>
        <w:t>元，</w:t>
      </w:r>
      <w:r>
        <w:rPr>
          <w:rFonts w:hint="eastAsia" w:ascii="仿宋" w:hAnsi="仿宋" w:eastAsia="仿宋"/>
          <w:sz w:val="32"/>
          <w:szCs w:val="32"/>
        </w:rPr>
        <w:t>较2020年增加86.7314万元，其中：基本支出减少37.6696万元，主要是人员离退休及社会保障缴费2020年已全部补缴完毕，2021年无需支出；项目支出增加124.401万元，主要是增加食品检验检测中心运行经费及行政执法服装费用等；其他支出无增减变化。</w:t>
      </w:r>
    </w:p>
    <w:p>
      <w:pPr>
        <w:autoSpaceDE w:val="0"/>
        <w:autoSpaceDN w:val="0"/>
        <w:adjustRightInd w:val="0"/>
        <w:ind w:firstLine="960" w:firstLineChars="300"/>
        <w:jc w:val="left"/>
        <w:rPr>
          <w:rFonts w:ascii="黑体" w:hAnsi="黑体" w:eastAsia="黑体"/>
          <w:sz w:val="32"/>
          <w:szCs w:val="32"/>
        </w:rPr>
      </w:pPr>
      <w:r>
        <w:rPr>
          <w:rFonts w:hint="eastAsia" w:ascii="黑体" w:hAnsi="黑体" w:eastAsia="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sz w:val="32"/>
          <w:szCs w:val="32"/>
        </w:rPr>
      </w:pPr>
      <w:r>
        <w:rPr>
          <w:rFonts w:hint="eastAsia" w:ascii="Times New Roman" w:hAnsi="Times New Roman" w:eastAsia="仿宋"/>
          <w:sz w:val="32"/>
          <w:szCs w:val="32"/>
        </w:rPr>
        <w:t>2021年，我部门机关运行经费共计安排69.5万元，主要用于保证机关及基层所正常运转的办公及印刷费、邮电费、差旅费、水电费、办公用房取暖费、日常维修费、办公楼物业管理费、公务车运行维护费等支出。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四、财政拨款</w:t>
      </w:r>
      <w:r>
        <w:rPr>
          <w:rFonts w:ascii="黑体" w:hAnsi="黑体" w:eastAsia="黑体"/>
          <w:sz w:val="32"/>
          <w:szCs w:val="32"/>
        </w:rPr>
        <w:t>“</w:t>
      </w:r>
      <w:r>
        <w:rPr>
          <w:rFonts w:hint="eastAsia" w:ascii="黑体" w:hAnsi="黑体" w:eastAsia="黑体"/>
          <w:sz w:val="32"/>
          <w:szCs w:val="32"/>
        </w:rPr>
        <w:t>三公</w:t>
      </w:r>
      <w:r>
        <w:rPr>
          <w:rFonts w:ascii="黑体" w:hAnsi="黑体" w:eastAsia="黑体"/>
          <w:sz w:val="32"/>
          <w:szCs w:val="32"/>
        </w:rPr>
        <w:t>”</w:t>
      </w:r>
      <w:r>
        <w:rPr>
          <w:rFonts w:hint="eastAsia" w:ascii="黑体" w:hAnsi="黑体" w:eastAsia="黑体"/>
          <w:sz w:val="32"/>
          <w:szCs w:val="32"/>
        </w:rPr>
        <w:t>经费预算情况及增减变化原因</w:t>
      </w:r>
    </w:p>
    <w:p>
      <w:pPr>
        <w:autoSpaceDE w:val="0"/>
        <w:autoSpaceDN w:val="0"/>
        <w:adjustRightInd w:val="0"/>
        <w:ind w:left="198" w:firstLine="640" w:firstLineChars="200"/>
        <w:jc w:val="left"/>
        <w:rPr>
          <w:rFonts w:ascii="仿宋" w:hAnsi="仿宋" w:eastAsia="仿宋"/>
          <w:sz w:val="32"/>
          <w:szCs w:val="32"/>
        </w:rPr>
      </w:pPr>
      <w:r>
        <w:rPr>
          <w:rFonts w:hint="eastAsia" w:ascii="仿宋" w:hAnsi="仿宋" w:eastAsia="仿宋"/>
          <w:sz w:val="32"/>
          <w:szCs w:val="32"/>
        </w:rPr>
        <w:t>2021年，我部门财政拨款“三公”经费预算安排2万元，其中：因公出国（境）费0万元；公务用车购置及运维费1.5万元（其中：公务用车购置费0万元，公务用车运行维护费1.5万元)；公务接待费0.5万元。“三公”经费与上年持平，无增减变化。</w:t>
      </w:r>
    </w:p>
    <w:p>
      <w:pPr>
        <w:ind w:firstLine="640" w:firstLineChars="200"/>
        <w:rPr>
          <w:rFonts w:ascii="黑体" w:hAnsi="黑体" w:eastAsia="黑体"/>
          <w:sz w:val="32"/>
          <w:szCs w:val="32"/>
        </w:rPr>
      </w:pPr>
      <w:r>
        <w:rPr>
          <w:rFonts w:hint="eastAsia" w:ascii="黑体" w:hAnsi="黑体" w:eastAsia="黑体"/>
          <w:sz w:val="32"/>
          <w:szCs w:val="32"/>
        </w:rPr>
        <w:t>五、预算绩效信息</w:t>
      </w:r>
    </w:p>
    <w:p>
      <w:pPr>
        <w:ind w:firstLine="640" w:firstLineChars="200"/>
        <w:jc w:val="left"/>
        <w:rPr>
          <w:rFonts w:ascii="仿宋" w:hAnsi="仿宋" w:eastAsia="仿宋"/>
          <w:b/>
          <w:sz w:val="32"/>
          <w:szCs w:val="32"/>
        </w:rPr>
      </w:pPr>
      <w:bookmarkStart w:id="0" w:name="_Toc471398463"/>
      <w:r>
        <w:rPr>
          <w:rFonts w:hint="eastAsia" w:ascii="仿宋" w:hAnsi="仿宋" w:eastAsia="仿宋"/>
          <w:b/>
          <w:sz w:val="32"/>
          <w:szCs w:val="32"/>
        </w:rPr>
        <w:t>第一部分部门整体绩效目标</w:t>
      </w:r>
    </w:p>
    <w:p>
      <w:pPr>
        <w:numPr>
          <w:ilvl w:val="0"/>
          <w:numId w:val="2"/>
        </w:numPr>
        <w:rPr>
          <w:rFonts w:ascii="仿宋" w:hAnsi="仿宋" w:eastAsia="仿宋"/>
          <w:b/>
          <w:sz w:val="32"/>
          <w:szCs w:val="32"/>
        </w:rPr>
      </w:pPr>
      <w:r>
        <w:rPr>
          <w:rFonts w:hint="eastAsia" w:ascii="仿宋" w:hAnsi="仿宋" w:eastAsia="仿宋"/>
          <w:b/>
          <w:sz w:val="32"/>
          <w:szCs w:val="32"/>
        </w:rPr>
        <w:t>总体绩效目标</w:t>
      </w:r>
    </w:p>
    <w:p>
      <w:pPr>
        <w:ind w:firstLine="640" w:firstLineChars="200"/>
        <w:jc w:val="left"/>
        <w:rPr>
          <w:rFonts w:ascii="仿宋" w:hAnsi="仿宋" w:eastAsia="仿宋"/>
          <w:sz w:val="32"/>
          <w:szCs w:val="32"/>
        </w:rPr>
      </w:pPr>
      <w:r>
        <w:rPr>
          <w:rFonts w:ascii="仿宋" w:hAnsi="仿宋" w:eastAsia="仿宋"/>
          <w:sz w:val="32"/>
          <w:szCs w:val="32"/>
        </w:rPr>
        <w:t>以习近平新时代中国特色社会主义思想为指导，严格落实国家局、省、市局工作要求，紧扣经济发展主题，坚持问题导向底线思维，围绕“严守安全底线、优化市场环境、促进高质量发展”任务，不断完善市场监管机制，提升市场监管效能，助力全县经济高质量发展发挥积极作用。</w:t>
      </w:r>
      <w:bookmarkStart w:id="1" w:name="_Toc64110028"/>
      <w:bookmarkStart w:id="2" w:name="_Toc60391233"/>
      <w:bookmarkStart w:id="3" w:name="_Toc64110071"/>
    </w:p>
    <w:p>
      <w:pPr>
        <w:spacing w:line="500" w:lineRule="exact"/>
        <w:ind w:firstLine="640" w:firstLineChars="200"/>
        <w:jc w:val="left"/>
        <w:rPr>
          <w:rFonts w:ascii="仿宋" w:hAnsi="仿宋" w:eastAsia="仿宋"/>
          <w:sz w:val="32"/>
          <w:szCs w:val="32"/>
        </w:rPr>
      </w:pPr>
      <w:r>
        <w:rPr>
          <w:rFonts w:hint="eastAsia" w:ascii="仿宋" w:hAnsi="仿宋" w:eastAsia="仿宋" w:cs="楷体"/>
          <w:b/>
          <w:sz w:val="32"/>
          <w:szCs w:val="32"/>
        </w:rPr>
        <w:t>（二）</w:t>
      </w:r>
      <w:r>
        <w:rPr>
          <w:rFonts w:hint="eastAsia" w:ascii="仿宋" w:hAnsi="仿宋" w:eastAsia="仿宋"/>
          <w:b/>
          <w:sz w:val="32"/>
          <w:szCs w:val="32"/>
        </w:rPr>
        <w:t>分项绩效目标</w:t>
      </w:r>
      <w:bookmarkEnd w:id="1"/>
      <w:bookmarkEnd w:id="2"/>
      <w:bookmarkEnd w:id="3"/>
      <w:r>
        <w:rPr>
          <w:rFonts w:ascii="仿宋" w:hAnsi="仿宋" w:eastAsia="仿宋" w:cs="楷体"/>
          <w:b/>
          <w:sz w:val="32"/>
          <w:szCs w:val="32"/>
        </w:rPr>
        <w:fldChar w:fldCharType="begin"/>
      </w:r>
      <w:r>
        <w:rPr>
          <w:rFonts w:ascii="仿宋" w:hAnsi="仿宋" w:eastAsia="仿宋" w:cs="楷体"/>
          <w:b/>
          <w:sz w:val="32"/>
          <w:szCs w:val="32"/>
        </w:rPr>
        <w:instrText xml:space="preserve">tc "</w:instrText>
      </w:r>
      <w:r>
        <w:rPr>
          <w:rFonts w:hint="eastAsia" w:ascii="仿宋" w:hAnsi="仿宋" w:eastAsia="仿宋" w:cs="楷体"/>
          <w:b/>
          <w:sz w:val="32"/>
          <w:szCs w:val="32"/>
        </w:rPr>
        <w:instrText xml:space="preserve">分项绩效目标</w:instrText>
      </w:r>
      <w:r>
        <w:rPr>
          <w:rFonts w:ascii="仿宋" w:hAnsi="仿宋" w:eastAsia="仿宋" w:cs="楷体"/>
          <w:b/>
          <w:sz w:val="32"/>
          <w:szCs w:val="32"/>
        </w:rPr>
        <w:instrText xml:space="preserve">" \f A \l 000000000000001</w:instrText>
      </w:r>
      <w:r>
        <w:rPr>
          <w:rFonts w:ascii="仿宋" w:hAnsi="仿宋" w:eastAsia="仿宋" w:cs="楷体"/>
          <w:b/>
          <w:sz w:val="32"/>
          <w:szCs w:val="32"/>
        </w:rPr>
        <w:fldChar w:fldCharType="end"/>
      </w:r>
    </w:p>
    <w:p>
      <w:pPr>
        <w:spacing w:line="500" w:lineRule="exact"/>
        <w:ind w:firstLine="640" w:firstLineChars="200"/>
        <w:jc w:val="left"/>
        <w:rPr>
          <w:rFonts w:ascii="仿宋" w:hAnsi="仿宋" w:eastAsia="仿宋"/>
          <w:b/>
          <w:sz w:val="32"/>
          <w:szCs w:val="32"/>
        </w:rPr>
      </w:pPr>
      <w:bookmarkStart w:id="4" w:name="_Toc60391234"/>
      <w:bookmarkStart w:id="5" w:name="_Toc64110029"/>
      <w:bookmarkStart w:id="6" w:name="_Toc64110072"/>
      <w:r>
        <w:rPr>
          <w:rFonts w:hint="eastAsia" w:ascii="仿宋" w:hAnsi="仿宋" w:eastAsia="仿宋"/>
          <w:b/>
          <w:sz w:val="32"/>
          <w:szCs w:val="32"/>
        </w:rPr>
        <w:t>1</w:t>
      </w:r>
      <w:r>
        <w:rPr>
          <w:rFonts w:ascii="仿宋" w:hAnsi="仿宋" w:eastAsia="仿宋"/>
          <w:b/>
          <w:sz w:val="32"/>
          <w:szCs w:val="32"/>
        </w:rPr>
        <w:t>、食品药品安全监管。</w:t>
      </w:r>
    </w:p>
    <w:p>
      <w:pPr>
        <w:ind w:firstLine="640" w:firstLineChars="200"/>
        <w:jc w:val="left"/>
        <w:rPr>
          <w:rFonts w:ascii="仿宋" w:hAnsi="仿宋" w:eastAsia="仿宋"/>
          <w:sz w:val="32"/>
          <w:szCs w:val="32"/>
        </w:rPr>
      </w:pPr>
      <w:r>
        <w:rPr>
          <w:rFonts w:ascii="仿宋" w:hAnsi="仿宋" w:eastAsia="仿宋"/>
          <w:sz w:val="32"/>
          <w:szCs w:val="32"/>
        </w:rPr>
        <w:t>绩效目标</w:t>
      </w:r>
      <w:r>
        <w:rPr>
          <w:rFonts w:hint="eastAsia" w:ascii="仿宋" w:hAnsi="仿宋" w:eastAsia="仿宋"/>
          <w:sz w:val="32"/>
          <w:szCs w:val="32"/>
        </w:rPr>
        <w:t>：</w:t>
      </w:r>
      <w:r>
        <w:rPr>
          <w:rFonts w:ascii="仿宋" w:hAnsi="仿宋" w:eastAsia="仿宋"/>
          <w:sz w:val="32"/>
          <w:szCs w:val="32"/>
        </w:rPr>
        <w:t>守牢安全监管底线。</w:t>
      </w:r>
    </w:p>
    <w:p>
      <w:pPr>
        <w:ind w:firstLine="640" w:firstLineChars="200"/>
        <w:jc w:val="left"/>
        <w:rPr>
          <w:rFonts w:ascii="仿宋" w:hAnsi="仿宋" w:eastAsia="仿宋"/>
          <w:sz w:val="32"/>
          <w:szCs w:val="32"/>
        </w:rPr>
      </w:pPr>
      <w:r>
        <w:rPr>
          <w:rFonts w:hint="eastAsia" w:ascii="仿宋" w:hAnsi="仿宋" w:eastAsia="仿宋"/>
          <w:sz w:val="32"/>
          <w:szCs w:val="32"/>
        </w:rPr>
        <w:t>绩效指标：</w:t>
      </w:r>
      <w:r>
        <w:rPr>
          <w:rFonts w:ascii="仿宋" w:hAnsi="仿宋" w:eastAsia="仿宋"/>
          <w:sz w:val="32"/>
          <w:szCs w:val="32"/>
        </w:rPr>
        <w:t>立足实际，突出问题导向，积极创新监管，推进落实食品安全党政同责，以最严谨的标准、最严格的监管、最严厉的处罚、最严肃的问责，确保人民群众“舌尖上的安全”。 全年督促企业落实食品安全各项责任，落实食品安全自查管理制度,确保辖区食品生产企业每季度开展食品安全自查，企业自查率及报告率均达到100%。抓好食品生产监管人员和企业食品安全管理人员抽查考核工作,争取覆盖率和合格率均达100%。</w:t>
      </w:r>
    </w:p>
    <w:p>
      <w:pPr>
        <w:ind w:firstLine="640" w:firstLineChars="200"/>
        <w:jc w:val="left"/>
        <w:rPr>
          <w:rFonts w:ascii="仿宋" w:hAnsi="仿宋" w:eastAsia="仿宋"/>
          <w:b/>
          <w:sz w:val="32"/>
          <w:szCs w:val="32"/>
        </w:rPr>
      </w:pPr>
      <w:r>
        <w:rPr>
          <w:rFonts w:hint="eastAsia" w:ascii="仿宋" w:hAnsi="仿宋" w:eastAsia="仿宋"/>
          <w:b/>
          <w:sz w:val="32"/>
          <w:szCs w:val="32"/>
        </w:rPr>
        <w:t>2</w:t>
      </w:r>
      <w:r>
        <w:rPr>
          <w:rFonts w:ascii="仿宋" w:hAnsi="仿宋" w:eastAsia="仿宋"/>
          <w:b/>
          <w:sz w:val="32"/>
          <w:szCs w:val="32"/>
        </w:rPr>
        <w:t>、信用监管方面。</w:t>
      </w:r>
    </w:p>
    <w:p>
      <w:pPr>
        <w:ind w:firstLine="640" w:firstLineChars="200"/>
        <w:jc w:val="left"/>
        <w:rPr>
          <w:rFonts w:ascii="仿宋" w:hAnsi="仿宋" w:eastAsia="仿宋"/>
          <w:sz w:val="32"/>
          <w:szCs w:val="32"/>
        </w:rPr>
      </w:pPr>
      <w:r>
        <w:rPr>
          <w:rFonts w:ascii="仿宋" w:hAnsi="仿宋" w:eastAsia="仿宋"/>
          <w:sz w:val="32"/>
          <w:szCs w:val="32"/>
        </w:rPr>
        <w:t>绩效目标</w:t>
      </w:r>
      <w:r>
        <w:rPr>
          <w:rFonts w:hint="eastAsia" w:ascii="仿宋" w:hAnsi="仿宋" w:eastAsia="仿宋"/>
          <w:sz w:val="32"/>
          <w:szCs w:val="32"/>
        </w:rPr>
        <w:t>：</w:t>
      </w:r>
      <w:r>
        <w:rPr>
          <w:rFonts w:ascii="仿宋" w:hAnsi="仿宋" w:eastAsia="仿宋"/>
          <w:sz w:val="32"/>
          <w:szCs w:val="32"/>
        </w:rPr>
        <w:t>持续优化准入环境</w:t>
      </w:r>
      <w:r>
        <w:rPr>
          <w:rFonts w:hint="eastAsia" w:ascii="仿宋" w:hAnsi="仿宋" w:eastAsia="仿宋"/>
          <w:sz w:val="32"/>
          <w:szCs w:val="32"/>
        </w:rPr>
        <w:t>。</w:t>
      </w:r>
    </w:p>
    <w:p>
      <w:pPr>
        <w:ind w:firstLine="640" w:firstLineChars="200"/>
        <w:jc w:val="left"/>
        <w:rPr>
          <w:rFonts w:ascii="仿宋" w:hAnsi="仿宋" w:eastAsia="仿宋"/>
          <w:sz w:val="32"/>
          <w:szCs w:val="32"/>
        </w:rPr>
      </w:pPr>
      <w:r>
        <w:rPr>
          <w:rFonts w:hint="eastAsia" w:ascii="仿宋" w:hAnsi="仿宋" w:eastAsia="仿宋"/>
          <w:sz w:val="32"/>
          <w:szCs w:val="32"/>
        </w:rPr>
        <w:t>绩效指标：</w:t>
      </w:r>
      <w:r>
        <w:rPr>
          <w:rFonts w:ascii="仿宋" w:hAnsi="仿宋" w:eastAsia="仿宋"/>
          <w:sz w:val="32"/>
          <w:szCs w:val="32"/>
        </w:rPr>
        <w:t>围绕省市局企业信用监管专项行动要求、</w:t>
      </w:r>
      <w:r>
        <w:rPr>
          <w:rFonts w:hint="eastAsia" w:ascii="仿宋" w:hAnsi="仿宋" w:eastAsia="仿宋"/>
          <w:sz w:val="32"/>
          <w:szCs w:val="32"/>
          <w:lang w:eastAsia="zh-CN"/>
        </w:rPr>
        <w:t>“</w:t>
      </w:r>
      <w:r>
        <w:rPr>
          <w:rFonts w:ascii="仿宋" w:hAnsi="仿宋" w:eastAsia="仿宋"/>
          <w:sz w:val="32"/>
          <w:szCs w:val="32"/>
        </w:rPr>
        <w:t>双随机</w:t>
      </w:r>
      <w:r>
        <w:rPr>
          <w:rFonts w:hint="eastAsia" w:ascii="仿宋" w:hAnsi="仿宋" w:eastAsia="仿宋"/>
          <w:sz w:val="32"/>
          <w:szCs w:val="32"/>
          <w:lang w:eastAsia="zh-CN"/>
        </w:rPr>
        <w:t>、</w:t>
      </w:r>
      <w:r>
        <w:rPr>
          <w:rFonts w:ascii="仿宋" w:hAnsi="仿宋" w:eastAsia="仿宋"/>
          <w:sz w:val="32"/>
          <w:szCs w:val="32"/>
        </w:rPr>
        <w:t>一公开</w:t>
      </w:r>
      <w:r>
        <w:rPr>
          <w:rFonts w:hint="eastAsia" w:ascii="仿宋" w:hAnsi="仿宋" w:eastAsia="仿宋"/>
          <w:sz w:val="32"/>
          <w:szCs w:val="32"/>
          <w:lang w:eastAsia="zh-CN"/>
        </w:rPr>
        <w:t>”</w:t>
      </w:r>
      <w:r>
        <w:rPr>
          <w:rFonts w:ascii="仿宋" w:hAnsi="仿宋" w:eastAsia="仿宋"/>
          <w:sz w:val="32"/>
          <w:szCs w:val="32"/>
        </w:rPr>
        <w:t>、市场主体信用体系建设等重点工作。抓实市场主体年报工作，提高年报率，严</w:t>
      </w:r>
      <w:bookmarkStart w:id="29" w:name="_GoBack"/>
      <w:bookmarkEnd w:id="29"/>
      <w:r>
        <w:rPr>
          <w:rFonts w:ascii="仿宋" w:hAnsi="仿宋" w:eastAsia="仿宋"/>
          <w:sz w:val="32"/>
          <w:szCs w:val="32"/>
        </w:rPr>
        <w:t>厉打击和处置非法集资违法行为。外资企业监管方面。认真贯彻落实新修订的《中华人民共和国外商投资法》及相关的法律法规,持续深化商事制度改革，降低市场门槛准入，为外商投资企业的设立、变更提供强有力保障。</w:t>
      </w:r>
    </w:p>
    <w:p>
      <w:pPr>
        <w:ind w:firstLine="640" w:firstLineChars="200"/>
        <w:jc w:val="left"/>
        <w:rPr>
          <w:rFonts w:ascii="仿宋" w:hAnsi="仿宋" w:eastAsia="仿宋"/>
          <w:b/>
          <w:sz w:val="32"/>
          <w:szCs w:val="32"/>
        </w:rPr>
      </w:pPr>
      <w:r>
        <w:rPr>
          <w:rFonts w:hint="eastAsia" w:ascii="仿宋" w:hAnsi="仿宋" w:eastAsia="仿宋"/>
          <w:b/>
          <w:sz w:val="32"/>
          <w:szCs w:val="32"/>
        </w:rPr>
        <w:t>3</w:t>
      </w:r>
      <w:r>
        <w:rPr>
          <w:rFonts w:ascii="仿宋" w:hAnsi="仿宋" w:eastAsia="仿宋"/>
          <w:b/>
          <w:sz w:val="32"/>
          <w:szCs w:val="32"/>
        </w:rPr>
        <w:t>、推进质量提升行动。</w:t>
      </w:r>
    </w:p>
    <w:p>
      <w:pPr>
        <w:ind w:firstLine="640" w:firstLineChars="200"/>
        <w:jc w:val="left"/>
        <w:rPr>
          <w:rFonts w:ascii="仿宋" w:hAnsi="仿宋" w:eastAsia="仿宋"/>
          <w:sz w:val="32"/>
          <w:szCs w:val="32"/>
        </w:rPr>
      </w:pPr>
      <w:r>
        <w:rPr>
          <w:rFonts w:ascii="仿宋" w:hAnsi="仿宋" w:eastAsia="仿宋"/>
          <w:sz w:val="32"/>
          <w:szCs w:val="32"/>
        </w:rPr>
        <w:t>绩效目标</w:t>
      </w:r>
      <w:r>
        <w:rPr>
          <w:rFonts w:hint="eastAsia" w:ascii="仿宋" w:hAnsi="仿宋" w:eastAsia="仿宋"/>
          <w:b/>
          <w:sz w:val="32"/>
          <w:szCs w:val="32"/>
        </w:rPr>
        <w:t>：</w:t>
      </w:r>
      <w:r>
        <w:rPr>
          <w:rFonts w:ascii="仿宋" w:hAnsi="仿宋" w:eastAsia="仿宋"/>
          <w:sz w:val="32"/>
          <w:szCs w:val="32"/>
        </w:rPr>
        <w:t>做实质量提升、标准引领、计量保障“三项工程”，严格落实质量强县战略要求，助力“隆尧制造”向“隆尧创造”迈进。</w:t>
      </w:r>
    </w:p>
    <w:p>
      <w:pPr>
        <w:ind w:firstLine="640" w:firstLineChars="200"/>
        <w:jc w:val="left"/>
        <w:rPr>
          <w:rFonts w:ascii="仿宋" w:hAnsi="仿宋" w:eastAsia="仿宋"/>
          <w:sz w:val="32"/>
          <w:szCs w:val="32"/>
        </w:rPr>
      </w:pPr>
      <w:r>
        <w:rPr>
          <w:rFonts w:hint="eastAsia" w:ascii="仿宋" w:hAnsi="仿宋" w:eastAsia="仿宋"/>
          <w:sz w:val="32"/>
          <w:szCs w:val="32"/>
        </w:rPr>
        <w:t>绩效指标：</w:t>
      </w:r>
      <w:r>
        <w:rPr>
          <w:rFonts w:ascii="仿宋" w:hAnsi="仿宋" w:eastAsia="仿宋"/>
          <w:sz w:val="32"/>
          <w:szCs w:val="32"/>
        </w:rPr>
        <w:t>对4个汽车检测线进行监管并现场督查，排除隐患，确保体系合理运营。帮扶企业申报中国质量奖、河北省政府质量奖、邢台市政府质量奖。对全县规模以上企业开展质量体系认证，力争2021年底达80家。</w:t>
      </w:r>
    </w:p>
    <w:p>
      <w:pPr>
        <w:ind w:firstLine="640" w:firstLineChars="200"/>
        <w:jc w:val="left"/>
        <w:rPr>
          <w:rFonts w:ascii="仿宋" w:hAnsi="仿宋" w:eastAsia="仿宋"/>
          <w:b/>
          <w:sz w:val="32"/>
          <w:szCs w:val="32"/>
        </w:rPr>
      </w:pPr>
      <w:r>
        <w:rPr>
          <w:rFonts w:hint="eastAsia" w:ascii="仿宋" w:hAnsi="仿宋" w:eastAsia="仿宋"/>
          <w:b/>
          <w:sz w:val="32"/>
          <w:szCs w:val="32"/>
        </w:rPr>
        <w:t>4</w:t>
      </w:r>
      <w:r>
        <w:rPr>
          <w:rFonts w:ascii="仿宋" w:hAnsi="仿宋" w:eastAsia="仿宋"/>
          <w:b/>
          <w:sz w:val="32"/>
          <w:szCs w:val="32"/>
        </w:rPr>
        <w:t>、维护公平竞争秩序。</w:t>
      </w:r>
    </w:p>
    <w:p>
      <w:pPr>
        <w:ind w:firstLine="640" w:firstLineChars="200"/>
        <w:jc w:val="left"/>
        <w:rPr>
          <w:rFonts w:ascii="仿宋" w:hAnsi="仿宋" w:eastAsia="仿宋"/>
          <w:sz w:val="32"/>
          <w:szCs w:val="32"/>
        </w:rPr>
      </w:pPr>
      <w:r>
        <w:rPr>
          <w:rFonts w:ascii="仿宋" w:hAnsi="仿宋" w:eastAsia="仿宋"/>
          <w:sz w:val="32"/>
          <w:szCs w:val="32"/>
        </w:rPr>
        <w:t>绩效目标</w:t>
      </w:r>
      <w:r>
        <w:rPr>
          <w:rFonts w:hint="eastAsia" w:ascii="仿宋" w:hAnsi="仿宋" w:eastAsia="仿宋"/>
          <w:sz w:val="32"/>
          <w:szCs w:val="32"/>
        </w:rPr>
        <w:t>：</w:t>
      </w:r>
      <w:r>
        <w:rPr>
          <w:rFonts w:ascii="仿宋" w:hAnsi="仿宋" w:eastAsia="仿宋"/>
          <w:sz w:val="32"/>
          <w:szCs w:val="32"/>
        </w:rPr>
        <w:t>全力推进知识产权创造、保护、运用、管理和服务工作，严厉打击侵犯商标、专利、地理标志等行为，积极推进知识产权交易平台和知识产权公共服务平台建设。</w:t>
      </w:r>
    </w:p>
    <w:p>
      <w:pPr>
        <w:ind w:firstLine="640" w:firstLineChars="200"/>
        <w:jc w:val="left"/>
        <w:rPr>
          <w:rFonts w:ascii="仿宋" w:hAnsi="仿宋" w:eastAsia="仿宋"/>
          <w:sz w:val="32"/>
          <w:szCs w:val="32"/>
        </w:rPr>
      </w:pPr>
      <w:r>
        <w:rPr>
          <w:rFonts w:hint="eastAsia" w:ascii="仿宋" w:hAnsi="仿宋" w:eastAsia="仿宋"/>
          <w:sz w:val="32"/>
          <w:szCs w:val="32"/>
        </w:rPr>
        <w:t>绩效指标：</w:t>
      </w:r>
      <w:r>
        <w:rPr>
          <w:rFonts w:ascii="仿宋" w:hAnsi="仿宋" w:eastAsia="仿宋"/>
          <w:sz w:val="32"/>
          <w:szCs w:val="32"/>
        </w:rPr>
        <w:t>加大对“隆尧贡藕”地理标志商标申报跟进力度，争取2021年能取得商标证书。挖掘申报“丘底素叠”“隆尧唐瓜蒌”这2件新地标。帮扶远大阀门集团有限公司完成贯标工作。</w:t>
      </w:r>
    </w:p>
    <w:p>
      <w:pPr>
        <w:ind w:firstLine="640" w:firstLineChars="200"/>
        <w:jc w:val="left"/>
        <w:rPr>
          <w:rFonts w:ascii="仿宋" w:hAnsi="仿宋" w:eastAsia="仿宋"/>
          <w:b/>
          <w:sz w:val="32"/>
          <w:szCs w:val="32"/>
        </w:rPr>
      </w:pPr>
      <w:r>
        <w:rPr>
          <w:rFonts w:hint="eastAsia" w:ascii="仿宋" w:hAnsi="仿宋" w:eastAsia="仿宋"/>
          <w:b/>
          <w:sz w:val="32"/>
          <w:szCs w:val="32"/>
        </w:rPr>
        <w:t>5</w:t>
      </w:r>
      <w:r>
        <w:rPr>
          <w:rFonts w:ascii="仿宋" w:hAnsi="仿宋" w:eastAsia="仿宋"/>
          <w:b/>
          <w:sz w:val="32"/>
          <w:szCs w:val="32"/>
        </w:rPr>
        <w:t>、生态环境保护治理。</w:t>
      </w:r>
    </w:p>
    <w:p>
      <w:pPr>
        <w:ind w:firstLine="640" w:firstLineChars="200"/>
        <w:jc w:val="left"/>
        <w:rPr>
          <w:rFonts w:ascii="仿宋" w:hAnsi="仿宋" w:eastAsia="仿宋"/>
          <w:sz w:val="32"/>
          <w:szCs w:val="32"/>
        </w:rPr>
      </w:pPr>
      <w:r>
        <w:rPr>
          <w:rFonts w:ascii="仿宋" w:hAnsi="仿宋" w:eastAsia="仿宋"/>
          <w:sz w:val="32"/>
          <w:szCs w:val="32"/>
        </w:rPr>
        <w:t>绩效目标</w:t>
      </w:r>
      <w:r>
        <w:rPr>
          <w:rFonts w:hint="eastAsia" w:ascii="仿宋" w:hAnsi="仿宋" w:eastAsia="仿宋"/>
          <w:sz w:val="32"/>
          <w:szCs w:val="32"/>
        </w:rPr>
        <w:t>：严格落实</w:t>
      </w:r>
      <w:r>
        <w:rPr>
          <w:rFonts w:ascii="仿宋" w:hAnsi="仿宋" w:eastAsia="仿宋"/>
          <w:sz w:val="32"/>
          <w:szCs w:val="32"/>
        </w:rPr>
        <w:t>散煤管控</w:t>
      </w:r>
      <w:r>
        <w:rPr>
          <w:rFonts w:hint="eastAsia" w:ascii="仿宋" w:hAnsi="仿宋" w:eastAsia="仿宋"/>
          <w:sz w:val="32"/>
          <w:szCs w:val="32"/>
        </w:rPr>
        <w:t>、</w:t>
      </w:r>
      <w:r>
        <w:rPr>
          <w:rFonts w:ascii="仿宋" w:hAnsi="仿宋" w:eastAsia="仿宋"/>
          <w:sz w:val="32"/>
          <w:szCs w:val="32"/>
        </w:rPr>
        <w:t>餐饮单位油烟治理工作及成品油监管。。</w:t>
      </w:r>
    </w:p>
    <w:p>
      <w:pPr>
        <w:ind w:firstLine="640" w:firstLineChars="200"/>
        <w:jc w:val="left"/>
        <w:rPr>
          <w:rFonts w:ascii="仿宋" w:hAnsi="仿宋" w:eastAsia="仿宋"/>
          <w:sz w:val="32"/>
          <w:szCs w:val="32"/>
        </w:rPr>
      </w:pPr>
      <w:r>
        <w:rPr>
          <w:rFonts w:hint="eastAsia" w:ascii="仿宋" w:hAnsi="仿宋" w:eastAsia="仿宋"/>
          <w:sz w:val="32"/>
          <w:szCs w:val="32"/>
        </w:rPr>
        <w:t>绩效指标：</w:t>
      </w:r>
      <w:r>
        <w:rPr>
          <w:rFonts w:ascii="仿宋" w:hAnsi="仿宋" w:eastAsia="仿宋"/>
          <w:sz w:val="32"/>
          <w:szCs w:val="32"/>
        </w:rPr>
        <w:t>严格落实生态环保战役工作要求，坚决按照上级大气污染治理的统一部署，贯彻科学治霾、协同治霾、铁腕治霾的指示。更换不达标油烟净化装置，确保油烟净化器净化效率不低于95%，油烟浓度不高于1.0 mg/m</w:t>
      </w:r>
      <w:r>
        <w:rPr>
          <w:rFonts w:ascii="仿宋" w:eastAsia="仿宋"/>
          <w:sz w:val="32"/>
          <w:szCs w:val="32"/>
        </w:rPr>
        <w:t>³</w:t>
      </w:r>
      <w:r>
        <w:rPr>
          <w:rFonts w:ascii="仿宋" w:hAnsi="仿宋" w:eastAsia="仿宋"/>
          <w:sz w:val="32"/>
          <w:szCs w:val="32"/>
        </w:rPr>
        <w:t xml:space="preserve"> (每立方米1毫克)的排放要求。打击生产销售不合格油品和车用尿素违法行为。</w:t>
      </w:r>
    </w:p>
    <w:p>
      <w:pPr>
        <w:ind w:firstLine="640" w:firstLineChars="200"/>
        <w:jc w:val="left"/>
        <w:rPr>
          <w:rFonts w:ascii="仿宋" w:hAnsi="仿宋" w:eastAsia="仿宋"/>
          <w:b/>
          <w:sz w:val="32"/>
          <w:szCs w:val="32"/>
        </w:rPr>
      </w:pPr>
      <w:r>
        <w:rPr>
          <w:rFonts w:hint="eastAsia" w:ascii="仿宋" w:hAnsi="仿宋" w:eastAsia="仿宋"/>
          <w:b/>
          <w:sz w:val="32"/>
          <w:szCs w:val="32"/>
        </w:rPr>
        <w:t>6</w:t>
      </w:r>
      <w:r>
        <w:rPr>
          <w:rFonts w:ascii="仿宋" w:hAnsi="仿宋" w:eastAsia="仿宋"/>
          <w:b/>
          <w:sz w:val="32"/>
          <w:szCs w:val="32"/>
        </w:rPr>
        <w:t>、持续推进队伍建设。</w:t>
      </w:r>
    </w:p>
    <w:p>
      <w:pPr>
        <w:ind w:firstLine="640" w:firstLineChars="200"/>
        <w:jc w:val="left"/>
        <w:rPr>
          <w:rFonts w:ascii="仿宋" w:hAnsi="仿宋" w:eastAsia="仿宋"/>
          <w:sz w:val="32"/>
          <w:szCs w:val="32"/>
        </w:rPr>
      </w:pPr>
      <w:r>
        <w:rPr>
          <w:rFonts w:ascii="仿宋" w:hAnsi="仿宋" w:eastAsia="仿宋"/>
          <w:sz w:val="32"/>
          <w:szCs w:val="32"/>
        </w:rPr>
        <w:t>绩效目标</w:t>
      </w:r>
      <w:r>
        <w:rPr>
          <w:rFonts w:hint="eastAsia" w:ascii="仿宋" w:hAnsi="仿宋" w:eastAsia="仿宋"/>
          <w:sz w:val="32"/>
          <w:szCs w:val="32"/>
        </w:rPr>
        <w:t>：</w:t>
      </w:r>
      <w:r>
        <w:rPr>
          <w:rFonts w:ascii="仿宋" w:hAnsi="仿宋" w:eastAsia="仿宋"/>
          <w:sz w:val="32"/>
          <w:szCs w:val="32"/>
        </w:rPr>
        <w:t>牢固树立“四个意识”，坚持“四个自信”，做到“两个维护”。</w:t>
      </w:r>
    </w:p>
    <w:p>
      <w:pPr>
        <w:ind w:firstLine="640" w:firstLineChars="200"/>
        <w:jc w:val="left"/>
        <w:rPr>
          <w:rFonts w:ascii="仿宋" w:hAnsi="仿宋" w:eastAsia="仿宋"/>
          <w:sz w:val="32"/>
          <w:szCs w:val="32"/>
        </w:rPr>
      </w:pPr>
      <w:r>
        <w:rPr>
          <w:rFonts w:hint="eastAsia" w:ascii="仿宋" w:hAnsi="仿宋" w:eastAsia="仿宋"/>
          <w:sz w:val="32"/>
          <w:szCs w:val="32"/>
        </w:rPr>
        <w:t>绩效指标：</w:t>
      </w:r>
      <w:r>
        <w:rPr>
          <w:rFonts w:ascii="仿宋" w:hAnsi="仿宋" w:eastAsia="仿宋"/>
          <w:sz w:val="32"/>
          <w:szCs w:val="32"/>
        </w:rPr>
        <w:t>完善学法用法制度，全面推进依法行政“三项制度”落实。严格落实《中国共产党纪律处分条例》《中国共产党问责条例》规定，坚决制止不作为，不善为，不会为，消极懈怠，对付凑合的工作行为。</w:t>
      </w:r>
    </w:p>
    <w:bookmarkEnd w:id="4"/>
    <w:bookmarkEnd w:id="5"/>
    <w:bookmarkEnd w:id="6"/>
    <w:p>
      <w:pPr>
        <w:spacing w:beforeLines="50" w:afterLines="50"/>
        <w:ind w:firstLine="640" w:firstLineChars="200"/>
        <w:jc w:val="left"/>
        <w:outlineLvl w:val="1"/>
        <w:rPr>
          <w:rFonts w:ascii="仿宋" w:hAnsi="仿宋" w:eastAsia="仿宋"/>
          <w:b/>
          <w:sz w:val="32"/>
          <w:szCs w:val="32"/>
        </w:rPr>
      </w:pPr>
      <w:bookmarkStart w:id="7" w:name="_Toc66088440"/>
      <w:r>
        <w:rPr>
          <w:rFonts w:hint="eastAsia" w:ascii="仿宋" w:hAnsi="仿宋" w:eastAsia="仿宋"/>
          <w:b/>
          <w:sz w:val="32"/>
          <w:szCs w:val="32"/>
        </w:rPr>
        <w:t>（三）、工作保障措施</w:t>
      </w:r>
      <w:bookmarkEnd w:id="7"/>
      <w:r>
        <w:rPr>
          <w:rFonts w:ascii="仿宋" w:hAnsi="仿宋" w:eastAsia="仿宋"/>
          <w:b/>
          <w:sz w:val="32"/>
          <w:szCs w:val="32"/>
        </w:rPr>
        <w:fldChar w:fldCharType="begin"/>
      </w:r>
      <w:r>
        <w:rPr>
          <w:rFonts w:ascii="仿宋" w:hAnsi="仿宋" w:eastAsia="仿宋"/>
          <w:b/>
          <w:sz w:val="32"/>
          <w:szCs w:val="32"/>
        </w:rPr>
        <w:instrText xml:space="preserve"> </w:instrText>
      </w:r>
      <w:r>
        <w:rPr>
          <w:rFonts w:hint="eastAsia" w:ascii="仿宋" w:hAnsi="仿宋" w:eastAsia="仿宋"/>
          <w:b/>
          <w:sz w:val="32"/>
          <w:szCs w:val="32"/>
        </w:rPr>
        <w:instrText xml:space="preserve">TC 工作保障措施 \f A \l 1</w:instrText>
      </w:r>
      <w:r>
        <w:rPr>
          <w:rFonts w:ascii="仿宋" w:hAnsi="仿宋" w:eastAsia="仿宋"/>
          <w:b/>
          <w:sz w:val="32"/>
          <w:szCs w:val="32"/>
        </w:rPr>
        <w:instrText xml:space="preserve"> </w:instrText>
      </w:r>
      <w:r>
        <w:rPr>
          <w:rFonts w:ascii="仿宋" w:hAnsi="仿宋" w:eastAsia="仿宋"/>
          <w:b/>
          <w:sz w:val="32"/>
          <w:szCs w:val="32"/>
        </w:rPr>
        <w:fldChar w:fldCharType="end"/>
      </w:r>
    </w:p>
    <w:p>
      <w:pPr>
        <w:ind w:firstLine="640" w:firstLineChars="200"/>
        <w:jc w:val="left"/>
        <w:rPr>
          <w:rFonts w:ascii="仿宋" w:hAnsi="仿宋" w:eastAsia="仿宋"/>
          <w:b/>
          <w:sz w:val="32"/>
          <w:szCs w:val="32"/>
        </w:rPr>
      </w:pPr>
      <w:r>
        <w:rPr>
          <w:rFonts w:ascii="仿宋" w:hAnsi="仿宋" w:eastAsia="仿宋"/>
          <w:b/>
          <w:sz w:val="32"/>
          <w:szCs w:val="32"/>
        </w:rPr>
        <w:t>一、守牢安全监管底线。</w:t>
      </w:r>
    </w:p>
    <w:p>
      <w:pPr>
        <w:ind w:firstLine="640" w:firstLineChars="200"/>
        <w:jc w:val="left"/>
        <w:rPr>
          <w:rFonts w:ascii="仿宋" w:hAnsi="仿宋" w:eastAsia="仿宋"/>
          <w:sz w:val="32"/>
          <w:szCs w:val="32"/>
        </w:rPr>
      </w:pPr>
      <w:r>
        <w:rPr>
          <w:rFonts w:ascii="仿宋" w:hAnsi="仿宋" w:eastAsia="仿宋"/>
          <w:sz w:val="32"/>
          <w:szCs w:val="32"/>
        </w:rPr>
        <w:t>食品生产环节：在第一季度，研究制定《2021年隆尧县食品生产安全监管工作要点》《隆尧县2020年度食品生产加工企业日常监督检查计划》等有关文件。全年督促企业落实食品安全各项责任，落实食品安全自查管理制度,确保辖区食品生产企业每季度开展食品安全自查，企业自查率及报告率均达到100%。抓好食品生产监管人员和企业食品安全管理人员抽查考核工作,争取覆盖率和合格率均达100%。落实食品安全监管责任，加强食品安全追溯体系建设，在抓好日常监督检查的同时，对辖区内食品生产企业和小作坊的生产资质、生产环境条件、从业人员管理、进货查验登记、生产过程控制、贮存交付控制、不合格产品管理和召回、食品安全事故处置等各方面实施全覆盖检查。并建立风险隐患清单、责任清单和措施清单，坚决杜绝食品安全隐患发生。食品流通环节：加强食品追溯系统的应用推广和信息录入工作，确保实现食品质量安全顺向可追踪、逆向可溯源、风险可管控。突出冷链食品的监管，特别是进口冷链食品全部录入冷链食品追溯系统，确保经营的冷链食品全部可追溯。继续抓好食品销售示范单位和“放心肉菜示范超市”两个创建工作。集中对农村食品销售市场和校园周边食品安全的进行整治，加大对经销假冒、侵权“山寨”“三无”、劣质、过期食品等违法违规行为打击力度。餐饮消费环节。进一步提升重大活动食品安全保障能力，规范重大活动餐饮食品安全保障工作。实施从食品原料购进质量查验，索证索票，餐饮具清洗消毒，食品加工操作流程，从业人员晨检，食品留样以及就餐人数、菜谱等情况进行全程监管。突出加强学校、幼儿园食堂及食品安全监管，加强部门联合，督促学校、幼儿园落实食品安全主体责任，增强学校食品安全意识，消除食品安全隐患。强化网络订餐日常监管，认真贯彻落实《网络食品安全违法行为查处办法》和《网络餐饮服务食品安全监督管理办法》，督促网络第三方平台切实落实入网经营者资质审查等义务，保障广大消费者权益。</w:t>
      </w:r>
    </w:p>
    <w:p>
      <w:pPr>
        <w:ind w:firstLine="640" w:firstLineChars="200"/>
        <w:jc w:val="left"/>
        <w:rPr>
          <w:rFonts w:ascii="仿宋" w:hAnsi="仿宋" w:eastAsia="仿宋"/>
          <w:sz w:val="32"/>
          <w:szCs w:val="32"/>
        </w:rPr>
      </w:pPr>
      <w:r>
        <w:rPr>
          <w:rFonts w:ascii="仿宋" w:hAnsi="仿宋" w:eastAsia="仿宋"/>
          <w:b/>
          <w:sz w:val="32"/>
          <w:szCs w:val="32"/>
        </w:rPr>
        <w:t>（二）药械化妆品监管工作</w:t>
      </w:r>
      <w:r>
        <w:rPr>
          <w:rFonts w:ascii="仿宋" w:hAnsi="仿宋" w:eastAsia="仿宋"/>
          <w:sz w:val="32"/>
          <w:szCs w:val="32"/>
        </w:rPr>
        <w:t>。贯彻落实药品和医疗器械制度改革。强化血液制品、注射剂、植入类医疗器械等高风险产品监管。开展互联网制售假药、中药饮片、无证经营与经营使用无证医疗器械、化妆品风险排查处置等专项整治。加强药品流通环节监管。加强药品、医疗器械不良反应事件监测工作。加强中药饮片专项治理。强化行刑衔接，合力整治，确保消费者用药用械安全。</w:t>
      </w:r>
    </w:p>
    <w:p>
      <w:pPr>
        <w:ind w:firstLine="640" w:firstLineChars="200"/>
        <w:jc w:val="left"/>
        <w:rPr>
          <w:rFonts w:ascii="仿宋" w:hAnsi="仿宋" w:eastAsia="仿宋"/>
          <w:sz w:val="32"/>
          <w:szCs w:val="32"/>
        </w:rPr>
      </w:pPr>
      <w:r>
        <w:rPr>
          <w:rFonts w:ascii="仿宋" w:hAnsi="仿宋" w:eastAsia="仿宋"/>
          <w:b/>
          <w:sz w:val="32"/>
          <w:szCs w:val="32"/>
        </w:rPr>
        <w:t>（三）强化特种设备安全监管</w:t>
      </w:r>
      <w:r>
        <w:rPr>
          <w:rFonts w:ascii="仿宋" w:hAnsi="仿宋" w:eastAsia="仿宋"/>
          <w:sz w:val="32"/>
          <w:szCs w:val="32"/>
        </w:rPr>
        <w:t>。深入开展特种设备安全专项整治三年行动，通过特种设备安全治理三年行动，督促政府相关部门落实行业领域特种设备安全监督管理职责，形成齐抓共管合力。确保全县在用特种设备使用登记率、定期检验率、作业人员持证上岗率达到100%，持续推进特种设备安全生产“双控”机制建设，不断强化企业安全主体责任落实。充分发挥河北省特种设备安全监管平台作用，推进电梯、气瓶质量安全追溯体系建设。突出对重点区域、重要场所、重点设备、重点时间段的监督检查，对全县重点特种设备使用单位和公众集聚场所特种设备现场检查率100%，重点设备检验率100%，气瓶充装单位现场检查率100%。</w:t>
      </w:r>
    </w:p>
    <w:p>
      <w:pPr>
        <w:ind w:firstLine="640" w:firstLineChars="200"/>
        <w:jc w:val="left"/>
        <w:rPr>
          <w:rFonts w:ascii="仿宋" w:hAnsi="仿宋" w:eastAsia="仿宋"/>
          <w:b/>
          <w:sz w:val="32"/>
          <w:szCs w:val="32"/>
        </w:rPr>
      </w:pPr>
      <w:r>
        <w:rPr>
          <w:rFonts w:ascii="仿宋" w:hAnsi="仿宋" w:eastAsia="仿宋"/>
          <w:b/>
          <w:sz w:val="32"/>
          <w:szCs w:val="32"/>
        </w:rPr>
        <w:t>二、持续优化准入环境。</w:t>
      </w:r>
    </w:p>
    <w:p>
      <w:pPr>
        <w:ind w:firstLine="640" w:firstLineChars="200"/>
        <w:jc w:val="left"/>
        <w:rPr>
          <w:rFonts w:ascii="仿宋" w:hAnsi="仿宋" w:eastAsia="仿宋"/>
          <w:sz w:val="32"/>
          <w:szCs w:val="32"/>
        </w:rPr>
      </w:pPr>
      <w:r>
        <w:rPr>
          <w:rFonts w:ascii="仿宋" w:hAnsi="仿宋" w:eastAsia="仿宋"/>
          <w:sz w:val="32"/>
          <w:szCs w:val="32"/>
        </w:rPr>
        <w:t>在信用监管方面：统筹协调“双随机、一公开”监管工作平台建设和应用相关工作，到2021年底依托平台实现“双随机、一公开”监管全覆盖、常态化。外资企业监管方面：降低市场门槛准入，为外商投资企业的设立、变更提供强有力保障。</w:t>
      </w:r>
    </w:p>
    <w:p>
      <w:pPr>
        <w:ind w:firstLine="640" w:firstLineChars="200"/>
        <w:jc w:val="left"/>
        <w:rPr>
          <w:rFonts w:ascii="仿宋" w:hAnsi="仿宋" w:eastAsia="仿宋"/>
          <w:b/>
          <w:sz w:val="32"/>
          <w:szCs w:val="32"/>
        </w:rPr>
      </w:pPr>
      <w:r>
        <w:rPr>
          <w:rFonts w:ascii="仿宋" w:hAnsi="仿宋" w:eastAsia="仿宋"/>
          <w:b/>
          <w:sz w:val="32"/>
          <w:szCs w:val="32"/>
        </w:rPr>
        <w:t>三、推进质量提升行动。</w:t>
      </w:r>
    </w:p>
    <w:p>
      <w:pPr>
        <w:ind w:firstLine="640" w:firstLineChars="200"/>
        <w:jc w:val="left"/>
        <w:rPr>
          <w:rFonts w:ascii="仿宋" w:hAnsi="仿宋" w:eastAsia="仿宋"/>
          <w:sz w:val="32"/>
          <w:szCs w:val="32"/>
        </w:rPr>
      </w:pPr>
      <w:r>
        <w:rPr>
          <w:rFonts w:ascii="仿宋" w:hAnsi="仿宋" w:eastAsia="仿宋"/>
          <w:sz w:val="32"/>
          <w:szCs w:val="32"/>
        </w:rPr>
        <w:t>实施质量提升工程，落实落细质量提升行动方案，开展认证和资质认定检验检测机构监督检查专项行动。</w:t>
      </w:r>
    </w:p>
    <w:p>
      <w:pPr>
        <w:ind w:firstLine="640" w:firstLineChars="200"/>
        <w:jc w:val="left"/>
        <w:rPr>
          <w:rFonts w:ascii="仿宋" w:hAnsi="仿宋" w:eastAsia="仿宋"/>
          <w:b/>
          <w:sz w:val="32"/>
          <w:szCs w:val="32"/>
        </w:rPr>
      </w:pPr>
      <w:r>
        <w:rPr>
          <w:rFonts w:ascii="仿宋" w:hAnsi="仿宋" w:eastAsia="仿宋"/>
          <w:b/>
          <w:sz w:val="32"/>
          <w:szCs w:val="32"/>
        </w:rPr>
        <w:t>四、维护公平竞争秩序。</w:t>
      </w:r>
    </w:p>
    <w:p>
      <w:pPr>
        <w:ind w:firstLine="640" w:firstLineChars="200"/>
        <w:jc w:val="left"/>
        <w:rPr>
          <w:rFonts w:ascii="仿宋" w:hAnsi="仿宋" w:eastAsia="仿宋"/>
          <w:sz w:val="32"/>
          <w:szCs w:val="32"/>
        </w:rPr>
      </w:pPr>
      <w:r>
        <w:rPr>
          <w:rFonts w:ascii="仿宋" w:hAnsi="仿宋" w:eastAsia="仿宋"/>
          <w:sz w:val="32"/>
          <w:szCs w:val="32"/>
        </w:rPr>
        <w:t>聚焦公用事业、原料药、建材、日常消费品等民生领域，加大竞争执法力度。围绕教育、医药、电商等重点领域，开展价费专项治理。加大网络交易和合同监督管力度。树立审慎监管、智慧监管、数字监管思维，探索“互联网 + 市场监管”新模式，保障消费者权益。</w:t>
      </w:r>
    </w:p>
    <w:p>
      <w:pPr>
        <w:ind w:firstLine="640" w:firstLineChars="200"/>
        <w:jc w:val="left"/>
        <w:rPr>
          <w:rFonts w:ascii="仿宋" w:hAnsi="仿宋" w:eastAsia="仿宋"/>
          <w:b/>
          <w:sz w:val="32"/>
          <w:szCs w:val="32"/>
        </w:rPr>
      </w:pPr>
      <w:r>
        <w:rPr>
          <w:rFonts w:ascii="仿宋" w:hAnsi="仿宋" w:eastAsia="仿宋"/>
          <w:b/>
          <w:sz w:val="32"/>
          <w:szCs w:val="32"/>
        </w:rPr>
        <w:t>五、生态环境保护治理。</w:t>
      </w:r>
    </w:p>
    <w:p>
      <w:pPr>
        <w:ind w:firstLine="640" w:firstLineChars="200"/>
        <w:jc w:val="left"/>
        <w:rPr>
          <w:rFonts w:ascii="仿宋" w:hAnsi="仿宋" w:eastAsia="仿宋"/>
          <w:sz w:val="32"/>
          <w:szCs w:val="32"/>
        </w:rPr>
      </w:pPr>
      <w:r>
        <w:rPr>
          <w:rFonts w:ascii="仿宋" w:hAnsi="仿宋" w:eastAsia="仿宋"/>
          <w:sz w:val="32"/>
          <w:szCs w:val="32"/>
        </w:rPr>
        <w:t>散煤管控工作。全面加强散煤生产、加工、储运、销售、使用等环节监管，不断提升综合治理效能。餐饮单位油烟治理工作。根据《隆尧县餐饮油烟污染治理工作提升实施方案》要求，在2020年度餐饮单位安装油烟净化装置的基础上，加大巡查力度。成品油监管。以成品油抽检为抓手，采取靶向抽检、分级管理、重点管控举措。</w:t>
      </w:r>
    </w:p>
    <w:p>
      <w:pPr>
        <w:ind w:firstLine="640" w:firstLineChars="200"/>
        <w:jc w:val="left"/>
        <w:rPr>
          <w:rFonts w:ascii="仿宋" w:hAnsi="仿宋" w:eastAsia="仿宋"/>
          <w:b/>
          <w:sz w:val="32"/>
          <w:szCs w:val="32"/>
        </w:rPr>
      </w:pPr>
      <w:r>
        <w:rPr>
          <w:rFonts w:ascii="仿宋" w:hAnsi="仿宋" w:eastAsia="仿宋"/>
          <w:b/>
          <w:sz w:val="32"/>
          <w:szCs w:val="32"/>
        </w:rPr>
        <w:t>六、持续推进队伍建设。</w:t>
      </w:r>
    </w:p>
    <w:p>
      <w:pPr>
        <w:ind w:firstLine="640" w:firstLineChars="200"/>
        <w:jc w:val="left"/>
        <w:rPr>
          <w:rFonts w:ascii="仿宋" w:hAnsi="仿宋" w:eastAsia="仿宋"/>
          <w:sz w:val="32"/>
          <w:szCs w:val="32"/>
        </w:rPr>
        <w:sectPr>
          <w:headerReference r:id="rId3" w:type="default"/>
          <w:footerReference r:id="rId4" w:type="default"/>
          <w:pgSz w:w="16839" w:h="11907" w:orient="landscape"/>
          <w:pgMar w:top="1304" w:right="1985" w:bottom="1304" w:left="1985" w:header="851" w:footer="992" w:gutter="0"/>
          <w:pgNumType w:start="1"/>
          <w:cols w:space="720" w:num="1"/>
          <w:docGrid w:type="linesAndChars" w:linePitch="312" w:charSpace="0"/>
        </w:sectPr>
      </w:pPr>
      <w:r>
        <w:rPr>
          <w:rFonts w:ascii="仿宋" w:hAnsi="仿宋" w:eastAsia="仿宋"/>
          <w:sz w:val="32"/>
          <w:szCs w:val="32"/>
        </w:rPr>
        <w:t>加强人才培育，采取系统指导、分级培养管理模式，持续推进综合执法办案人才、检验检测人才、审评认证人才、法律法规人才和工作创新人才培养，在省局市场安全监管“大讲堂”活动基础上，定期邀请行业专家，拟选焦点、热点和难点课题进行讲解学习，培养“一专多能”监管人员，不断提升全员工作能力，锻造市场监管系统过硬素质</w:t>
      </w:r>
      <w:r>
        <w:rPr>
          <w:rFonts w:hint="eastAsia" w:ascii="仿宋" w:hAnsi="仿宋" w:eastAsia="仿宋"/>
          <w:sz w:val="32"/>
          <w:szCs w:val="32"/>
        </w:rPr>
        <w:t>。</w:t>
      </w:r>
    </w:p>
    <w:p>
      <w:pPr>
        <w:rPr>
          <w:rFonts w:ascii="仿宋" w:hAnsi="仿宋" w:eastAsia="仿宋"/>
          <w:b/>
          <w:sz w:val="32"/>
          <w:szCs w:val="32"/>
        </w:rPr>
      </w:pPr>
      <w:r>
        <w:rPr>
          <w:rFonts w:hint="eastAsia" w:ascii="仿宋" w:hAnsi="仿宋" w:eastAsia="仿宋"/>
          <w:b/>
          <w:sz w:val="32"/>
          <w:szCs w:val="32"/>
        </w:rPr>
        <w:t>第二部分：预算项目绩效目标：</w:t>
      </w:r>
    </w:p>
    <w:p>
      <w:pPr>
        <w:ind w:firstLine="560" w:firstLineChars="200"/>
        <w:jc w:val="left"/>
        <w:outlineLvl w:val="3"/>
        <w:rPr>
          <w:rFonts w:ascii="Times New Roman" w:hAnsi="宋体"/>
          <w:b/>
          <w:sz w:val="28"/>
        </w:rPr>
      </w:pPr>
      <w:bookmarkStart w:id="8" w:name="_Toc66088441"/>
      <w:r>
        <w:rPr>
          <w:rFonts w:hint="eastAsia" w:ascii="方正仿宋_GBK" w:eastAsia="方正仿宋_GBK"/>
          <w:b/>
          <w:sz w:val="28"/>
        </w:rPr>
        <w:t>1.产品质量检测经费绩效目标表</w:t>
      </w:r>
      <w:bookmarkEnd w:id="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1、产品质量检测经费绩效目标表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813001</w:t>
            </w:r>
            <w:r>
              <w:rPr>
                <w:rFonts w:hint="eastAsia" w:ascii="方正书宋_GBK" w:eastAsia="方正书宋_GBK"/>
                <w:b/>
              </w:rPr>
              <w:t>隆尧县市场监督管理局本级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130525214D9UW22TVFR2L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产品质量检测经费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摸清县域企业产品质量状况，全面提高产品质量水平，而且对影响国计民生的重要工业产品以及消费者、有关组织反映有质量问题的产品力争做到全覆盖抽查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摸清县域企业产品质量状况</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提高产品质量水平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有质量问题的产品力争做到全覆盖抽查</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按照计划完成的抽样检验批次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按照计划完成的抽样检验批次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96</w:t>
            </w:r>
            <w:r>
              <w:rPr>
                <w:rFonts w:hint="eastAsia" w:ascii="方正书宋_GBK" w:eastAsia="方正书宋_GBK"/>
              </w:rPr>
              <w:t>批次</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保障数据质量有效性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检测数据有效率达标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检测工作完成率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检测工作完成率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委托第三方需用的研究成本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委托第三方需用的研究成本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170000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对社会经济发展的影响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对社会经济发展的影响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9" w:name="_Toc66088442"/>
      <w:r>
        <w:rPr>
          <w:rFonts w:hint="eastAsia" w:ascii="方正仿宋_GBK" w:eastAsia="方正仿宋_GBK"/>
          <w:b/>
          <w:sz w:val="28"/>
        </w:rPr>
        <w:t>2.办案补助/人员经费绩效目标表</w:t>
      </w:r>
      <w:bookmarkEnd w:id="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2、办案补助/人员经费绩效目标表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813001</w:t>
            </w:r>
            <w:r>
              <w:rPr>
                <w:rFonts w:hint="eastAsia" w:ascii="方正书宋_GBK" w:eastAsia="方正书宋_GBK"/>
                <w:b/>
              </w:rPr>
              <w:t>隆尧县市场监督管理局本级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1305252166BGYRF149DHG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3010000.00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3010000.00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保障基层监管人员切身利益。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逐步提高基层监管人员基本生活保障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保证基层监管人员各类社会保障缴费</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维护社会稳定，保证工资按时发放</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发放工资人数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发放工资人数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人均发放水平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人均发放水平</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逐步提升监管人员生活保障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提升监管人员生活保障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0" w:name="_Toc66088443"/>
      <w:r>
        <w:rPr>
          <w:rFonts w:hint="eastAsia" w:ascii="方正仿宋_GBK" w:eastAsia="方正仿宋_GBK"/>
          <w:b/>
          <w:sz w:val="28"/>
        </w:rPr>
        <w:t>3.办案补助/日常公用经费绩效目标表</w:t>
      </w:r>
      <w:bookmarkEnd w:id="1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3、办案补助/日常公用经费绩效目标表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813001</w:t>
            </w:r>
            <w:r>
              <w:rPr>
                <w:rFonts w:hint="eastAsia" w:ascii="方正书宋_GBK" w:eastAsia="方正书宋_GBK"/>
                <w:b/>
              </w:rPr>
              <w:t>隆尧县市场监督管理局本级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1305252176U48HME7CPSE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日常公用经费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530000.00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530000.00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加强市场监管理能力建设，完成各项工作任务。提高综合保障管理能力。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提升保障能力及管理水平，完成各项工作任务。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提高人员的业务能力、工作效率，加强科研和文化建设。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规范执法行为，加强检验检测能力，提升队伍素质和电子政务水平，规范技术机构发展；提升保障能力及管理水平。</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媒体稿件篇数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反映在各种媒体刊登稿件篇数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运行保障成本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运行保障成本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各项任务工作完成及时率（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保障正常办公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保障正常办公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1" w:name="_Toc66088444"/>
      <w:r>
        <w:rPr>
          <w:rFonts w:hint="eastAsia" w:ascii="方正仿宋_GBK" w:eastAsia="方正仿宋_GBK"/>
          <w:b/>
          <w:sz w:val="28"/>
        </w:rPr>
        <w:t>4.餐饮业油烟在线检测设备维修经费绩效目标表</w:t>
      </w:r>
      <w:bookmarkEnd w:id="1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4、餐饮业油烟在线检测设备维修经费绩效目标表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813001</w:t>
            </w:r>
            <w:r>
              <w:rPr>
                <w:rFonts w:hint="eastAsia" w:ascii="方正书宋_GBK" w:eastAsia="方正书宋_GBK"/>
                <w:b/>
              </w:rPr>
              <w:t>隆尧县市场监督管理局本级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130525218GCA9VUAWIIUG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餐饮业油烟在线检测设备维修经费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9</w:t>
            </w:r>
            <w:r>
              <w:rPr>
                <w:rFonts w:hint="eastAsia" w:ascii="方正书宋_GBK" w:eastAsia="方正书宋_GBK"/>
              </w:rPr>
              <w:t>套原有检测设备进行维修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减少餐饮油烟排放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保证油烟在线设备正常使用</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维修资金及时拨付</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检测结果可靠性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检测结果可靠性</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维修后质量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确保取得实效。</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针对比对异常的信息，及时研究开展专项清理行动，确保取得实效。</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完成工作需要费用成本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完成工作需要费用成本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19600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备件设备使用年限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设备使用年限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县域监测评价工作满意度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2" w:name="_Toc66088445"/>
      <w:r>
        <w:rPr>
          <w:rFonts w:hint="eastAsia" w:ascii="方正仿宋_GBK" w:eastAsia="方正仿宋_GBK"/>
          <w:b/>
          <w:sz w:val="28"/>
        </w:rPr>
        <w:t>5.冀财行【2020】162号/省级/提前下达2021年市场监管专项补助经费绩效目标表</w:t>
      </w:r>
      <w:bookmarkEnd w:id="1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5、冀财行【2020】162号/省级/提前下达2021年市场监管专项补助经费绩效目标表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813001</w:t>
            </w:r>
            <w:r>
              <w:rPr>
                <w:rFonts w:hint="eastAsia" w:ascii="方正书宋_GBK" w:eastAsia="方正书宋_GBK"/>
                <w:b/>
              </w:rPr>
              <w:t>隆尧县市场监督管理局本级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130525218ML4OBKTZB3BT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2020</w:t>
            </w:r>
            <w:r>
              <w:rPr>
                <w:rFonts w:hint="eastAsia" w:ascii="方正书宋_GBK" w:eastAsia="方正书宋_GBK"/>
              </w:rPr>
              <w:t>】</w:t>
            </w:r>
            <w:r>
              <w:rPr>
                <w:rFonts w:ascii="方正书宋_GBK" w:eastAsia="方正书宋_GBK"/>
              </w:rPr>
              <w:t>162</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提前下达</w:t>
            </w:r>
            <w:r>
              <w:rPr>
                <w:rFonts w:ascii="方正书宋_GBK" w:eastAsia="方正书宋_GBK"/>
              </w:rPr>
              <w:t>2021</w:t>
            </w:r>
            <w:r>
              <w:rPr>
                <w:rFonts w:hint="eastAsia" w:ascii="方正书宋_GBK" w:eastAsia="方正书宋_GBK"/>
              </w:rPr>
              <w:t>年市场监管专项补助经费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180000.00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180000.00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建立和维护市场秩序，服务地方经济发展。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增强各类市场诚信经营意识和规范网络交易管理，维护市场秩序。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促进市场主体的快速增长。强化信用体系建设，构建</w:t>
            </w:r>
            <w:r>
              <w:rPr>
                <w:rFonts w:hint="cs" w:ascii="方正书宋_GBK" w:eastAsia="方正书宋_GBK"/>
              </w:rPr>
              <w:t>“</w:t>
            </w:r>
            <w:r>
              <w:rPr>
                <w:rFonts w:hint="eastAsia" w:ascii="方正书宋_GBK" w:eastAsia="方正书宋_GBK"/>
              </w:rPr>
              <w:t>一处违法、处处受限</w:t>
            </w:r>
            <w:r>
              <w:rPr>
                <w:rFonts w:hint="cs" w:ascii="方正书宋_GBK" w:eastAsia="方正书宋_GBK"/>
              </w:rPr>
              <w:t>”</w:t>
            </w:r>
            <w:r>
              <w:rPr>
                <w:rFonts w:hint="eastAsia" w:ascii="方正书宋_GBK" w:eastAsia="方正书宋_GBK"/>
              </w:rPr>
              <w:t>监管局面，为政府决策和社会公众提供信息服务。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构建打击传销体系，促进社会和谐稳定，维护公平竞争的市场秩序。</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市场专项整治行动次数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反映市场监管执法工作检查次数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市场监管执法案件办结率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反映市场监管执法案件办理程度</w:t>
            </w:r>
            <w:r>
              <w:rPr>
                <w:rFonts w:ascii="方正书宋_GBK" w:eastAsia="方正书宋_GBK"/>
              </w:rPr>
              <w:t>,</w:t>
            </w:r>
            <w:r>
              <w:rPr>
                <w:rFonts w:hint="eastAsia" w:ascii="方正书宋_GBK" w:eastAsia="方正书宋_GBK"/>
              </w:rPr>
              <w:t>办理完结案件数与年度市场执法案件总数的比例。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重大案件发生次数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辖区内重大违法案件发生情况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&lt;1</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社会反馈意见对工作满意度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社会反馈意见对市场监管工作满意度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3" w:name="_Toc66088446"/>
      <w:r>
        <w:rPr>
          <w:rFonts w:hint="eastAsia" w:ascii="方正仿宋_GBK" w:eastAsia="方正仿宋_GBK"/>
          <w:b/>
          <w:sz w:val="28"/>
        </w:rPr>
        <w:t>6.综合行政执法服装费绩效目标表</w:t>
      </w:r>
      <w:bookmarkEnd w:id="1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6、综合行政执法服装费绩效目标表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813001</w:t>
            </w:r>
            <w:r>
              <w:rPr>
                <w:rFonts w:hint="eastAsia" w:ascii="方正书宋_GBK" w:eastAsia="方正书宋_GBK"/>
                <w:b/>
              </w:rPr>
              <w:t>隆尧县市场监督管理局本级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130525219MS566GMCF6UP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综合行政执法服装费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846351.00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846351.00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用于统一市场监管部门制式服装和标志，确保制服和标志样式、标准统一。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统一市场监管部门制式服装和标志。</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确保制服和标志制作经费保障到位。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加强队伍建设、提升形象。</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执法人员数量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执法人员数量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184</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执法服装配备率（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执法服装配备率（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服装发放及时率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服装发放及时率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人均费用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人均费用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4180.5</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队伍建设提升率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队伍建设提升率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形象提升满意度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形象提升满意度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4" w:name="_Toc66088447"/>
      <w:r>
        <w:rPr>
          <w:rFonts w:hint="eastAsia" w:ascii="方正仿宋_GBK" w:eastAsia="方正仿宋_GBK"/>
          <w:b/>
          <w:sz w:val="28"/>
        </w:rPr>
        <w:t>7.办案补助/基层监管能力建设绩效目标表</w:t>
      </w:r>
      <w:bookmarkEnd w:id="1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7、办案补助/基层监管能力建设绩效目标表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813001</w:t>
            </w:r>
            <w:r>
              <w:rPr>
                <w:rFonts w:hint="eastAsia" w:ascii="方正书宋_GBK" w:eastAsia="方正书宋_GBK"/>
                <w:b/>
              </w:rPr>
              <w:t>隆尧县市场监督管理局本级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13052521C3GOMGMIACPYW</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基层监管能力建设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市场监督管理局及基层所办公场所设施进行运行维护；开展综合业务平台建设与维护工作；配发制服；组织节能减排、车辆运行与管理、设备购置和管理、开展检验检测基础设施、实验室、执法装备、信息化建设等；机关保安、保洁和环境绿化及养护等后勤服务。承担重要综合性文件、文稿的起草工作。承担会务、机要、档案、信息、安全、保密、提案、信访、政务公开、督查督办、信息化、人事管理、老干部管理、党建、后勤等事务性管理等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对市场监督管理局及基层所办公场所设施进行运行维护</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综合业务平台建设与维护</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配备执法装备</w:t>
            </w:r>
            <w:r>
              <w:rPr>
                <w:rFonts w:ascii="方正书宋_GBK" w:eastAsia="方正书宋_GBK"/>
              </w:rPr>
              <w:t>,</w:t>
            </w:r>
            <w:r>
              <w:rPr>
                <w:rFonts w:hint="eastAsia" w:ascii="方正书宋_GBK" w:eastAsia="方正书宋_GBK"/>
              </w:rPr>
              <w:t>逐步达到标准基层所要求</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维护办公场所个数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维修基层办公所个数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执法装备配备率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实际配备与计划配备比例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项目完成情况是否及时</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是否超出年初预算安排</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53</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工作是否有效开展</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取得实效的工作占总体的比率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5" w:name="_Toc66088448"/>
      <w:r>
        <w:rPr>
          <w:rFonts w:hint="eastAsia" w:ascii="方正仿宋_GBK" w:eastAsia="方正仿宋_GBK"/>
          <w:b/>
          <w:sz w:val="28"/>
        </w:rPr>
        <w:t>8.流通领域商品质量抽检绩效目标表</w:t>
      </w:r>
      <w:bookmarkEnd w:id="1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8、流通领域商品质量抽检绩效目标表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813001</w:t>
            </w:r>
            <w:r>
              <w:rPr>
                <w:rFonts w:hint="eastAsia" w:ascii="方正书宋_GBK" w:eastAsia="方正书宋_GBK"/>
                <w:b/>
              </w:rPr>
              <w:t>隆尧县市场监督管理局本级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13052521CU2M8G8ZULIWU</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流通领域商品质量抽检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主要开展全县成品油、车用尿素抽检以及日常办案检测</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严厉打击流通领域不合格商品</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防止不合格成品油流入市场</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锁定当事人违法行为，让案件的定性、处罚更加准确</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计划完成检验数量比例</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计划完成检验数量比例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抽样检验合格率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抽样检验合格率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工作任务完成的及时率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工作任务完成的及时率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按期完成率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对社会经济发展的影响</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对社会经济发展的影响</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6" w:name="_Toc66088449"/>
      <w:r>
        <w:rPr>
          <w:rFonts w:hint="eastAsia" w:ascii="方正仿宋_GBK" w:eastAsia="方正仿宋_GBK"/>
          <w:b/>
          <w:sz w:val="28"/>
        </w:rPr>
        <w:t>9.公益岗位（退役军人）人员安置费绩效目标表</w:t>
      </w:r>
      <w:bookmarkEnd w:id="1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9、公益岗位（退役军人）人员安置费绩效目标表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813001</w:t>
            </w:r>
            <w:r>
              <w:rPr>
                <w:rFonts w:hint="eastAsia" w:ascii="方正书宋_GBK" w:eastAsia="方正书宋_GBK"/>
                <w:b/>
              </w:rPr>
              <w:t>隆尧县市场监督管理局本级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13052521DBN5XKH8XFNAR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公益岗位（退役军人）人员安置费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107839.00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107839.00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名退役士兵工资及社会保障缴费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维护社会稳定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保障退役人员切身利益</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社会保障缴费及时完成</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岗位人数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公益岗位服务人数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公益岗位补贴发放准确率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公益岗位发放准确率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资金发放及时率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人均拨款标准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按照河北省最低工资标准</w:t>
            </w:r>
            <w:r>
              <w:rPr>
                <w:rFonts w:ascii="方正书宋_GBK" w:eastAsia="方正书宋_GBK"/>
              </w:rPr>
              <w:t>1680</w:t>
            </w:r>
            <w:r>
              <w:rPr>
                <w:rFonts w:hint="eastAsia" w:ascii="方正书宋_GBK" w:eastAsia="方正书宋_GBK"/>
              </w:rPr>
              <w:t>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1680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保障退役人员切身利益</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职工是否满意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7" w:name="_Toc66088450"/>
      <w:r>
        <w:rPr>
          <w:rFonts w:hint="eastAsia" w:ascii="方正仿宋_GBK" w:eastAsia="方正仿宋_GBK"/>
          <w:b/>
          <w:sz w:val="28"/>
        </w:rPr>
        <w:t>10.食品检验检测中心运行经费绩效目标表</w:t>
      </w:r>
      <w:bookmarkEnd w:id="1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10、食品检验检测中心运行经费绩效目标表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813001</w:t>
            </w:r>
            <w:r>
              <w:rPr>
                <w:rFonts w:hint="eastAsia" w:ascii="方正书宋_GBK" w:eastAsia="方正书宋_GBK"/>
                <w:b/>
              </w:rPr>
              <w:t>隆尧县市场监督管理局本级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13052521F5XL64TD4A99C</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食品检验检测中心运行经费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632000.00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632000.00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用于我县每年</w:t>
            </w:r>
            <w:r>
              <w:rPr>
                <w:rFonts w:hint="cs" w:ascii="方正书宋_GBK" w:eastAsia="方正书宋_GBK"/>
              </w:rPr>
              <w:t>“</w:t>
            </w:r>
            <w:r>
              <w:rPr>
                <w:rFonts w:hint="eastAsia" w:ascii="方正书宋_GBK" w:eastAsia="方正书宋_GBK"/>
              </w:rPr>
              <w:t>千人</w:t>
            </w:r>
            <w:r>
              <w:rPr>
                <w:rFonts w:ascii="方正书宋_GBK" w:eastAsia="方正书宋_GBK"/>
              </w:rPr>
              <w:t>4</w:t>
            </w:r>
            <w:r>
              <w:rPr>
                <w:rFonts w:hint="eastAsia" w:ascii="方正书宋_GBK" w:eastAsia="方正书宋_GBK"/>
              </w:rPr>
              <w:t>份</w:t>
            </w:r>
            <w:r>
              <w:rPr>
                <w:rFonts w:hint="cs" w:ascii="方正书宋_GBK" w:eastAsia="方正书宋_GBK"/>
              </w:rPr>
              <w:t>”</w:t>
            </w:r>
            <w:r>
              <w:rPr>
                <w:rFonts w:hint="eastAsia" w:ascii="方正书宋_GBK" w:eastAsia="方正书宋_GBK"/>
              </w:rPr>
              <w:t>预包装食品抽样、检验工作以及食品安全专项监督抽检、保障节日期间食品安全抽检、食品案件查办执法抽检和服务我县食品产业研发创新、提升检验检测质量等工作。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保障食品检验检测中心正常运转</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服务我县食品产业研发创新、提升检验检测质量等工作。</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完成我县食品安全专项监督抽检</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完成计划检验数量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完成计划检验数量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1100</w:t>
            </w:r>
            <w:r>
              <w:rPr>
                <w:rFonts w:hint="eastAsia" w:ascii="方正书宋_GBK" w:eastAsia="方正书宋_GBK"/>
              </w:rPr>
              <w:t>批次</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食品抽检问题发生率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食品抽检问题发生率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监督抽检信息公布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监督抽检信息公布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成本控制</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632000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维护检验检测机构运行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维护检验检测机构运行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8" w:name="_Toc66088451"/>
      <w:r>
        <w:rPr>
          <w:rFonts w:hint="eastAsia" w:ascii="方正仿宋_GBK" w:eastAsia="方正仿宋_GBK"/>
          <w:b/>
          <w:sz w:val="28"/>
        </w:rPr>
        <w:t>11.食品抽检经费绩效目标表</w:t>
      </w:r>
      <w:bookmarkEnd w:id="1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11、食品抽检经费绩效目标表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813001</w:t>
            </w:r>
            <w:r>
              <w:rPr>
                <w:rFonts w:hint="eastAsia" w:ascii="方正书宋_GBK" w:eastAsia="方正书宋_GBK"/>
                <w:b/>
              </w:rPr>
              <w:t>隆尧县市场监督管理局本级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13052521GHYXS01H9L7IF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食品抽检经费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对食品流通环节、餐饮环节、</w:t>
            </w:r>
            <w:r>
              <w:rPr>
                <w:rFonts w:hint="cs" w:ascii="方正书宋_GBK" w:eastAsia="方正书宋_GBK"/>
              </w:rPr>
              <w:t>“</w:t>
            </w:r>
            <w:r>
              <w:rPr>
                <w:rFonts w:hint="eastAsia" w:ascii="方正书宋_GBK" w:eastAsia="方正书宋_GBK"/>
              </w:rPr>
              <w:t>三小</w:t>
            </w:r>
            <w:r>
              <w:rPr>
                <w:rFonts w:hint="cs" w:ascii="方正书宋_GBK" w:eastAsia="方正书宋_GBK"/>
              </w:rPr>
              <w:t>”</w:t>
            </w:r>
            <w:r>
              <w:rPr>
                <w:rFonts w:hint="eastAsia" w:ascii="方正书宋_GBK" w:eastAsia="方正书宋_GBK"/>
              </w:rPr>
              <w:t>食品（食品小作坊、小餐饮、小摊点）环节开展食品抽检，抽检量要达到</w:t>
            </w:r>
            <w:r>
              <w:rPr>
                <w:rFonts w:ascii="方正书宋_GBK" w:eastAsia="方正书宋_GBK"/>
              </w:rPr>
              <w:t>4</w:t>
            </w:r>
            <w:r>
              <w:rPr>
                <w:rFonts w:hint="eastAsia" w:ascii="方正书宋_GBK" w:eastAsia="方正书宋_GBK"/>
              </w:rPr>
              <w:t>批次</w:t>
            </w:r>
            <w:r>
              <w:rPr>
                <w:rFonts w:ascii="方正书宋_GBK" w:eastAsia="方正书宋_GBK"/>
              </w:rPr>
              <w:t>/</w:t>
            </w:r>
            <w:r>
              <w:rPr>
                <w:rFonts w:hint="eastAsia" w:ascii="方正书宋_GBK" w:eastAsia="方正书宋_GBK"/>
              </w:rPr>
              <w:t>千人。</w:t>
            </w:r>
            <w:r>
              <w:rPr>
                <w:rFonts w:ascii="方正书宋_GBK" w:eastAsia="方正书宋_GBK"/>
              </w:rPr>
              <w:t>2021</w:t>
            </w:r>
            <w:r>
              <w:rPr>
                <w:rFonts w:hint="eastAsia" w:ascii="方正书宋_GBK" w:eastAsia="方正书宋_GBK"/>
              </w:rPr>
              <w:t>年食品抽检数量共计</w:t>
            </w:r>
            <w:r>
              <w:rPr>
                <w:rFonts w:ascii="方正书宋_GBK" w:eastAsia="方正书宋_GBK"/>
              </w:rPr>
              <w:t>2200</w:t>
            </w:r>
            <w:r>
              <w:rPr>
                <w:rFonts w:hint="eastAsia" w:ascii="方正书宋_GBK" w:eastAsia="方正书宋_GBK"/>
              </w:rPr>
              <w:t>批次品种批次，其中：食用农产品</w:t>
            </w:r>
            <w:r>
              <w:rPr>
                <w:rFonts w:ascii="方正书宋_GBK" w:eastAsia="方正书宋_GBK"/>
              </w:rPr>
              <w:t>1100</w:t>
            </w:r>
            <w:r>
              <w:rPr>
                <w:rFonts w:hint="eastAsia" w:ascii="方正书宋_GBK" w:eastAsia="方正书宋_GBK"/>
              </w:rPr>
              <w:t>批次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对食品流通环节、餐饮环节、</w:t>
            </w:r>
            <w:r>
              <w:rPr>
                <w:rFonts w:hint="cs" w:ascii="方正书宋_GBK" w:eastAsia="方正书宋_GBK"/>
              </w:rPr>
              <w:t>“</w:t>
            </w:r>
            <w:r>
              <w:rPr>
                <w:rFonts w:hint="eastAsia" w:ascii="方正书宋_GBK" w:eastAsia="方正书宋_GBK"/>
              </w:rPr>
              <w:t>三小</w:t>
            </w:r>
            <w:r>
              <w:rPr>
                <w:rFonts w:hint="cs" w:ascii="方正书宋_GBK" w:eastAsia="方正书宋_GBK"/>
              </w:rPr>
              <w:t>”</w:t>
            </w:r>
            <w:r>
              <w:rPr>
                <w:rFonts w:hint="eastAsia" w:ascii="方正书宋_GBK" w:eastAsia="方正书宋_GBK"/>
              </w:rPr>
              <w:t>食品（食品小作坊、小餐饮、小摊点）环节开展食品抽检，抽检量要达到</w:t>
            </w:r>
            <w:r>
              <w:rPr>
                <w:rFonts w:ascii="方正书宋_GBK" w:eastAsia="方正书宋_GBK"/>
              </w:rPr>
              <w:t>4</w:t>
            </w:r>
            <w:r>
              <w:rPr>
                <w:rFonts w:hint="eastAsia" w:ascii="方正书宋_GBK" w:eastAsia="方正书宋_GBK"/>
              </w:rPr>
              <w:t>批次</w:t>
            </w:r>
            <w:r>
              <w:rPr>
                <w:rFonts w:ascii="方正书宋_GBK" w:eastAsia="方正书宋_GBK"/>
              </w:rPr>
              <w:t>/</w:t>
            </w:r>
            <w:r>
              <w:rPr>
                <w:rFonts w:hint="eastAsia" w:ascii="方正书宋_GBK" w:eastAsia="方正书宋_GBK"/>
              </w:rPr>
              <w:t>千人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食用农产品抽检不低于</w:t>
            </w:r>
            <w:r>
              <w:rPr>
                <w:rFonts w:ascii="方正书宋_GBK" w:eastAsia="方正书宋_GBK"/>
              </w:rPr>
              <w:t>1000</w:t>
            </w:r>
            <w:r>
              <w:rPr>
                <w:rFonts w:hint="eastAsia" w:ascii="方正书宋_GBK" w:eastAsia="方正书宋_GBK"/>
              </w:rPr>
              <w:t>批次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减少食品安全事故，保障食品安全</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计划完成数量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计划完成抽检数量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&gt;1000</w:t>
            </w:r>
            <w:r>
              <w:rPr>
                <w:rFonts w:hint="eastAsia" w:ascii="方正书宋_GBK" w:eastAsia="方正书宋_GBK"/>
              </w:rPr>
              <w:t>批次</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食品抽检、食品快速检测完成率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实际抽检批次、食品快速检测占计划批次的比例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按时安排预算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严格控制成本，不超出项目预算数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严格控制预算</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250000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较大食品安全事故发生次数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较大食品安全事故是指出现百人以上食物中毒事件或人员死亡的事故</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&lt;1</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9" w:name="_Toc66088452"/>
      <w:r>
        <w:rPr>
          <w:rFonts w:hint="eastAsia" w:ascii="方正仿宋_GBK" w:eastAsia="方正仿宋_GBK"/>
          <w:b/>
          <w:sz w:val="28"/>
        </w:rPr>
        <w:t>12.食品快检室运行经费绩效目标表</w:t>
      </w:r>
      <w:bookmarkEnd w:id="1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12、食品快检室运行经费绩效目标表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813001</w:t>
            </w:r>
            <w:r>
              <w:rPr>
                <w:rFonts w:hint="eastAsia" w:ascii="方正书宋_GBK" w:eastAsia="方正书宋_GBK"/>
                <w:b/>
              </w:rPr>
              <w:t>隆尧县市场监督管理局本级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13052521GQS8C6P9V529T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食品快检室运行经费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w:t>
            </w:r>
            <w:r>
              <w:rPr>
                <w:rFonts w:ascii="方正书宋_GBK" w:eastAsia="方正书宋_GBK"/>
              </w:rPr>
              <w:t>12</w:t>
            </w:r>
            <w:r>
              <w:rPr>
                <w:rFonts w:hint="eastAsia" w:ascii="方正书宋_GBK" w:eastAsia="方正书宋_GBK"/>
              </w:rPr>
              <w:t>个基层所及东恒农贸市场正常运行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农药残留、亚硝酸盐等是否超标做出初步判定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食品快检室正常运行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为重大活动做餐饮保障</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食品快检室数量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食品快检室数量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食品快检问题发现率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食品快检问题发现率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食品安全事故较少</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0" w:name="_Toc66088453"/>
      <w:r>
        <w:rPr>
          <w:rFonts w:hint="eastAsia" w:ascii="方正仿宋_GBK" w:eastAsia="方正仿宋_GBK"/>
          <w:b/>
          <w:sz w:val="28"/>
        </w:rPr>
        <w:t>13.1992年人员经费暂付款绩效目标表</w:t>
      </w:r>
      <w:bookmarkEnd w:id="2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13、1992年人员经费暂付款绩效目标表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813001</w:t>
            </w:r>
            <w:r>
              <w:rPr>
                <w:rFonts w:hint="eastAsia" w:ascii="方正书宋_GBK" w:eastAsia="方正书宋_GBK"/>
                <w:b/>
              </w:rPr>
              <w:t>隆尧县市场监督管理局本级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13052521I5A0FR2Y3PQTH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ascii="方正书宋_GBK" w:eastAsia="方正书宋_GBK"/>
              </w:rPr>
              <w:t>1992</w:t>
            </w:r>
            <w:r>
              <w:rPr>
                <w:rFonts w:hint="eastAsia" w:ascii="方正书宋_GBK" w:eastAsia="方正书宋_GBK"/>
              </w:rPr>
              <w:t>年人员经费暂付款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1992</w:t>
            </w:r>
            <w:r>
              <w:rPr>
                <w:rFonts w:hint="eastAsia" w:ascii="方正书宋_GBK" w:eastAsia="方正书宋_GBK"/>
              </w:rPr>
              <w:t>年人员经费暂付款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完成暂付款消化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资金拨付到位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资金支出到位</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暂付款金额</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暂付款金额</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按照资金序时支付进度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预算控制数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人员满意度（</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1" w:name="_Toc66088454"/>
      <w:r>
        <w:rPr>
          <w:rFonts w:hint="eastAsia" w:ascii="方正仿宋_GBK" w:eastAsia="方正仿宋_GBK"/>
          <w:b/>
          <w:sz w:val="28"/>
        </w:rPr>
        <w:t>14.打假办案经费绩效目标表</w:t>
      </w:r>
      <w:bookmarkEnd w:id="2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14、打假办案经费绩效目标表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813001</w:t>
            </w:r>
            <w:r>
              <w:rPr>
                <w:rFonts w:hint="eastAsia" w:ascii="方正书宋_GBK" w:eastAsia="方正书宋_GBK"/>
                <w:b/>
              </w:rPr>
              <w:t>隆尧县市场监督管理局本级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13052521MSIF1CGW5KK0K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打假办案经费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170000.00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主要用于市场各类打假专项行动，保护消费者权益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保障市场各类打假专项行动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保护消费者权益</w:t>
            </w:r>
          </w:p>
          <w:p>
            <w:pPr>
              <w:spacing w:line="300" w:lineRule="exact"/>
              <w:jc w:val="left"/>
              <w:rPr>
                <w:rFonts w:ascii="方正书宋_GBK" w:eastAsia="方正书宋_GBK"/>
              </w:rPr>
            </w:pPr>
            <w:r>
              <w:rPr>
                <w:rFonts w:ascii="方正书宋_GBK" w:eastAsia="方正书宋_GBK"/>
              </w:rPr>
              <w:t>3.3.15</w:t>
            </w:r>
            <w:r>
              <w:rPr>
                <w:rFonts w:hint="eastAsia" w:ascii="方正书宋_GBK" w:eastAsia="方正书宋_GBK"/>
              </w:rPr>
              <w:t>打假宣传活动开展</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现场巡查、打假办案巡查率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现场巡查、打假办案巡查率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执法处罚率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执法处罚率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案件上报及时率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案件上报及时率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保障公用经费资金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公用经费资金数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170000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促进社会稳定水平逐步提高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2" w:name="_Toc66088455"/>
      <w:r>
        <w:rPr>
          <w:rFonts w:hint="eastAsia" w:ascii="方正仿宋_GBK" w:eastAsia="方正仿宋_GBK"/>
          <w:b/>
          <w:sz w:val="28"/>
        </w:rPr>
        <w:t>15.散煤治理油烟管控专项经费绩效目标表</w:t>
      </w:r>
      <w:bookmarkEnd w:id="2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15、散煤治理油烟管控专项经费绩效目标表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813001</w:t>
            </w:r>
            <w:r>
              <w:rPr>
                <w:rFonts w:hint="eastAsia" w:ascii="方正书宋_GBK" w:eastAsia="方正书宋_GBK"/>
                <w:b/>
              </w:rPr>
              <w:t>隆尧县市场监督管理局本级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13052521N1DN8RNG4GLG4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散煤治理油烟管控专项经费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主要用于大气污染散煤管控以及餐饮油烟综合治理工作。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散煤治理工作确保有效</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油烟净化器全覆盖安装</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保障大气污染防治工作有序开展</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散煤案件查处率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散煤案件查处率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案件审查完成率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案件审查完成率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案件、资料上报及时率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案件、资料上报及时完成率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综合监管总成本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综合监管总成本</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改善环境质量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改善环境质量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人员满意度（</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人员满意度（</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3" w:name="_Toc66088456"/>
      <w:r>
        <w:rPr>
          <w:rFonts w:hint="eastAsia" w:ascii="方正仿宋_GBK" w:eastAsia="方正仿宋_GBK"/>
          <w:b/>
          <w:sz w:val="28"/>
        </w:rPr>
        <w:t>16.餐饮业油烟在线装置检测设备费绩效目标表</w:t>
      </w:r>
      <w:bookmarkEnd w:id="2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16、餐饮业油烟在线装置检测设备费绩效目标表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813001</w:t>
            </w:r>
            <w:r>
              <w:rPr>
                <w:rFonts w:hint="eastAsia" w:ascii="方正书宋_GBK" w:eastAsia="方正书宋_GBK"/>
                <w:b/>
              </w:rPr>
              <w:t>隆尧县市场监督管理局本级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13052521S007FK1DYVS67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餐饮业油烟在线装置检测设备费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安装主城区油烟在线设备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减少餐饮业油烟排放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餐饮业油烟检测设备全覆盖安装</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确保油烟在线装备正常运转</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采购数量完成率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采购数量完成率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设备性能指标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设备性能指标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项目预算控制率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购置设备成本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购置设备资金投入</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600000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保障能力提升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购置设备对业务保障能力的提升情况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综合评价等级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综合评级率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4" w:name="_Toc66088457"/>
      <w:r>
        <w:rPr>
          <w:rFonts w:hint="eastAsia" w:ascii="方正仿宋_GBK" w:eastAsia="方正仿宋_GBK"/>
          <w:b/>
          <w:sz w:val="28"/>
        </w:rPr>
        <w:t>17.农村食品药品协管员补助经费绩效目标表</w:t>
      </w:r>
      <w:bookmarkEnd w:id="2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17、农村食品药品协管员补助经费绩效目标表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813001</w:t>
            </w:r>
            <w:r>
              <w:rPr>
                <w:rFonts w:hint="eastAsia" w:ascii="方正书宋_GBK" w:eastAsia="方正书宋_GBK"/>
                <w:b/>
              </w:rPr>
              <w:t>隆尧县市场监督管理局本级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13052521V0PYGNIYGGYUE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农村食品药品协管员补助经费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385200.00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385200.00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w:t>
            </w:r>
            <w:r>
              <w:rPr>
                <w:rFonts w:ascii="方正书宋_GBK" w:eastAsia="方正书宋_GBK"/>
              </w:rPr>
              <w:t>276</w:t>
            </w:r>
            <w:r>
              <w:rPr>
                <w:rFonts w:hint="eastAsia" w:ascii="方正书宋_GBK" w:eastAsia="方正书宋_GBK"/>
              </w:rPr>
              <w:t>个行政村，</w:t>
            </w:r>
            <w:r>
              <w:rPr>
                <w:rFonts w:ascii="方正书宋_GBK" w:eastAsia="方正书宋_GBK"/>
              </w:rPr>
              <w:t>321</w:t>
            </w:r>
            <w:r>
              <w:rPr>
                <w:rFonts w:hint="eastAsia" w:ascii="方正书宋_GBK" w:eastAsia="方正书宋_GBK"/>
              </w:rPr>
              <w:t>人农村食品药品协管员工作补贴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建立相对稳定的食品安全协管员报酬保障机制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确保协管员月补贴不低于</w:t>
            </w:r>
            <w:r>
              <w:rPr>
                <w:rFonts w:ascii="方正书宋_GBK" w:eastAsia="方正书宋_GBK"/>
              </w:rPr>
              <w:t>100</w:t>
            </w:r>
            <w:r>
              <w:rPr>
                <w:rFonts w:hint="eastAsia" w:ascii="方正书宋_GBK" w:eastAsia="方正书宋_GBK"/>
              </w:rPr>
              <w:t>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协助监管人员负责调查摸底、隐患排查、信息报告、聚餐登记、宣传引导，确保农村食品安全</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农村食品药品协管员数量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农村食品药品协管员数量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321</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协助监管人员协助率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协助监管人员监督、摸底排查率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资金支付及时率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成本预算</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成本预算</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385200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25" w:name="_Toc66088458"/>
      <w:r>
        <w:rPr>
          <w:rFonts w:hint="eastAsia" w:ascii="方正仿宋_GBK" w:eastAsia="方正仿宋_GBK"/>
          <w:b/>
          <w:sz w:val="28"/>
        </w:rPr>
        <w:t>18.食品检验检测中心人员经费绩效目标表</w:t>
      </w:r>
      <w:bookmarkEnd w:id="2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18、食品检验检测中心人员经费绩效目标表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813001</w:t>
            </w:r>
            <w:r>
              <w:rPr>
                <w:rFonts w:hint="eastAsia" w:ascii="方正书宋_GBK" w:eastAsia="方正书宋_GBK"/>
                <w:b/>
              </w:rPr>
              <w:t>隆尧县市场监督管理局本级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13052521ZX043Z8BBYQ4A</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食品检验检测中心人员经费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295920.00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295920.00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食品检验检测中心人员经费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保障食品检验检测中心人员工资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及时完成食品检验检测中心社会保障缴费</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提升技术人员工作积极性</w:t>
            </w:r>
          </w:p>
        </w:tc>
      </w:tr>
    </w:tbl>
    <w:p>
      <w:pPr>
        <w:spacing w:line="14" w:lineRule="exact"/>
        <w:jc w:val="center"/>
        <w:rPr>
          <w:rFonts w:ascii="Times New Roman" w:hAnsi="宋体"/>
        </w:rPr>
      </w:pPr>
      <w:r>
        <w:rPr>
          <w:rFonts w:ascii="方正书宋_GBK" w:eastAsia="方正书宋_GBK"/>
        </w:rPr>
        <w:t xml:space="preserve"> </w:t>
      </w:r>
    </w:p>
    <w:tbl>
      <w:tblPr>
        <w:tblStyle w:val="11"/>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技术人员数量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技术人员数量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技术人员工资到位率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技术人员工资到位率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资金及时支付率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人均拨款标准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按照河北省最低工资标准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1680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专业技术人才总量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专业技术人才总量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center"/>
        <w:rPr>
          <w:rFonts w:ascii="Times New Roman" w:eastAsia="方正仿宋_GBK"/>
          <w:sz w:val="28"/>
        </w:rPr>
      </w:pPr>
    </w:p>
    <w:p>
      <w:pPr>
        <w:autoSpaceDE w:val="0"/>
        <w:autoSpaceDN w:val="0"/>
        <w:adjustRightInd w:val="0"/>
        <w:jc w:val="left"/>
        <w:rPr>
          <w:rFonts w:ascii="黑体" w:hAnsi="黑体" w:eastAsia="黑体"/>
          <w:sz w:val="32"/>
          <w:szCs w:val="32"/>
        </w:rPr>
      </w:pPr>
      <w:r>
        <w:rPr>
          <w:rFonts w:hint="eastAsia" w:ascii="黑体" w:hAnsi="黑体" w:eastAsia="黑体"/>
          <w:sz w:val="32"/>
          <w:szCs w:val="32"/>
        </w:rPr>
        <w:t>六、政府采购预算情况</w:t>
      </w:r>
    </w:p>
    <w:p>
      <w:pPr>
        <w:jc w:val="center"/>
        <w:outlineLvl w:val="1"/>
        <w:rPr>
          <w:rFonts w:ascii="仿宋" w:hAnsi="仿宋" w:eastAsia="仿宋"/>
          <w:b/>
          <w:sz w:val="32"/>
          <w:szCs w:val="24"/>
        </w:rPr>
      </w:pPr>
      <w:bookmarkStart w:id="26" w:name="_Toc471398468"/>
      <w:r>
        <w:rPr>
          <w:rFonts w:ascii="仿宋" w:hAnsi="仿宋" w:eastAsia="仿宋"/>
          <w:b/>
          <w:sz w:val="32"/>
          <w:szCs w:val="24"/>
        </w:rPr>
        <w:t>2021</w:t>
      </w:r>
      <w:r>
        <w:rPr>
          <w:rFonts w:hint="eastAsia" w:ascii="仿宋" w:hAnsi="仿宋" w:eastAsia="仿宋"/>
          <w:b/>
          <w:sz w:val="32"/>
          <w:szCs w:val="24"/>
        </w:rPr>
        <w:t>年，我局安排政府采购预算</w:t>
      </w:r>
      <w:r>
        <w:rPr>
          <w:rFonts w:hint="eastAsia" w:ascii="仿宋" w:hAnsi="仿宋" w:eastAsia="仿宋"/>
          <w:b/>
          <w:sz w:val="32"/>
          <w:szCs w:val="24"/>
          <w:lang w:val="en-US" w:eastAsia="zh-CN"/>
        </w:rPr>
        <w:t>1390351</w:t>
      </w:r>
      <w:r>
        <w:rPr>
          <w:rFonts w:hint="eastAsia" w:ascii="仿宋" w:hAnsi="仿宋" w:eastAsia="仿宋"/>
          <w:b/>
          <w:sz w:val="32"/>
          <w:szCs w:val="24"/>
        </w:rPr>
        <w:t>元。具体内容见下表。</w:t>
      </w:r>
      <w:bookmarkStart w:id="27" w:name="_Toc66035413"/>
      <w:bookmarkStart w:id="28" w:name="_Toc64379203"/>
    </w:p>
    <w:p>
      <w:pPr>
        <w:jc w:val="center"/>
        <w:outlineLvl w:val="1"/>
        <w:rPr>
          <w:rFonts w:ascii="仿宋" w:hAnsi="仿宋" w:eastAsia="仿宋"/>
          <w:b/>
          <w:sz w:val="32"/>
        </w:rPr>
      </w:pPr>
      <w:r>
        <w:rPr>
          <w:rFonts w:hint="eastAsia" w:ascii="仿宋" w:hAnsi="仿宋" w:eastAsia="仿宋"/>
          <w:b/>
          <w:sz w:val="32"/>
        </w:rPr>
        <w:t>部门政府采购预算</w:t>
      </w:r>
      <w:bookmarkEnd w:id="27"/>
    </w:p>
    <w:tbl>
      <w:tblPr>
        <w:tblStyle w:val="11"/>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b/>
                <w:sz w:val="24"/>
              </w:rPr>
            </w:pPr>
            <w:r>
              <w:rPr>
                <w:rFonts w:ascii="方正小标宋_GBK" w:eastAsia="方正小标宋_GBK"/>
                <w:b/>
                <w:sz w:val="24"/>
              </w:rPr>
              <w:t>813</w:t>
            </w:r>
            <w:r>
              <w:rPr>
                <w:rFonts w:hint="eastAsia" w:ascii="方正小标宋_GBK" w:eastAsia="方正小标宋_GBK"/>
                <w:b/>
                <w:sz w:val="24"/>
              </w:rPr>
              <w:t>隆尧县市场监管局</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b/>
                <w:sz w:val="24"/>
              </w:rPr>
            </w:pPr>
            <w:r>
              <w:rPr>
                <w:rFonts w:hint="eastAsia" w:ascii="方正书宋_GBK" w:eastAsia="方正书宋_GBK"/>
                <w:b/>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1531" w:type="dxa"/>
            <w:vMerge w:val="continue"/>
            <w:shd w:val="clear" w:color="auto" w:fill="auto"/>
            <w:vAlign w:val="center"/>
          </w:tcPr>
          <w:p>
            <w:pPr>
              <w:spacing w:line="300" w:lineRule="exact"/>
              <w:jc w:val="left"/>
              <w:outlineLvl w:val="1"/>
              <w:rPr>
                <w:rFonts w:ascii="Times New Roman" w:eastAsia="方正仿宋_GBK"/>
                <w:sz w:val="28"/>
              </w:rPr>
            </w:pPr>
          </w:p>
        </w:tc>
        <w:tc>
          <w:tcPr>
            <w:tcW w:w="709"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907" w:type="dxa"/>
            <w:vMerge w:val="continue"/>
            <w:shd w:val="clear" w:color="auto" w:fill="auto"/>
            <w:vAlign w:val="center"/>
          </w:tcPr>
          <w:p>
            <w:pPr>
              <w:spacing w:line="300" w:lineRule="exact"/>
              <w:jc w:val="left"/>
              <w:outlineLvl w:val="1"/>
              <w:rPr>
                <w:rFonts w:ascii="Times New Roman"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1390351.00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1390351.00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隆尧县市场监督管理局本级小计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1390351.00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1390351.00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基层监管能力建设</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基层监管能力建设</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多功能一体机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A020204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1500.00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基层监管能力建设</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空调机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A0206180203</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3500.00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基层监管能力建设</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其他家具用具</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组</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基层监管能力建设</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其他家具用具</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把</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基层监管能力建设</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复印纸</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A090101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箱</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150.00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办案补助</w:t>
            </w:r>
            <w:r>
              <w:rPr>
                <w:rFonts w:ascii="方正书宋_GBK" w:eastAsia="方正书宋_GBK"/>
              </w:rPr>
              <w:t>/</w:t>
            </w:r>
            <w:r>
              <w:rPr>
                <w:rFonts w:hint="eastAsia" w:ascii="方正书宋_GBK" w:eastAsia="方正书宋_GBK"/>
              </w:rPr>
              <w:t>基层监管能力建设</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车辆加油服务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C050302</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升</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4000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打假办案经费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本</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1200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打假办案经费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机动车保险服务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C15040201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2500.00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冀财行【</w:t>
            </w:r>
            <w:r>
              <w:rPr>
                <w:rFonts w:ascii="方正书宋_GBK" w:eastAsia="方正书宋_GBK"/>
              </w:rPr>
              <w:t>2020</w:t>
            </w:r>
            <w:r>
              <w:rPr>
                <w:rFonts w:hint="eastAsia" w:ascii="方正书宋_GBK" w:eastAsia="方正书宋_GBK"/>
              </w:rPr>
              <w:t>】</w:t>
            </w:r>
            <w:r>
              <w:rPr>
                <w:rFonts w:ascii="方正书宋_GBK" w:eastAsia="方正书宋_GBK"/>
              </w:rPr>
              <w:t>162</w:t>
            </w:r>
            <w:r>
              <w:rPr>
                <w:rFonts w:hint="eastAsia" w:ascii="方正书宋_GBK" w:eastAsia="方正书宋_GBK"/>
              </w:rPr>
              <w:t>号</w:t>
            </w:r>
            <w:r>
              <w:rPr>
                <w:rFonts w:ascii="方正书宋_GBK" w:eastAsia="方正书宋_GBK"/>
              </w:rPr>
              <w:t>/</w:t>
            </w:r>
            <w:r>
              <w:rPr>
                <w:rFonts w:hint="eastAsia" w:ascii="方正书宋_GBK" w:eastAsia="方正书宋_GBK"/>
              </w:rPr>
              <w:t>省级</w:t>
            </w:r>
            <w:r>
              <w:rPr>
                <w:rFonts w:ascii="方正书宋_GBK" w:eastAsia="方正书宋_GBK"/>
              </w:rPr>
              <w:t>/</w:t>
            </w:r>
            <w:r>
              <w:rPr>
                <w:rFonts w:hint="eastAsia" w:ascii="方正书宋_GBK" w:eastAsia="方正书宋_GBK"/>
              </w:rPr>
              <w:t>提前下达</w:t>
            </w:r>
            <w:r>
              <w:rPr>
                <w:rFonts w:ascii="方正书宋_GBK" w:eastAsia="方正书宋_GBK"/>
              </w:rPr>
              <w:t>2021</w:t>
            </w:r>
            <w:r>
              <w:rPr>
                <w:rFonts w:hint="eastAsia" w:ascii="方正书宋_GBK" w:eastAsia="方正书宋_GBK"/>
              </w:rPr>
              <w:t>年市场监管专项补助经费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页</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3500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流通领域商品质量抽检</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车辆加油服务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C050302</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升</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4000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流通领域商品质量抽检</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票据印刷服务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C08140102</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本</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40000.00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食品检验检测中心运行经费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632000.00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复印纸</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A090101</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箱</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150.00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食品检验检测中心运行经费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632000.00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本</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1080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54000.00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54000.00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食品快检室运行经费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本</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综合行政执法服装费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846351.00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普通服装</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A07030103</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套</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206</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4108.50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846351.00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846351.00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1"/>
        <w:rPr>
          <w:rFonts w:ascii="Times New Roman" w:eastAsia="方正仿宋_GBK"/>
          <w:sz w:val="28"/>
        </w:rPr>
        <w:sectPr>
          <w:pgSz w:w="16839" w:h="11907" w:orient="landscape"/>
          <w:pgMar w:top="1361" w:right="1020" w:bottom="1361" w:left="1020" w:header="851" w:footer="992" w:gutter="0"/>
          <w:cols w:space="425" w:num="1"/>
          <w:docGrid w:type="lines" w:linePitch="312" w:charSpace="0"/>
        </w:sectPr>
      </w:pPr>
    </w:p>
    <w:p>
      <w:pPr>
        <w:ind w:firstLine="640" w:firstLineChars="200"/>
        <w:outlineLvl w:val="1"/>
        <w:rPr>
          <w:rFonts w:ascii="Times New Roman" w:hAnsi="Times New Roman" w:eastAsia="方正仿宋_GBK"/>
          <w:sz w:val="32"/>
          <w:szCs w:val="24"/>
        </w:rPr>
      </w:pPr>
    </w:p>
    <w:bookmarkEnd w:id="26"/>
    <w:bookmarkEnd w:id="28"/>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七、国有资产信息</w:t>
      </w:r>
    </w:p>
    <w:p>
      <w:pPr>
        <w:ind w:firstLine="640"/>
        <w:rPr>
          <w:rFonts w:ascii="Times New Roman" w:hAnsi="Times New Roman" w:eastAsia="仿宋"/>
          <w:color w:val="000000"/>
          <w:sz w:val="32"/>
          <w:szCs w:val="32"/>
        </w:rPr>
      </w:pPr>
      <w:r>
        <w:rPr>
          <w:rFonts w:hint="eastAsia" w:ascii="Times New Roman" w:hAnsi="Times New Roman" w:eastAsia="仿宋"/>
          <w:color w:val="000000"/>
          <w:sz w:val="32"/>
          <w:szCs w:val="32"/>
        </w:rPr>
        <w:t>隆尧县市场2020</w:t>
      </w:r>
      <w:r>
        <w:rPr>
          <w:rFonts w:ascii="Times New Roman" w:hAnsi="Times New Roman" w:eastAsia="仿宋"/>
          <w:color w:val="000000"/>
          <w:sz w:val="32"/>
          <w:szCs w:val="32"/>
        </w:rPr>
        <w:t>年末固定资产金额为</w:t>
      </w:r>
      <w:r>
        <w:rPr>
          <w:rFonts w:hint="eastAsia" w:ascii="Times New Roman" w:hAnsi="Times New Roman" w:eastAsia="仿宋"/>
          <w:color w:val="000000"/>
          <w:sz w:val="32"/>
          <w:szCs w:val="32"/>
        </w:rPr>
        <w:t>2927.72</w:t>
      </w:r>
      <w:r>
        <w:rPr>
          <w:rFonts w:ascii="Times New Roman" w:hAnsi="Times New Roman" w:eastAsia="仿宋"/>
          <w:color w:val="000000"/>
          <w:sz w:val="32"/>
          <w:szCs w:val="32"/>
        </w:rPr>
        <w:t>万元（详见下表），本年度各</w:t>
      </w:r>
      <w:r>
        <w:rPr>
          <w:rFonts w:hint="eastAsia" w:ascii="Times New Roman" w:hAnsi="Times New Roman" w:eastAsia="仿宋"/>
          <w:color w:val="000000"/>
          <w:sz w:val="32"/>
          <w:szCs w:val="32"/>
        </w:rPr>
        <w:t>科室、</w:t>
      </w:r>
      <w:r>
        <w:rPr>
          <w:rFonts w:ascii="Times New Roman" w:hAnsi="Times New Roman" w:eastAsia="仿宋"/>
          <w:color w:val="000000"/>
          <w:sz w:val="32"/>
          <w:szCs w:val="32"/>
        </w:rPr>
        <w:t>基层所</w:t>
      </w:r>
      <w:r>
        <w:rPr>
          <w:rFonts w:hint="eastAsia" w:ascii="Times New Roman" w:hAnsi="Times New Roman" w:eastAsia="仿宋"/>
          <w:color w:val="000000"/>
          <w:sz w:val="32"/>
          <w:szCs w:val="32"/>
        </w:rPr>
        <w:t>、检验中心</w:t>
      </w:r>
      <w:r>
        <w:rPr>
          <w:rFonts w:ascii="Times New Roman" w:hAnsi="Times New Roman" w:eastAsia="仿宋"/>
          <w:color w:val="000000"/>
          <w:sz w:val="32"/>
          <w:szCs w:val="32"/>
        </w:rPr>
        <w:t>拟购置固定资产</w:t>
      </w:r>
      <w:r>
        <w:rPr>
          <w:rFonts w:hint="eastAsia" w:ascii="Times New Roman" w:hAnsi="Times New Roman" w:eastAsia="仿宋"/>
          <w:color w:val="000000"/>
          <w:sz w:val="32"/>
          <w:szCs w:val="32"/>
        </w:rPr>
        <w:t>总额为22</w:t>
      </w:r>
      <w:r>
        <w:rPr>
          <w:rFonts w:ascii="Times New Roman" w:hAnsi="Times New Roman" w:eastAsia="仿宋"/>
          <w:color w:val="000000"/>
          <w:sz w:val="32"/>
          <w:szCs w:val="32"/>
        </w:rPr>
        <w:t>万元，主要为</w:t>
      </w:r>
      <w:r>
        <w:rPr>
          <w:rFonts w:hint="eastAsia" w:ascii="Times New Roman" w:hAnsi="Times New Roman" w:eastAsia="仿宋"/>
          <w:color w:val="000000"/>
          <w:sz w:val="32"/>
          <w:szCs w:val="32"/>
          <w:lang w:val="en-US" w:eastAsia="zh-CN"/>
        </w:rPr>
        <w:t>台式</w:t>
      </w:r>
      <w:r>
        <w:rPr>
          <w:rFonts w:ascii="Times New Roman" w:hAnsi="Times New Roman" w:eastAsia="仿宋"/>
          <w:color w:val="000000"/>
          <w:sz w:val="32"/>
          <w:szCs w:val="32"/>
        </w:rPr>
        <w:t>计算机、</w:t>
      </w:r>
      <w:r>
        <w:rPr>
          <w:rFonts w:hint="eastAsia" w:ascii="Times New Roman" w:hAnsi="Times New Roman" w:eastAsia="仿宋"/>
          <w:color w:val="000000"/>
          <w:sz w:val="32"/>
          <w:szCs w:val="32"/>
          <w:lang w:val="en-US" w:eastAsia="zh-CN"/>
        </w:rPr>
        <w:t>多功能</w:t>
      </w:r>
      <w:r>
        <w:rPr>
          <w:rFonts w:ascii="Times New Roman" w:hAnsi="Times New Roman" w:eastAsia="仿宋"/>
          <w:color w:val="000000"/>
          <w:sz w:val="32"/>
          <w:szCs w:val="32"/>
        </w:rPr>
        <w:t>一体机、</w:t>
      </w:r>
      <w:r>
        <w:rPr>
          <w:rFonts w:hint="eastAsia" w:ascii="Times New Roman" w:hAnsi="Times New Roman" w:eastAsia="仿宋"/>
          <w:color w:val="000000"/>
          <w:sz w:val="32"/>
          <w:szCs w:val="32"/>
          <w:lang w:val="en-US" w:eastAsia="zh-CN"/>
        </w:rPr>
        <w:t>空调、</w:t>
      </w:r>
      <w:r>
        <w:rPr>
          <w:rFonts w:hint="eastAsia" w:ascii="Times New Roman" w:hAnsi="Times New Roman" w:eastAsia="仿宋"/>
          <w:color w:val="000000"/>
          <w:sz w:val="32"/>
          <w:szCs w:val="32"/>
        </w:rPr>
        <w:t>办公家具</w:t>
      </w:r>
      <w:r>
        <w:rPr>
          <w:rFonts w:ascii="Times New Roman" w:hAnsi="Times New Roman" w:eastAsia="仿宋"/>
          <w:color w:val="000000"/>
          <w:sz w:val="32"/>
          <w:szCs w:val="32"/>
        </w:rPr>
        <w:t>等，已列入政府采购预算表</w:t>
      </w:r>
      <w:r>
        <w:rPr>
          <w:rFonts w:hint="eastAsia" w:ascii="Times New Roman" w:hAnsi="Times New Roman" w:eastAsia="仿宋"/>
          <w:color w:val="000000"/>
          <w:sz w:val="32"/>
          <w:szCs w:val="32"/>
        </w:rPr>
        <w:t>，详见政府采购预算表。</w:t>
      </w:r>
    </w:p>
    <w:tbl>
      <w:tblPr>
        <w:tblStyle w:val="11"/>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隆尧县市场监督管理局固定资产占用情况表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kern w:val="0"/>
                <w:sz w:val="22"/>
              </w:rPr>
            </w:pPr>
            <w:r>
              <w:rPr>
                <w:rFonts w:ascii="Times New Roman" w:hAnsi="Times New Roman" w:eastAsia="仿宋"/>
                <w:kern w:val="0"/>
                <w:sz w:val="22"/>
              </w:rPr>
              <w:t>编制部门：</w:t>
            </w:r>
            <w:r>
              <w:rPr>
                <w:rFonts w:hint="eastAsia" w:ascii="Times New Roman" w:hAnsi="Times New Roman" w:eastAsia="仿宋"/>
                <w:kern w:val="0"/>
                <w:sz w:val="22"/>
              </w:rPr>
              <w:t>隆尧县市场监督管理局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kern w:val="0"/>
                <w:sz w:val="22"/>
              </w:rPr>
            </w:pPr>
            <w:r>
              <w:rPr>
                <w:rFonts w:ascii="Times New Roman" w:hAnsi="Times New Roman" w:eastAsia="仿宋"/>
                <w:kern w:val="0"/>
                <w:sz w:val="22"/>
              </w:rPr>
              <w:t>截止时间：20</w:t>
            </w:r>
            <w:r>
              <w:rPr>
                <w:rFonts w:hint="eastAsia" w:ascii="Times New Roman" w:hAnsi="Times New Roman" w:eastAsia="仿宋"/>
                <w:kern w:val="0"/>
                <w:sz w:val="22"/>
              </w:rPr>
              <w:t>20</w:t>
            </w:r>
            <w:r>
              <w:rPr>
                <w:rFonts w:ascii="Times New Roman" w:hAnsi="Times New Roman" w:eastAsia="仿宋"/>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kern w:val="0"/>
                <w:sz w:val="22"/>
              </w:rPr>
            </w:pPr>
            <w:r>
              <w:rPr>
                <w:rFonts w:ascii="Times New Roman" w:hAnsi="Times New Roman" w:eastAsia="仿宋"/>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kern w:val="0"/>
                <w:sz w:val="22"/>
              </w:rPr>
            </w:pPr>
            <w:r>
              <w:rPr>
                <w:rFonts w:ascii="Times New Roman" w:hAnsi="Times New Roman" w:eastAsia="仿宋"/>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kern w:val="0"/>
                <w:sz w:val="22"/>
              </w:rPr>
            </w:pPr>
            <w:r>
              <w:rPr>
                <w:rFonts w:hint="eastAsia" w:ascii="Times New Roman" w:hAnsi="Times New Roman" w:eastAsia="仿宋"/>
                <w:kern w:val="0"/>
                <w:sz w:val="22"/>
              </w:rPr>
              <w:t>2927.72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kern w:val="0"/>
                <w:sz w:val="22"/>
              </w:rPr>
            </w:pPr>
            <w:r>
              <w:rPr>
                <w:rFonts w:ascii="Times New Roman" w:hAnsi="Times New Roman" w:eastAsia="仿宋"/>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kern w:val="0"/>
                <w:sz w:val="22"/>
              </w:rPr>
            </w:pPr>
            <w:r>
              <w:rPr>
                <w:rFonts w:hint="eastAsia" w:ascii="Times New Roman" w:hAnsi="Times New Roman" w:eastAsia="仿宋"/>
                <w:kern w:val="0"/>
                <w:sz w:val="22"/>
              </w:rPr>
              <w:t>10905</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kern w:val="0"/>
                <w:sz w:val="22"/>
              </w:rPr>
            </w:pPr>
            <w:r>
              <w:rPr>
                <w:rFonts w:hint="eastAsia" w:ascii="Times New Roman" w:hAnsi="Times New Roman" w:eastAsia="仿宋"/>
                <w:kern w:val="0"/>
                <w:sz w:val="22"/>
              </w:rPr>
              <w:t>1381.19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kern w:val="0"/>
                <w:sz w:val="22"/>
              </w:rPr>
            </w:pPr>
            <w:r>
              <w:rPr>
                <w:rFonts w:ascii="Times New Roman" w:hAnsi="Times New Roman" w:eastAsia="仿宋"/>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kern w:val="0"/>
                <w:sz w:val="22"/>
              </w:rPr>
            </w:pPr>
            <w:r>
              <w:rPr>
                <w:rFonts w:hint="eastAsia" w:ascii="Times New Roman" w:hAnsi="Times New Roman" w:eastAsia="仿宋"/>
                <w:kern w:val="0"/>
                <w:sz w:val="22"/>
              </w:rPr>
              <w:t>10905</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kern w:val="0"/>
                <w:sz w:val="22"/>
              </w:rPr>
            </w:pPr>
            <w:r>
              <w:rPr>
                <w:rFonts w:hint="eastAsia" w:ascii="Times New Roman" w:hAnsi="Times New Roman" w:eastAsia="仿宋"/>
                <w:kern w:val="0"/>
                <w:sz w:val="22"/>
              </w:rPr>
              <w:t>1381.19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kern w:val="0"/>
                <w:sz w:val="22"/>
              </w:rPr>
            </w:pPr>
            <w:r>
              <w:rPr>
                <w:rFonts w:ascii="Times New Roman" w:hAnsi="Times New Roman" w:eastAsia="仿宋"/>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kern w:val="0"/>
                <w:sz w:val="22"/>
              </w:rPr>
            </w:pPr>
            <w:r>
              <w:rPr>
                <w:rFonts w:hint="eastAsia" w:ascii="Times New Roman" w:hAnsi="Times New Roman" w:eastAsia="仿宋"/>
                <w:kern w:val="0"/>
                <w:sz w:val="22"/>
              </w:rPr>
              <w:t>7</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kern w:val="0"/>
                <w:sz w:val="22"/>
              </w:rPr>
            </w:pPr>
            <w:r>
              <w:rPr>
                <w:rFonts w:hint="eastAsia" w:ascii="Times New Roman" w:hAnsi="Times New Roman" w:eastAsia="仿宋"/>
                <w:kern w:val="0"/>
                <w:sz w:val="22"/>
              </w:rPr>
              <w:t>71.84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kern w:val="0"/>
                <w:sz w:val="22"/>
              </w:rPr>
            </w:pPr>
            <w:r>
              <w:rPr>
                <w:rFonts w:ascii="Times New Roman" w:hAnsi="Times New Roman" w:eastAsia="仿宋"/>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kern w:val="0"/>
                <w:sz w:val="22"/>
              </w:rPr>
            </w:pPr>
            <w:r>
              <w:rPr>
                <w:rFonts w:ascii="Times New Roman" w:hAnsi="Times New Roman" w:eastAsia="仿宋"/>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kern w:val="0"/>
                <w:sz w:val="22"/>
              </w:rPr>
            </w:pPr>
            <w:r>
              <w:rPr>
                <w:rFonts w:hint="eastAsia" w:ascii="Times New Roman" w:hAnsi="Times New Roman" w:eastAsia="仿宋"/>
                <w:kern w:val="0"/>
                <w:sz w:val="22"/>
              </w:rPr>
              <w:t>377.29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kern w:val="0"/>
                <w:sz w:val="22"/>
              </w:rPr>
            </w:pPr>
            <w:r>
              <w:rPr>
                <w:rFonts w:ascii="Times New Roman" w:hAnsi="Times New Roman" w:eastAsia="仿宋"/>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kern w:val="0"/>
                <w:sz w:val="22"/>
              </w:rPr>
            </w:pPr>
            <w:r>
              <w:rPr>
                <w:rFonts w:ascii="Times New Roman" w:hAnsi="Times New Roman" w:eastAsia="仿宋"/>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kern w:val="0"/>
                <w:sz w:val="22"/>
              </w:rPr>
            </w:pPr>
            <w:r>
              <w:rPr>
                <w:rFonts w:hint="eastAsia" w:ascii="Times New Roman" w:hAnsi="Times New Roman" w:eastAsia="仿宋"/>
                <w:kern w:val="0"/>
                <w:sz w:val="22"/>
              </w:rPr>
              <w:t>1097.4</w:t>
            </w:r>
          </w:p>
        </w:tc>
      </w:tr>
    </w:tbl>
    <w:p>
      <w:pPr>
        <w:ind w:firstLine="640" w:firstLineChars="200"/>
        <w:rPr>
          <w:rFonts w:ascii="仿宋" w:hAnsi="仿宋" w:eastAsia="仿宋"/>
          <w:sz w:val="32"/>
          <w:szCs w:val="32"/>
        </w:rPr>
      </w:pPr>
    </w:p>
    <w:p>
      <w:pPr>
        <w:autoSpaceDE w:val="0"/>
        <w:autoSpaceDN w:val="0"/>
        <w:adjustRightInd w:val="0"/>
        <w:ind w:left="198" w:firstLine="640" w:firstLineChars="200"/>
        <w:jc w:val="left"/>
        <w:rPr>
          <w:rFonts w:ascii="黑体" w:hAnsi="黑体" w:eastAsia="黑体"/>
          <w:sz w:val="32"/>
          <w:szCs w:val="32"/>
        </w:rPr>
      </w:pPr>
      <w:r>
        <w:rPr>
          <w:rFonts w:hint="eastAsia" w:ascii="黑体" w:hAnsi="黑体" w:eastAsia="黑体"/>
          <w:sz w:val="32"/>
          <w:szCs w:val="32"/>
        </w:rPr>
        <w:t>八、名词解释</w:t>
      </w:r>
    </w:p>
    <w:p>
      <w:pPr>
        <w:tabs>
          <w:tab w:val="left" w:pos="11490"/>
        </w:tabs>
        <w:ind w:firstLine="640" w:firstLineChars="200"/>
        <w:rPr>
          <w:rFonts w:ascii="仿宋" w:hAnsi="仿宋" w:eastAsia="仿宋"/>
          <w:sz w:val="32"/>
          <w:szCs w:val="32"/>
        </w:rPr>
      </w:pPr>
      <w:r>
        <w:rPr>
          <w:rFonts w:ascii="仿宋" w:hAnsi="仿宋" w:eastAsia="仿宋"/>
          <w:b/>
          <w:sz w:val="32"/>
          <w:szCs w:val="32"/>
        </w:rPr>
        <w:t>1</w:t>
      </w:r>
      <w:r>
        <w:rPr>
          <w:rFonts w:hint="eastAsia" w:ascii="仿宋" w:hAnsi="仿宋" w:eastAsia="仿宋"/>
          <w:b/>
          <w:sz w:val="32"/>
          <w:szCs w:val="32"/>
        </w:rPr>
        <w:t>、一般公共预算拨款收入：</w:t>
      </w:r>
      <w:r>
        <w:rPr>
          <w:rFonts w:hint="eastAsia" w:ascii="仿宋" w:hAnsi="仿宋" w:eastAsia="仿宋"/>
          <w:sz w:val="32"/>
          <w:szCs w:val="32"/>
        </w:rPr>
        <w:t>指县级财政当年拨付的资金。</w:t>
      </w:r>
    </w:p>
    <w:p>
      <w:pPr>
        <w:tabs>
          <w:tab w:val="left" w:pos="11490"/>
        </w:tabs>
        <w:ind w:firstLine="640" w:firstLineChars="200"/>
        <w:rPr>
          <w:rFonts w:ascii="仿宋" w:hAnsi="仿宋" w:eastAsia="仿宋"/>
          <w:sz w:val="32"/>
          <w:szCs w:val="32"/>
        </w:rPr>
      </w:pPr>
      <w:r>
        <w:rPr>
          <w:rFonts w:ascii="仿宋" w:hAnsi="仿宋" w:eastAsia="仿宋"/>
          <w:b/>
          <w:sz w:val="32"/>
          <w:szCs w:val="32"/>
        </w:rPr>
        <w:t>2</w:t>
      </w:r>
      <w:r>
        <w:rPr>
          <w:rFonts w:hint="eastAsia" w:ascii="仿宋" w:hAnsi="仿宋" w:eastAsia="仿宋"/>
          <w:b/>
          <w:sz w:val="32"/>
          <w:szCs w:val="32"/>
        </w:rPr>
        <w:t>、事业收入：</w:t>
      </w:r>
      <w:r>
        <w:rPr>
          <w:rFonts w:hint="eastAsia" w:ascii="仿宋" w:hAnsi="仿宋" w:eastAsia="仿宋"/>
          <w:sz w:val="32"/>
          <w:szCs w:val="32"/>
        </w:rPr>
        <w:t>指事业单位开展专业业务活动及辅助活动所取得的收入。</w:t>
      </w:r>
    </w:p>
    <w:p>
      <w:pPr>
        <w:tabs>
          <w:tab w:val="left" w:pos="11490"/>
        </w:tabs>
        <w:ind w:firstLine="640" w:firstLineChars="200"/>
        <w:rPr>
          <w:rFonts w:ascii="仿宋" w:hAnsi="仿宋" w:eastAsia="仿宋"/>
          <w:b/>
          <w:sz w:val="32"/>
          <w:szCs w:val="32"/>
        </w:rPr>
      </w:pPr>
      <w:r>
        <w:rPr>
          <w:rFonts w:ascii="仿宋" w:hAnsi="仿宋" w:eastAsia="仿宋"/>
          <w:b/>
          <w:sz w:val="32"/>
          <w:szCs w:val="32"/>
        </w:rPr>
        <w:t>3</w:t>
      </w:r>
      <w:r>
        <w:rPr>
          <w:rFonts w:hint="eastAsia" w:ascii="仿宋" w:hAnsi="仿宋" w:eastAsia="仿宋"/>
          <w:b/>
          <w:sz w:val="32"/>
          <w:szCs w:val="32"/>
        </w:rPr>
        <w:t>、其他收入：</w:t>
      </w:r>
      <w:r>
        <w:rPr>
          <w:rFonts w:hint="eastAsia" w:ascii="仿宋" w:hAnsi="仿宋" w:eastAsia="仿宋"/>
          <w:sz w:val="32"/>
          <w:szCs w:val="32"/>
        </w:rPr>
        <w:t>指除</w:t>
      </w:r>
      <w:r>
        <w:rPr>
          <w:rFonts w:ascii="仿宋" w:hAnsi="仿宋" w:eastAsia="仿宋"/>
          <w:sz w:val="32"/>
          <w:szCs w:val="32"/>
        </w:rPr>
        <w:t>“</w:t>
      </w:r>
      <w:r>
        <w:rPr>
          <w:rFonts w:hint="eastAsia" w:ascii="仿宋" w:hAnsi="仿宋" w:eastAsia="仿宋"/>
          <w:sz w:val="32"/>
          <w:szCs w:val="32"/>
        </w:rPr>
        <w:t>一般公共预算拨款收入</w:t>
      </w:r>
      <w:r>
        <w:rPr>
          <w:rFonts w:ascii="仿宋" w:hAnsi="仿宋" w:eastAsia="仿宋"/>
          <w:sz w:val="32"/>
          <w:szCs w:val="32"/>
        </w:rPr>
        <w:t>”</w:t>
      </w:r>
      <w:r>
        <w:rPr>
          <w:rFonts w:hint="eastAsia" w:ascii="仿宋" w:hAnsi="仿宋" w:eastAsia="仿宋"/>
          <w:sz w:val="32"/>
          <w:szCs w:val="32"/>
        </w:rPr>
        <w:t>、</w:t>
      </w:r>
      <w:r>
        <w:rPr>
          <w:rFonts w:ascii="仿宋" w:hAnsi="仿宋" w:eastAsia="仿宋"/>
          <w:sz w:val="32"/>
          <w:szCs w:val="32"/>
        </w:rPr>
        <w:t>“</w:t>
      </w:r>
      <w:r>
        <w:rPr>
          <w:rFonts w:hint="eastAsia" w:ascii="仿宋" w:hAnsi="仿宋" w:eastAsia="仿宋"/>
          <w:sz w:val="32"/>
          <w:szCs w:val="32"/>
        </w:rPr>
        <w:t>事业收入</w:t>
      </w:r>
      <w:r>
        <w:rPr>
          <w:rFonts w:ascii="仿宋" w:hAnsi="仿宋" w:eastAsia="仿宋"/>
          <w:sz w:val="32"/>
          <w:szCs w:val="32"/>
        </w:rPr>
        <w:t>”</w:t>
      </w:r>
      <w:r>
        <w:rPr>
          <w:rFonts w:hint="eastAsia" w:ascii="仿宋" w:hAnsi="仿宋" w:eastAsia="仿宋"/>
          <w:sz w:val="32"/>
          <w:szCs w:val="32"/>
        </w:rPr>
        <w:t>等以外的收入。主要是按规定动用的租房收入、存款利息收入等。</w:t>
      </w:r>
    </w:p>
    <w:p>
      <w:pPr>
        <w:tabs>
          <w:tab w:val="left" w:pos="11490"/>
        </w:tabs>
        <w:ind w:firstLine="640" w:firstLineChars="200"/>
        <w:rPr>
          <w:rFonts w:ascii="仿宋" w:hAnsi="仿宋" w:eastAsia="仿宋"/>
          <w:sz w:val="32"/>
          <w:szCs w:val="32"/>
        </w:rPr>
      </w:pPr>
      <w:r>
        <w:rPr>
          <w:rFonts w:ascii="仿宋" w:hAnsi="仿宋" w:eastAsia="仿宋"/>
          <w:b/>
          <w:sz w:val="32"/>
          <w:szCs w:val="32"/>
        </w:rPr>
        <w:t>4</w:t>
      </w:r>
      <w:r>
        <w:rPr>
          <w:rFonts w:hint="eastAsia" w:ascii="仿宋" w:hAnsi="仿宋" w:eastAsia="仿宋"/>
          <w:b/>
          <w:sz w:val="32"/>
          <w:szCs w:val="32"/>
        </w:rPr>
        <w:t>、基本支出：</w:t>
      </w:r>
      <w:r>
        <w:rPr>
          <w:rFonts w:hint="eastAsia" w:ascii="仿宋" w:hAnsi="仿宋" w:eastAsia="仿宋"/>
          <w:sz w:val="32"/>
          <w:szCs w:val="32"/>
        </w:rPr>
        <w:t>指为保障机构正常运转、完成日常工作任务而发生的人员支出和公用支出。</w:t>
      </w:r>
    </w:p>
    <w:p>
      <w:pPr>
        <w:tabs>
          <w:tab w:val="left" w:pos="11490"/>
        </w:tabs>
        <w:ind w:firstLine="640" w:firstLineChars="200"/>
        <w:rPr>
          <w:rFonts w:ascii="仿宋" w:hAnsi="仿宋" w:eastAsia="仿宋"/>
          <w:sz w:val="32"/>
          <w:szCs w:val="32"/>
        </w:rPr>
      </w:pPr>
      <w:r>
        <w:rPr>
          <w:rFonts w:ascii="仿宋" w:hAnsi="仿宋" w:eastAsia="仿宋"/>
          <w:b/>
          <w:sz w:val="32"/>
          <w:szCs w:val="32"/>
        </w:rPr>
        <w:t>5</w:t>
      </w:r>
      <w:r>
        <w:rPr>
          <w:rFonts w:hint="eastAsia" w:ascii="仿宋" w:hAnsi="仿宋" w:eastAsia="仿宋"/>
          <w:b/>
          <w:sz w:val="32"/>
          <w:szCs w:val="32"/>
        </w:rPr>
        <w:t>、项目支出：</w:t>
      </w:r>
      <w:r>
        <w:rPr>
          <w:rFonts w:hint="eastAsia" w:ascii="仿宋" w:hAnsi="仿宋" w:eastAsia="仿宋"/>
          <w:sz w:val="32"/>
          <w:szCs w:val="32"/>
        </w:rPr>
        <w:t>指在基本支出之外为完成特定行政任务和事业发展目标所发生的支出。</w:t>
      </w:r>
    </w:p>
    <w:p>
      <w:pPr>
        <w:tabs>
          <w:tab w:val="left" w:pos="11490"/>
        </w:tabs>
        <w:ind w:firstLine="640" w:firstLineChars="200"/>
        <w:rPr>
          <w:rFonts w:ascii="仿宋" w:hAnsi="仿宋" w:eastAsia="仿宋"/>
          <w:sz w:val="32"/>
          <w:szCs w:val="32"/>
        </w:rPr>
      </w:pPr>
      <w:r>
        <w:rPr>
          <w:rFonts w:ascii="仿宋" w:hAnsi="仿宋" w:eastAsia="仿宋"/>
          <w:b/>
          <w:sz w:val="32"/>
          <w:szCs w:val="32"/>
        </w:rPr>
        <w:t>6</w:t>
      </w:r>
      <w:r>
        <w:rPr>
          <w:rFonts w:hint="eastAsia" w:ascii="仿宋" w:hAnsi="仿宋" w:eastAsia="仿宋"/>
          <w:b/>
          <w:sz w:val="32"/>
          <w:szCs w:val="32"/>
        </w:rPr>
        <w:t>、上缴上级支出：</w:t>
      </w:r>
      <w:r>
        <w:rPr>
          <w:rFonts w:hint="eastAsia" w:ascii="仿宋" w:hAnsi="仿宋" w:eastAsia="仿宋"/>
          <w:sz w:val="32"/>
          <w:szCs w:val="32"/>
        </w:rPr>
        <w:t>指下级单位上缴上级的支出。</w:t>
      </w:r>
    </w:p>
    <w:p>
      <w:pPr>
        <w:tabs>
          <w:tab w:val="left" w:pos="11490"/>
        </w:tabs>
        <w:ind w:firstLine="640" w:firstLineChars="200"/>
        <w:rPr>
          <w:rFonts w:ascii="仿宋" w:hAnsi="仿宋" w:eastAsia="仿宋"/>
          <w:sz w:val="32"/>
          <w:szCs w:val="32"/>
        </w:rPr>
      </w:pPr>
      <w:r>
        <w:rPr>
          <w:rFonts w:ascii="仿宋" w:hAnsi="仿宋" w:eastAsia="仿宋"/>
          <w:b/>
          <w:sz w:val="32"/>
          <w:szCs w:val="32"/>
        </w:rPr>
        <w:t>7</w:t>
      </w:r>
      <w:r>
        <w:rPr>
          <w:rFonts w:hint="eastAsia" w:ascii="仿宋" w:hAnsi="仿宋" w:eastAsia="仿宋"/>
          <w:b/>
          <w:sz w:val="32"/>
          <w:szCs w:val="32"/>
        </w:rPr>
        <w:t>、</w:t>
      </w:r>
      <w:r>
        <w:rPr>
          <w:rFonts w:ascii="仿宋" w:hAnsi="仿宋" w:eastAsia="仿宋"/>
          <w:b/>
          <w:sz w:val="32"/>
          <w:szCs w:val="32"/>
        </w:rPr>
        <w:t>“</w:t>
      </w:r>
      <w:r>
        <w:rPr>
          <w:rFonts w:hint="eastAsia" w:ascii="仿宋" w:hAnsi="仿宋" w:eastAsia="仿宋"/>
          <w:b/>
          <w:sz w:val="32"/>
          <w:szCs w:val="32"/>
        </w:rPr>
        <w:t>三公</w:t>
      </w:r>
      <w:r>
        <w:rPr>
          <w:rFonts w:ascii="仿宋" w:hAnsi="仿宋" w:eastAsia="仿宋"/>
          <w:b/>
          <w:sz w:val="32"/>
          <w:szCs w:val="32"/>
        </w:rPr>
        <w:t>”</w:t>
      </w:r>
      <w:r>
        <w:rPr>
          <w:rFonts w:hint="eastAsia" w:ascii="仿宋" w:hAnsi="仿宋" w:eastAsia="仿宋"/>
          <w:b/>
          <w:sz w:val="32"/>
          <w:szCs w:val="32"/>
        </w:rPr>
        <w:t>经费：</w:t>
      </w:r>
      <w:r>
        <w:rPr>
          <w:rFonts w:hint="eastAsia" w:ascii="仿宋" w:hAnsi="仿宋" w:eastAsia="仿宋"/>
          <w:sz w:val="32"/>
          <w:szCs w:val="32"/>
        </w:rPr>
        <w:t>纳入县级财政预算管理的</w:t>
      </w:r>
      <w:r>
        <w:rPr>
          <w:rFonts w:ascii="仿宋" w:hAnsi="仿宋" w:eastAsia="仿宋"/>
          <w:sz w:val="32"/>
          <w:szCs w:val="32"/>
        </w:rPr>
        <w:t>“</w:t>
      </w:r>
      <w:r>
        <w:rPr>
          <w:rFonts w:hint="eastAsia" w:ascii="仿宋" w:hAnsi="仿宋" w:eastAsia="仿宋"/>
          <w:sz w:val="32"/>
          <w:szCs w:val="32"/>
        </w:rPr>
        <w:t>三公</w:t>
      </w:r>
      <w:r>
        <w:rPr>
          <w:rFonts w:ascii="仿宋" w:hAnsi="仿宋" w:eastAsia="仿宋"/>
          <w:sz w:val="32"/>
          <w:szCs w:val="32"/>
        </w:rPr>
        <w:t>”</w:t>
      </w:r>
      <w:r>
        <w:rPr>
          <w:rFonts w:hint="eastAsia" w:ascii="仿宋" w:hAnsi="仿宋" w:eastAsia="仿宋"/>
          <w:sz w:val="32"/>
          <w:szCs w:val="32"/>
        </w:rPr>
        <w:t>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tabs>
          <w:tab w:val="left" w:pos="11490"/>
        </w:tabs>
        <w:ind w:firstLine="640" w:firstLineChars="200"/>
        <w:rPr>
          <w:rFonts w:ascii="仿宋" w:hAnsi="仿宋" w:eastAsia="仿宋"/>
          <w:sz w:val="32"/>
          <w:szCs w:val="32"/>
        </w:rPr>
      </w:pPr>
      <w:r>
        <w:rPr>
          <w:rFonts w:ascii="仿宋" w:hAnsi="仿宋" w:eastAsia="仿宋"/>
          <w:b/>
          <w:sz w:val="32"/>
          <w:szCs w:val="32"/>
        </w:rPr>
        <w:t>8</w:t>
      </w:r>
      <w:r>
        <w:rPr>
          <w:rFonts w:hint="eastAsia" w:ascii="仿宋" w:hAnsi="仿宋" w:eastAsia="仿宋"/>
          <w:b/>
          <w:sz w:val="32"/>
          <w:szCs w:val="32"/>
        </w:rPr>
        <w:t>、机关运行费：</w:t>
      </w:r>
      <w:r>
        <w:rPr>
          <w:rFonts w:hint="eastAsia" w:ascii="仿宋" w:hAnsi="仿宋" w:eastAsia="仿宋"/>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tabs>
          <w:tab w:val="left" w:pos="11490"/>
        </w:tabs>
        <w:ind w:firstLine="640" w:firstLineChars="200"/>
        <w:rPr>
          <w:rFonts w:ascii="仿宋" w:hAnsi="仿宋" w:eastAsia="仿宋"/>
          <w:sz w:val="32"/>
          <w:szCs w:val="32"/>
        </w:rPr>
      </w:pPr>
      <w:r>
        <w:rPr>
          <w:rFonts w:ascii="仿宋" w:hAnsi="仿宋" w:eastAsia="仿宋"/>
          <w:b/>
          <w:sz w:val="32"/>
          <w:szCs w:val="32"/>
        </w:rPr>
        <w:t>9</w:t>
      </w:r>
      <w:r>
        <w:rPr>
          <w:rFonts w:hint="eastAsia" w:ascii="仿宋" w:hAnsi="仿宋" w:eastAsia="仿宋"/>
          <w:b/>
          <w:sz w:val="32"/>
          <w:szCs w:val="32"/>
        </w:rPr>
        <w:t>、上年结转：</w:t>
      </w:r>
      <w:r>
        <w:rPr>
          <w:rFonts w:hint="eastAsia" w:ascii="仿宋" w:hAnsi="仿宋" w:eastAsia="仿宋"/>
          <w:sz w:val="32"/>
          <w:szCs w:val="32"/>
        </w:rPr>
        <w:t>指以前年度尚未完成、结转到本年仍按原规定用途继续使用的资金。</w:t>
      </w:r>
    </w:p>
    <w:p>
      <w:pPr>
        <w:autoSpaceDE w:val="0"/>
        <w:autoSpaceDN w:val="0"/>
        <w:adjustRightInd w:val="0"/>
        <w:ind w:firstLine="640" w:firstLineChars="200"/>
        <w:jc w:val="left"/>
        <w:rPr>
          <w:rFonts w:ascii="仿宋" w:hAnsi="仿宋" w:eastAsia="仿宋"/>
          <w:sz w:val="32"/>
          <w:szCs w:val="32"/>
        </w:rPr>
      </w:pPr>
      <w:r>
        <w:rPr>
          <w:rFonts w:hint="eastAsia" w:ascii="仿宋" w:hAnsi="仿宋" w:eastAsia="仿宋"/>
          <w:sz w:val="32"/>
          <w:szCs w:val="32"/>
        </w:rPr>
        <w:t>九、其他需要说明的事项</w:t>
      </w:r>
    </w:p>
    <w:p>
      <w:pPr>
        <w:ind w:firstLine="640" w:firstLineChars="200"/>
        <w:rPr>
          <w:rFonts w:ascii="仿宋" w:hAnsi="仿宋" w:eastAsia="仿宋"/>
          <w:sz w:val="32"/>
          <w:szCs w:val="32"/>
        </w:rPr>
      </w:pPr>
      <w:r>
        <w:rPr>
          <w:rFonts w:hint="eastAsia" w:ascii="仿宋" w:hAnsi="仿宋" w:eastAsia="仿宋"/>
          <w:sz w:val="32"/>
          <w:szCs w:val="32"/>
        </w:rPr>
        <w:t>我部门无其他需要说明的事项。</w:t>
      </w:r>
    </w:p>
    <w:p>
      <w:pPr>
        <w:spacing w:line="300" w:lineRule="exact"/>
        <w:jc w:val="left"/>
        <w:rPr>
          <w:rFonts w:ascii="宋体" w:cs="宋体"/>
        </w:rPr>
        <w:sectPr>
          <w:pgSz w:w="16839" w:h="11907" w:orient="landscape"/>
          <w:pgMar w:top="1304" w:right="1985" w:bottom="1304" w:left="1134" w:header="851" w:footer="992" w:gutter="0"/>
          <w:cols w:space="720" w:num="1"/>
          <w:docGrid w:type="linesAndChars" w:linePitch="312" w:charSpace="0"/>
        </w:sectPr>
      </w:pPr>
    </w:p>
    <w:bookmarkEnd w:id="0"/>
    <w:p>
      <w:pPr>
        <w:autoSpaceDE w:val="0"/>
        <w:autoSpaceDN w:val="0"/>
        <w:adjustRightInd w:val="0"/>
        <w:jc w:val="left"/>
      </w:pPr>
    </w:p>
    <w:sectPr>
      <w:headerReference r:id="rId7" w:type="first"/>
      <w:footerReference r:id="rId10" w:type="first"/>
      <w:headerReference r:id="rId5" w:type="default"/>
      <w:footerReference r:id="rId8" w:type="default"/>
      <w:headerReference r:id="rId6" w:type="even"/>
      <w:footerReference r:id="rId9"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仿宋_GB2312">
    <w:altName w:val="仿宋"/>
    <w:panose1 w:val="00000000000000000000"/>
    <w:charset w:val="86"/>
    <w:family w:val="roma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仿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w:pict>
        <v:shape id="文本框 7" o:spid="_x0000_s4097" o:spt="202" type="#_x0000_t202" style="position:absolute;left:0pt;margin-top:0pt;height:21.95pt;width:4.6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pStyle w:val="5"/>
                  <w:rPr>
                    <w:rStyle w:val="13"/>
                  </w:rPr>
                </w:pPr>
                <w:r>
                  <w:rPr>
                    <w:rStyle w:val="13"/>
                  </w:rPr>
                  <w:fldChar w:fldCharType="begin"/>
                </w:r>
                <w:r>
                  <w:rPr>
                    <w:rStyle w:val="13"/>
                  </w:rPr>
                  <w:instrText xml:space="preserve">PAGE  </w:instrText>
                </w:r>
                <w:r>
                  <w:rPr>
                    <w:rStyle w:val="13"/>
                  </w:rPr>
                  <w:fldChar w:fldCharType="separate"/>
                </w:r>
                <w:r>
                  <w:rPr>
                    <w:rStyle w:val="13"/>
                  </w:rPr>
                  <w:t>33</w:t>
                </w:r>
                <w:r>
                  <w:rPr>
                    <w:rStyle w:val="13"/>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02405BE"/>
    <w:multiLevelType w:val="multilevel"/>
    <w:tmpl w:val="302405BE"/>
    <w:lvl w:ilvl="0" w:tentative="0">
      <w:start w:val="1"/>
      <w:numFmt w:val="japaneseCounting"/>
      <w:lvlText w:val="%1、"/>
      <w:lvlJc w:val="left"/>
      <w:pPr>
        <w:ind w:left="1360" w:hanging="72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abstractNum w:abstractNumId="1">
    <w:nsid w:val="63A34147"/>
    <w:multiLevelType w:val="multilevel"/>
    <w:tmpl w:val="63A34147"/>
    <w:lvl w:ilvl="0" w:tentative="0">
      <w:start w:val="1"/>
      <w:numFmt w:val="japaneseCounting"/>
      <w:lvlText w:val="（%1）"/>
      <w:lvlJc w:val="left"/>
      <w:pPr>
        <w:ind w:left="1720" w:hanging="1080"/>
      </w:pPr>
      <w:rPr>
        <w:rFonts w:hint="default"/>
      </w:r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docVars>
    <w:docVar w:name="commondata" w:val="eyJoZGlkIjoiODJiYjE5ODNiYmQ2MzZjYTU3MDE3YzU2ZmIxZGY4MTUifQ=="/>
  </w:docVars>
  <w:rsids>
    <w:rsidRoot w:val="00F66032"/>
    <w:rsid w:val="00001E74"/>
    <w:rsid w:val="00004436"/>
    <w:rsid w:val="00020BC9"/>
    <w:rsid w:val="00034786"/>
    <w:rsid w:val="000379EE"/>
    <w:rsid w:val="00037AF6"/>
    <w:rsid w:val="000405D0"/>
    <w:rsid w:val="0004257D"/>
    <w:rsid w:val="00042F57"/>
    <w:rsid w:val="00054CDC"/>
    <w:rsid w:val="0006483E"/>
    <w:rsid w:val="000658A6"/>
    <w:rsid w:val="000677CB"/>
    <w:rsid w:val="00074766"/>
    <w:rsid w:val="00075D5F"/>
    <w:rsid w:val="0008102F"/>
    <w:rsid w:val="00086527"/>
    <w:rsid w:val="00087AAF"/>
    <w:rsid w:val="000B529B"/>
    <w:rsid w:val="000C3A19"/>
    <w:rsid w:val="000D52E9"/>
    <w:rsid w:val="000E1F02"/>
    <w:rsid w:val="000E59E2"/>
    <w:rsid w:val="000E617A"/>
    <w:rsid w:val="000E7D3F"/>
    <w:rsid w:val="00104D5C"/>
    <w:rsid w:val="001245BB"/>
    <w:rsid w:val="001251A3"/>
    <w:rsid w:val="00133E19"/>
    <w:rsid w:val="001364F4"/>
    <w:rsid w:val="00145C78"/>
    <w:rsid w:val="00146AA7"/>
    <w:rsid w:val="00160D6E"/>
    <w:rsid w:val="00170CAA"/>
    <w:rsid w:val="00170D1F"/>
    <w:rsid w:val="0018714B"/>
    <w:rsid w:val="0019071F"/>
    <w:rsid w:val="00191B75"/>
    <w:rsid w:val="001A149B"/>
    <w:rsid w:val="001B4EF3"/>
    <w:rsid w:val="001B5B76"/>
    <w:rsid w:val="001D42D2"/>
    <w:rsid w:val="001E0757"/>
    <w:rsid w:val="001F5ED5"/>
    <w:rsid w:val="001F7873"/>
    <w:rsid w:val="001F7B5A"/>
    <w:rsid w:val="00201B2D"/>
    <w:rsid w:val="002174E4"/>
    <w:rsid w:val="00221DDC"/>
    <w:rsid w:val="00237E4E"/>
    <w:rsid w:val="00241FD4"/>
    <w:rsid w:val="00251B12"/>
    <w:rsid w:val="0029537F"/>
    <w:rsid w:val="00296113"/>
    <w:rsid w:val="002A673A"/>
    <w:rsid w:val="002B4DAA"/>
    <w:rsid w:val="002C07BE"/>
    <w:rsid w:val="002C5E13"/>
    <w:rsid w:val="002C62BC"/>
    <w:rsid w:val="002C7DF9"/>
    <w:rsid w:val="002D3AEA"/>
    <w:rsid w:val="002D7683"/>
    <w:rsid w:val="002E0EB8"/>
    <w:rsid w:val="002E65C2"/>
    <w:rsid w:val="002F126F"/>
    <w:rsid w:val="002F1536"/>
    <w:rsid w:val="002F3E58"/>
    <w:rsid w:val="00302AB8"/>
    <w:rsid w:val="0030542C"/>
    <w:rsid w:val="00311B7A"/>
    <w:rsid w:val="00322EC1"/>
    <w:rsid w:val="003317FA"/>
    <w:rsid w:val="0033549C"/>
    <w:rsid w:val="00343CD7"/>
    <w:rsid w:val="0035104D"/>
    <w:rsid w:val="00372FA3"/>
    <w:rsid w:val="00394A20"/>
    <w:rsid w:val="003A6A7D"/>
    <w:rsid w:val="003B2422"/>
    <w:rsid w:val="003D24CB"/>
    <w:rsid w:val="003D27D9"/>
    <w:rsid w:val="003D2C83"/>
    <w:rsid w:val="003D417F"/>
    <w:rsid w:val="003E1B80"/>
    <w:rsid w:val="003F60E9"/>
    <w:rsid w:val="00400F01"/>
    <w:rsid w:val="00407D08"/>
    <w:rsid w:val="004248B8"/>
    <w:rsid w:val="00424943"/>
    <w:rsid w:val="004315C7"/>
    <w:rsid w:val="0043175C"/>
    <w:rsid w:val="0043380A"/>
    <w:rsid w:val="00436327"/>
    <w:rsid w:val="00437296"/>
    <w:rsid w:val="00451590"/>
    <w:rsid w:val="00451871"/>
    <w:rsid w:val="00455109"/>
    <w:rsid w:val="0045609B"/>
    <w:rsid w:val="00461F76"/>
    <w:rsid w:val="004631FC"/>
    <w:rsid w:val="004706DE"/>
    <w:rsid w:val="00472923"/>
    <w:rsid w:val="004773C0"/>
    <w:rsid w:val="00485694"/>
    <w:rsid w:val="0049455E"/>
    <w:rsid w:val="00496109"/>
    <w:rsid w:val="004A6DB1"/>
    <w:rsid w:val="004B0C3A"/>
    <w:rsid w:val="004D3AC8"/>
    <w:rsid w:val="004D5788"/>
    <w:rsid w:val="004E1BD7"/>
    <w:rsid w:val="004E3066"/>
    <w:rsid w:val="004E74CD"/>
    <w:rsid w:val="00501DAF"/>
    <w:rsid w:val="005024BE"/>
    <w:rsid w:val="005069C1"/>
    <w:rsid w:val="00516094"/>
    <w:rsid w:val="00516E04"/>
    <w:rsid w:val="00545D0E"/>
    <w:rsid w:val="00565588"/>
    <w:rsid w:val="00572067"/>
    <w:rsid w:val="00573562"/>
    <w:rsid w:val="005737E8"/>
    <w:rsid w:val="00590ECE"/>
    <w:rsid w:val="00591078"/>
    <w:rsid w:val="005911E4"/>
    <w:rsid w:val="005915C2"/>
    <w:rsid w:val="00592ADD"/>
    <w:rsid w:val="005A2F44"/>
    <w:rsid w:val="005C5CF5"/>
    <w:rsid w:val="00602878"/>
    <w:rsid w:val="00605A11"/>
    <w:rsid w:val="00612D3C"/>
    <w:rsid w:val="00614A29"/>
    <w:rsid w:val="0061668A"/>
    <w:rsid w:val="0062201D"/>
    <w:rsid w:val="006364A7"/>
    <w:rsid w:val="00637255"/>
    <w:rsid w:val="00643AA7"/>
    <w:rsid w:val="00650D4B"/>
    <w:rsid w:val="00653C6B"/>
    <w:rsid w:val="0066346C"/>
    <w:rsid w:val="00673D76"/>
    <w:rsid w:val="00674CD7"/>
    <w:rsid w:val="00681162"/>
    <w:rsid w:val="006854F0"/>
    <w:rsid w:val="0069543E"/>
    <w:rsid w:val="0069624B"/>
    <w:rsid w:val="006A0542"/>
    <w:rsid w:val="006A1B2A"/>
    <w:rsid w:val="006B1C4A"/>
    <w:rsid w:val="006B610D"/>
    <w:rsid w:val="006D2233"/>
    <w:rsid w:val="006E49F5"/>
    <w:rsid w:val="006E7E97"/>
    <w:rsid w:val="006F2193"/>
    <w:rsid w:val="007013C8"/>
    <w:rsid w:val="00704330"/>
    <w:rsid w:val="00717B1E"/>
    <w:rsid w:val="00746441"/>
    <w:rsid w:val="00753836"/>
    <w:rsid w:val="0075393C"/>
    <w:rsid w:val="00754592"/>
    <w:rsid w:val="00757DCE"/>
    <w:rsid w:val="007701B8"/>
    <w:rsid w:val="0077207E"/>
    <w:rsid w:val="00776C08"/>
    <w:rsid w:val="00786726"/>
    <w:rsid w:val="00792F3A"/>
    <w:rsid w:val="007C180B"/>
    <w:rsid w:val="007C219A"/>
    <w:rsid w:val="007C4F9B"/>
    <w:rsid w:val="007D50B5"/>
    <w:rsid w:val="007E1DA8"/>
    <w:rsid w:val="007E4BA0"/>
    <w:rsid w:val="007E4D52"/>
    <w:rsid w:val="007F6C26"/>
    <w:rsid w:val="00813208"/>
    <w:rsid w:val="00822135"/>
    <w:rsid w:val="0083214F"/>
    <w:rsid w:val="008334AE"/>
    <w:rsid w:val="00836FED"/>
    <w:rsid w:val="0083724E"/>
    <w:rsid w:val="00845CD2"/>
    <w:rsid w:val="00852B0D"/>
    <w:rsid w:val="00863385"/>
    <w:rsid w:val="00865128"/>
    <w:rsid w:val="00881692"/>
    <w:rsid w:val="00883D1A"/>
    <w:rsid w:val="008872A7"/>
    <w:rsid w:val="008934A3"/>
    <w:rsid w:val="008A25C2"/>
    <w:rsid w:val="008A6576"/>
    <w:rsid w:val="008B3CC5"/>
    <w:rsid w:val="008B52CD"/>
    <w:rsid w:val="008D42CC"/>
    <w:rsid w:val="008E4261"/>
    <w:rsid w:val="008F4662"/>
    <w:rsid w:val="00900BF9"/>
    <w:rsid w:val="00904CDD"/>
    <w:rsid w:val="00905D08"/>
    <w:rsid w:val="00917A82"/>
    <w:rsid w:val="00925753"/>
    <w:rsid w:val="00931831"/>
    <w:rsid w:val="009425F4"/>
    <w:rsid w:val="009537C8"/>
    <w:rsid w:val="00965683"/>
    <w:rsid w:val="00966C5C"/>
    <w:rsid w:val="0097130F"/>
    <w:rsid w:val="00972D31"/>
    <w:rsid w:val="00973104"/>
    <w:rsid w:val="00987029"/>
    <w:rsid w:val="00987706"/>
    <w:rsid w:val="00995BF0"/>
    <w:rsid w:val="009A16D5"/>
    <w:rsid w:val="009A353D"/>
    <w:rsid w:val="009B0B77"/>
    <w:rsid w:val="009B511E"/>
    <w:rsid w:val="009D3DF1"/>
    <w:rsid w:val="009E0BB0"/>
    <w:rsid w:val="00A02FED"/>
    <w:rsid w:val="00A0345F"/>
    <w:rsid w:val="00A27FB0"/>
    <w:rsid w:val="00A42BFB"/>
    <w:rsid w:val="00A44E3D"/>
    <w:rsid w:val="00A62942"/>
    <w:rsid w:val="00A72D2E"/>
    <w:rsid w:val="00A7347D"/>
    <w:rsid w:val="00A74447"/>
    <w:rsid w:val="00A74CE5"/>
    <w:rsid w:val="00A75DBE"/>
    <w:rsid w:val="00A81F7A"/>
    <w:rsid w:val="00A910D2"/>
    <w:rsid w:val="00A911E7"/>
    <w:rsid w:val="00A939D9"/>
    <w:rsid w:val="00AA00BC"/>
    <w:rsid w:val="00AC6958"/>
    <w:rsid w:val="00AD08A2"/>
    <w:rsid w:val="00AD32B2"/>
    <w:rsid w:val="00AF1C21"/>
    <w:rsid w:val="00AF4530"/>
    <w:rsid w:val="00B03617"/>
    <w:rsid w:val="00B07D9E"/>
    <w:rsid w:val="00B12122"/>
    <w:rsid w:val="00B20395"/>
    <w:rsid w:val="00B20712"/>
    <w:rsid w:val="00B33B75"/>
    <w:rsid w:val="00B43238"/>
    <w:rsid w:val="00B45DD3"/>
    <w:rsid w:val="00B52632"/>
    <w:rsid w:val="00B64B46"/>
    <w:rsid w:val="00B727A9"/>
    <w:rsid w:val="00B75216"/>
    <w:rsid w:val="00B84D97"/>
    <w:rsid w:val="00B91D52"/>
    <w:rsid w:val="00B92986"/>
    <w:rsid w:val="00B9490F"/>
    <w:rsid w:val="00BA1ACD"/>
    <w:rsid w:val="00BA4785"/>
    <w:rsid w:val="00BA534E"/>
    <w:rsid w:val="00BB1A2F"/>
    <w:rsid w:val="00BD09F8"/>
    <w:rsid w:val="00BD4B2D"/>
    <w:rsid w:val="00BE0E8E"/>
    <w:rsid w:val="00BF42DB"/>
    <w:rsid w:val="00C0360F"/>
    <w:rsid w:val="00C06277"/>
    <w:rsid w:val="00C16800"/>
    <w:rsid w:val="00C35176"/>
    <w:rsid w:val="00C440CE"/>
    <w:rsid w:val="00C46530"/>
    <w:rsid w:val="00C570A2"/>
    <w:rsid w:val="00C667DC"/>
    <w:rsid w:val="00C67658"/>
    <w:rsid w:val="00C67C66"/>
    <w:rsid w:val="00C7719B"/>
    <w:rsid w:val="00CA59B0"/>
    <w:rsid w:val="00CA7176"/>
    <w:rsid w:val="00CB3D48"/>
    <w:rsid w:val="00CB4665"/>
    <w:rsid w:val="00CC75B0"/>
    <w:rsid w:val="00CD0BF2"/>
    <w:rsid w:val="00CD1AE7"/>
    <w:rsid w:val="00CD23E7"/>
    <w:rsid w:val="00CD2773"/>
    <w:rsid w:val="00CD31CC"/>
    <w:rsid w:val="00CE143B"/>
    <w:rsid w:val="00CE3D34"/>
    <w:rsid w:val="00CF3455"/>
    <w:rsid w:val="00CF6673"/>
    <w:rsid w:val="00D0024A"/>
    <w:rsid w:val="00D01660"/>
    <w:rsid w:val="00D17ABB"/>
    <w:rsid w:val="00D27003"/>
    <w:rsid w:val="00D4166E"/>
    <w:rsid w:val="00D440D6"/>
    <w:rsid w:val="00D6350B"/>
    <w:rsid w:val="00D77972"/>
    <w:rsid w:val="00D97D00"/>
    <w:rsid w:val="00DA7FF9"/>
    <w:rsid w:val="00DB4A9B"/>
    <w:rsid w:val="00DB6C4C"/>
    <w:rsid w:val="00DC471A"/>
    <w:rsid w:val="00DC6F06"/>
    <w:rsid w:val="00DD38EC"/>
    <w:rsid w:val="00DD38FB"/>
    <w:rsid w:val="00DE0873"/>
    <w:rsid w:val="00DE666F"/>
    <w:rsid w:val="00E167C7"/>
    <w:rsid w:val="00E2482E"/>
    <w:rsid w:val="00E273A5"/>
    <w:rsid w:val="00E325E9"/>
    <w:rsid w:val="00E34E80"/>
    <w:rsid w:val="00E41AAA"/>
    <w:rsid w:val="00E46C08"/>
    <w:rsid w:val="00E61DF2"/>
    <w:rsid w:val="00E70C0A"/>
    <w:rsid w:val="00E73D47"/>
    <w:rsid w:val="00E76E4E"/>
    <w:rsid w:val="00E82C63"/>
    <w:rsid w:val="00E91254"/>
    <w:rsid w:val="00EA3186"/>
    <w:rsid w:val="00EA7492"/>
    <w:rsid w:val="00EB1BEC"/>
    <w:rsid w:val="00EC2F6B"/>
    <w:rsid w:val="00EC4247"/>
    <w:rsid w:val="00EC47F6"/>
    <w:rsid w:val="00ED2F22"/>
    <w:rsid w:val="00ED7CF6"/>
    <w:rsid w:val="00EE62A0"/>
    <w:rsid w:val="00EE65B8"/>
    <w:rsid w:val="00EF06C7"/>
    <w:rsid w:val="00F10008"/>
    <w:rsid w:val="00F149E2"/>
    <w:rsid w:val="00F159B6"/>
    <w:rsid w:val="00F40CD8"/>
    <w:rsid w:val="00F449F1"/>
    <w:rsid w:val="00F66032"/>
    <w:rsid w:val="00F728BF"/>
    <w:rsid w:val="00F72D63"/>
    <w:rsid w:val="00F87A16"/>
    <w:rsid w:val="00F87C1E"/>
    <w:rsid w:val="00F93AD4"/>
    <w:rsid w:val="00F958C2"/>
    <w:rsid w:val="00F97C0C"/>
    <w:rsid w:val="00FA1589"/>
    <w:rsid w:val="00FA3D33"/>
    <w:rsid w:val="00FA66A5"/>
    <w:rsid w:val="00FB5FCB"/>
    <w:rsid w:val="00FC6F96"/>
    <w:rsid w:val="00FD351A"/>
    <w:rsid w:val="00FE75D7"/>
    <w:rsid w:val="00FF6131"/>
    <w:rsid w:val="27D137BF"/>
    <w:rsid w:val="750A2716"/>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39" w:semiHidden="0" w:name="toc 2"/>
    <w:lsdException w:unhideWhenUsed="0" w:uiPriority="0" w:semiHidden="0" w:name="toc 3" w:locked="1"/>
    <w:lsdException w:qFormat="1" w:uiPriority="39"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18"/>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19"/>
    <w:autoRedefine/>
    <w:qFormat/>
    <w:locked/>
    <w:uiPriority w:val="99"/>
    <w:pPr>
      <w:keepNext/>
      <w:keepLines/>
      <w:spacing w:before="260" w:after="260" w:line="416" w:lineRule="auto"/>
      <w:outlineLvl w:val="1"/>
    </w:pPr>
    <w:rPr>
      <w:rFonts w:ascii="Cambria" w:hAnsi="Cambria"/>
      <w:b/>
      <w:sz w:val="32"/>
      <w:szCs w:val="20"/>
    </w:rPr>
  </w:style>
  <w:style w:type="character" w:default="1" w:styleId="12">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4">
    <w:name w:val="Balloon Text"/>
    <w:basedOn w:val="1"/>
    <w:link w:val="22"/>
    <w:autoRedefine/>
    <w:semiHidden/>
    <w:qFormat/>
    <w:uiPriority w:val="99"/>
    <w:rPr>
      <w:kern w:val="0"/>
      <w:sz w:val="18"/>
      <w:szCs w:val="20"/>
    </w:rPr>
  </w:style>
  <w:style w:type="paragraph" w:styleId="5">
    <w:name w:val="footer"/>
    <w:basedOn w:val="1"/>
    <w:link w:val="21"/>
    <w:autoRedefine/>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20"/>
    <w:autoRedefine/>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autoRedefine/>
    <w:qFormat/>
    <w:uiPriority w:val="99"/>
    <w:rPr>
      <w:rFonts w:ascii="Times New Roman" w:hAnsi="Times New Roman"/>
      <w:szCs w:val="24"/>
    </w:rPr>
  </w:style>
  <w:style w:type="paragraph" w:styleId="8">
    <w:name w:val="toc 4"/>
    <w:basedOn w:val="1"/>
    <w:next w:val="1"/>
    <w:autoRedefine/>
    <w:unhideWhenUsed/>
    <w:qFormat/>
    <w:locked/>
    <w:uiPriority w:val="39"/>
    <w:pPr>
      <w:ind w:left="1260" w:leftChars="600"/>
    </w:pPr>
  </w:style>
  <w:style w:type="paragraph" w:styleId="9">
    <w:name w:val="footnote text"/>
    <w:basedOn w:val="1"/>
    <w:link w:val="24"/>
    <w:autoRedefine/>
    <w:semiHidden/>
    <w:qFormat/>
    <w:uiPriority w:val="99"/>
    <w:pPr>
      <w:snapToGrid w:val="0"/>
      <w:jc w:val="left"/>
    </w:pPr>
    <w:rPr>
      <w:kern w:val="0"/>
      <w:sz w:val="18"/>
      <w:szCs w:val="20"/>
    </w:rPr>
  </w:style>
  <w:style w:type="paragraph" w:styleId="10">
    <w:name w:val="toc 2"/>
    <w:basedOn w:val="1"/>
    <w:next w:val="1"/>
    <w:autoRedefine/>
    <w:qFormat/>
    <w:uiPriority w:val="39"/>
    <w:pPr>
      <w:ind w:left="420" w:leftChars="200"/>
    </w:pPr>
    <w:rPr>
      <w:rFonts w:ascii="Times New Roman" w:hAnsi="Times New Roman"/>
      <w:szCs w:val="24"/>
    </w:rPr>
  </w:style>
  <w:style w:type="character" w:styleId="13">
    <w:name w:val="page number"/>
    <w:autoRedefine/>
    <w:semiHidden/>
    <w:qFormat/>
    <w:uiPriority w:val="99"/>
    <w:rPr>
      <w:rFonts w:cs="Times New Roman"/>
    </w:rPr>
  </w:style>
  <w:style w:type="character" w:styleId="14">
    <w:name w:val="Hyperlink"/>
    <w:autoRedefine/>
    <w:qFormat/>
    <w:uiPriority w:val="99"/>
    <w:rPr>
      <w:rFonts w:cs="Times New Roman"/>
      <w:color w:val="0000FF"/>
      <w:u w:val="single"/>
    </w:rPr>
  </w:style>
  <w:style w:type="character" w:styleId="15">
    <w:name w:val="footnote reference"/>
    <w:autoRedefine/>
    <w:semiHidden/>
    <w:qFormat/>
    <w:uiPriority w:val="99"/>
    <w:rPr>
      <w:rFonts w:cs="Times New Roman"/>
      <w:vertAlign w:val="superscript"/>
    </w:rPr>
  </w:style>
  <w:style w:type="character" w:customStyle="1" w:styleId="16">
    <w:name w:val="Heading 1 Char"/>
    <w:autoRedefine/>
    <w:qFormat/>
    <w:locked/>
    <w:uiPriority w:val="99"/>
    <w:rPr>
      <w:rFonts w:cs="Times New Roman"/>
      <w:b/>
      <w:kern w:val="44"/>
      <w:sz w:val="44"/>
    </w:rPr>
  </w:style>
  <w:style w:type="character" w:customStyle="1" w:styleId="17">
    <w:name w:val="Heading 2 Char"/>
    <w:autoRedefine/>
    <w:semiHidden/>
    <w:qFormat/>
    <w:locked/>
    <w:uiPriority w:val="99"/>
    <w:rPr>
      <w:rFonts w:ascii="Cambria" w:hAnsi="Cambria" w:eastAsia="宋体" w:cs="Times New Roman"/>
      <w:b/>
      <w:sz w:val="32"/>
    </w:rPr>
  </w:style>
  <w:style w:type="character" w:customStyle="1" w:styleId="18">
    <w:name w:val="标题 1 Char"/>
    <w:link w:val="2"/>
    <w:autoRedefine/>
    <w:qFormat/>
    <w:locked/>
    <w:uiPriority w:val="99"/>
    <w:rPr>
      <w:rFonts w:ascii="Calibri" w:hAnsi="Calibri" w:eastAsia="宋体"/>
      <w:b/>
      <w:kern w:val="44"/>
      <w:sz w:val="44"/>
      <w:lang w:val="en-US" w:eastAsia="zh-CN"/>
    </w:rPr>
  </w:style>
  <w:style w:type="character" w:customStyle="1" w:styleId="19">
    <w:name w:val="标题 2 Char"/>
    <w:link w:val="3"/>
    <w:autoRedefine/>
    <w:qFormat/>
    <w:locked/>
    <w:uiPriority w:val="99"/>
    <w:rPr>
      <w:rFonts w:ascii="Cambria" w:hAnsi="Cambria" w:eastAsia="宋体"/>
      <w:b/>
      <w:kern w:val="2"/>
      <w:sz w:val="32"/>
      <w:lang w:val="en-US" w:eastAsia="zh-CN"/>
    </w:rPr>
  </w:style>
  <w:style w:type="character" w:customStyle="1" w:styleId="20">
    <w:name w:val="页眉 Char"/>
    <w:link w:val="6"/>
    <w:autoRedefine/>
    <w:qFormat/>
    <w:locked/>
    <w:uiPriority w:val="99"/>
    <w:rPr>
      <w:rFonts w:ascii="Times New Roman" w:hAnsi="Times New Roman" w:eastAsia="宋体" w:cs="Times New Roman"/>
      <w:sz w:val="18"/>
    </w:rPr>
  </w:style>
  <w:style w:type="character" w:customStyle="1" w:styleId="21">
    <w:name w:val="页脚 Char"/>
    <w:link w:val="5"/>
    <w:autoRedefine/>
    <w:qFormat/>
    <w:locked/>
    <w:uiPriority w:val="99"/>
    <w:rPr>
      <w:rFonts w:ascii="Times New Roman" w:hAnsi="Times New Roman" w:eastAsia="宋体" w:cs="Times New Roman"/>
      <w:sz w:val="18"/>
    </w:rPr>
  </w:style>
  <w:style w:type="character" w:customStyle="1" w:styleId="22">
    <w:name w:val="批注框文本 Char"/>
    <w:link w:val="4"/>
    <w:autoRedefine/>
    <w:semiHidden/>
    <w:qFormat/>
    <w:locked/>
    <w:uiPriority w:val="99"/>
    <w:rPr>
      <w:rFonts w:cs="Times New Roman"/>
      <w:sz w:val="18"/>
    </w:rPr>
  </w:style>
  <w:style w:type="paragraph" w:customStyle="1" w:styleId="23">
    <w:name w:val="Default"/>
    <w:autoRedefine/>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4">
    <w:name w:val="脚注文本 Char"/>
    <w:link w:val="9"/>
    <w:autoRedefine/>
    <w:semiHidden/>
    <w:qFormat/>
    <w:locked/>
    <w:uiPriority w:val="99"/>
    <w:rPr>
      <w:rFonts w:ascii="Calibri" w:hAnsi="Calibri" w:eastAsia="宋体" w:cs="Times New Roman"/>
      <w:sz w:val="18"/>
    </w:rPr>
  </w:style>
  <w:style w:type="character" w:customStyle="1" w:styleId="25">
    <w:name w:val="Char Char1"/>
    <w:autoRedefine/>
    <w:qFormat/>
    <w:uiPriority w:val="99"/>
    <w:rPr>
      <w:kern w:val="2"/>
      <w:sz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4.xml" Type="http://schemas.openxmlformats.org/officeDocument/2006/relationships/footer"/><Relationship Id="rId11" Target="theme/theme1.xml" Type="http://schemas.openxmlformats.org/officeDocument/2006/relationships/theme"/><Relationship Id="rId12" Target="../customXml/item1.xml" Type="http://schemas.openxmlformats.org/officeDocument/2006/relationships/customXml"/><Relationship Id="rId13" Target="numbering.xml" Type="http://schemas.openxmlformats.org/officeDocument/2006/relationships/numbering"/><Relationship Id="rId14"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header2.xml" Type="http://schemas.openxmlformats.org/officeDocument/2006/relationships/header"/><Relationship Id="rId6" Target="header3.xml" Type="http://schemas.openxmlformats.org/officeDocument/2006/relationships/header"/><Relationship Id="rId7" Target="header4.xml" Type="http://schemas.openxmlformats.org/officeDocument/2006/relationships/header"/><Relationship Id="rId8" Target="footer2.xml" Type="http://schemas.openxmlformats.org/officeDocument/2006/relationships/footer"/><Relationship Id="rId9" Target="footer3.xml" Type="http://schemas.openxmlformats.org/officeDocument/2006/relationships/footer"/></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37</Pages>
  <Words>14173</Words>
  <Characters>16465</Characters>
  <Lines>136</Lines>
  <Paragraphs>38</Paragraphs>
  <TotalTime>1</TotalTime>
  <ScaleCrop>false</ScaleCrop>
  <LinksUpToDate>false</LinksUpToDate>
  <CharactersWithSpaces>16492</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2021-02-19T03:58:00Z</dcterms:created>
  <dc:creator>guest</dc:creator>
  <cp:lastModifiedBy>Administrator</cp:lastModifiedBy>
  <cp:lastPrinted>2021-02-23T10:01:00Z</cp:lastPrinted>
  <dcterms:modified xsi:type="dcterms:W3CDTF">2024-04-03T06:36:37Z</dcterms:modified>
  <cp:revision>58</cp:revision>
  <dc:title>河北省委办公厅2021年部门预算信息公开情况说明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5AF30703B3364734A89ED9A9A790DBD4</vt:lpwstr>
  </property>
</Properties>
</file>