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widowControl/>
        <w:spacing w:line="400" w:lineRule="exact"/>
        <w:jc w:val="left"/>
        <w:rPr>
          <w:rFonts w:ascii="仿宋" w:hAnsi="仿宋" w:eastAsia="仿宋" w:cs="仿宋"/>
          <w:kern w:val="0"/>
          <w:sz w:val="32"/>
          <w:szCs w:val="32"/>
          <w:shd w:val="clear" w:color="auto" w:fill="FFFFFF"/>
          <w:lang w:bidi="ar"/>
        </w:rPr>
      </w:pPr>
    </w:p>
    <w:p>
      <w:pPr>
        <w:spacing w:line="480" w:lineRule="exact"/>
        <w:jc w:val="center"/>
        <w:rPr>
          <w:rFonts w:ascii="仿宋" w:hAnsi="仿宋" w:eastAsia="仿宋" w:cs="仿宋"/>
          <w:sz w:val="32"/>
          <w:szCs w:val="32"/>
        </w:rPr>
      </w:pPr>
      <w:r>
        <w:rPr>
          <w:rFonts w:hint="eastAsia" w:ascii="宋体" w:hAnsi="宋体"/>
          <w:b/>
          <w:sz w:val="44"/>
          <w:szCs w:val="44"/>
        </w:rPr>
        <w:t>部门整体支出绩效评价</w:t>
      </w:r>
      <w:r>
        <w:rPr>
          <w:rFonts w:hint="eastAsia" w:ascii="宋体" w:hAnsi="宋体" w:eastAsia="宋体" w:cs="宋体"/>
          <w:b/>
          <w:color w:val="000000"/>
          <w:kern w:val="0"/>
          <w:sz w:val="44"/>
          <w:szCs w:val="44"/>
          <w:shd w:val="clear" w:color="auto" w:fill="FFFFFF"/>
          <w:lang w:bidi="ar"/>
        </w:rPr>
        <w:t>指标体系评分表</w:t>
      </w:r>
    </w:p>
    <w:tbl>
      <w:tblPr>
        <w:tblStyle w:val="10"/>
        <w:tblW w:w="9370" w:type="dxa"/>
        <w:tblInd w:w="0" w:type="dxa"/>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108" w:type="dxa"/>
          <w:bottom w:w="0" w:type="dxa"/>
          <w:right w:w="108" w:type="dxa"/>
        </w:tblCellMar>
      </w:tblPr>
      <w:tblGrid>
        <w:gridCol w:w="779"/>
        <w:gridCol w:w="743"/>
        <w:gridCol w:w="1275"/>
        <w:gridCol w:w="3436"/>
        <w:gridCol w:w="2373"/>
        <w:gridCol w:w="764"/>
      </w:tblGrid>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39"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一级指标</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二级指标</w:t>
            </w:r>
          </w:p>
        </w:tc>
        <w:tc>
          <w:tcPr>
            <w:tcW w:w="4711" w:type="dxa"/>
            <w:gridSpan w:val="2"/>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三级指标</w:t>
            </w:r>
          </w:p>
        </w:tc>
        <w:tc>
          <w:tcPr>
            <w:tcW w:w="2373"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评分标准</w:t>
            </w:r>
          </w:p>
        </w:tc>
        <w:tc>
          <w:tcPr>
            <w:tcW w:w="764" w:type="dxa"/>
            <w:vMerge w:val="restart"/>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b/>
              </w:rPr>
            </w:pPr>
            <w:r>
              <w:rPr>
                <w:rFonts w:ascii="仿宋_GB2312" w:hAnsi="新宋体" w:eastAsia="仿宋_GB2312" w:cs="仿宋_GB2312"/>
                <w:b/>
                <w:kern w:val="0"/>
                <w:sz w:val="24"/>
                <w:szCs w:val="24"/>
                <w:lang w:bidi="ar"/>
              </w:rPr>
              <w:t>得分</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rPr>
                <w:rFonts w:ascii="宋体"/>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指标名称</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center"/>
              <w:rPr>
                <w:b/>
              </w:rPr>
            </w:pPr>
            <w:r>
              <w:rPr>
                <w:rFonts w:ascii="仿宋_GB2312" w:hAnsi="新宋体" w:eastAsia="仿宋_GB2312" w:cs="仿宋_GB2312"/>
                <w:b/>
                <w:kern w:val="0"/>
                <w:sz w:val="24"/>
                <w:szCs w:val="24"/>
                <w:lang w:bidi="ar"/>
              </w:rPr>
              <w:t>指标解释说明</w:t>
            </w:r>
          </w:p>
        </w:tc>
        <w:tc>
          <w:tcPr>
            <w:tcW w:w="2373"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c>
          <w:tcPr>
            <w:tcW w:w="764" w:type="dxa"/>
            <w:vMerge w:val="continue"/>
            <w:tcBorders>
              <w:top w:val="single" w:color="000000" w:sz="4" w:space="0"/>
              <w:left w:val="single" w:color="auto" w:sz="4" w:space="0"/>
              <w:bottom w:val="single" w:color="000000" w:sz="4" w:space="0"/>
              <w:right w:val="single" w:color="auto" w:sz="4" w:space="0"/>
            </w:tcBorders>
            <w:vAlign w:val="center"/>
          </w:tcPr>
          <w:p>
            <w:pPr>
              <w:rPr>
                <w:rFonts w:ascii="宋体"/>
                <w:szCs w:val="21"/>
              </w:rPr>
            </w:pP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投入（10）</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绩效目标设定情况</w:t>
            </w:r>
          </w:p>
          <w:p>
            <w:pPr>
              <w:widowControl/>
              <w:spacing w:line="240" w:lineRule="exact"/>
              <w:jc w:val="left"/>
              <w:rPr>
                <w:rFonts w:hint="eastAsia" w:ascii="仿宋_GB2312" w:hAnsi="仿宋_GB2312" w:eastAsia="仿宋_GB2312" w:cs="仿宋_GB2312"/>
                <w:color w:val="FF0000"/>
                <w:szCs w:val="21"/>
              </w:rPr>
            </w:pPr>
            <w:r>
              <w:rPr>
                <w:rFonts w:hint="eastAsia" w:ascii="仿宋_GB2312" w:hAnsi="仿宋_GB2312" w:eastAsia="仿宋_GB2312" w:cs="仿宋_GB2312"/>
                <w:kern w:val="0"/>
                <w:szCs w:val="21"/>
                <w:lang w:bidi="ar"/>
              </w:rPr>
              <w:t>（5分）</w:t>
            </w: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职责明确 （1分）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部门的职责设定是否符合“三定”方案中所赋予的职责，用以反映和评价部门工作的目的性与计划性。</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符合（1）；</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3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活动合规性（2分）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部门的活动是否在职责范围之内并符合部门中长期规划，用以反映和评价部门活动目标与部门履职、年度工作任务的相符性情况。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1.部门活动的设定在部门所确定的职责范围之内；</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2.部门活动符合市委、市政府的发展规划及本部门的年度工作安排与发展规划。</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活动合理性（2分）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部门所设立的活动是否明确合理、活动的关键性指标设置是否可衡量，用以反映和评价部门活动目标设定的合理性。</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1.活动目标的设定是可量化的，可通过清晰、可衡量的关键指标值予以体现；</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2.在活动目标设定时，将关键指标明细分解为具体的达成目标与工作任务。</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其中一项不符合（0）。</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预算配置情况(5分)</w:t>
            </w: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在职人员控制率（1分）</w:t>
            </w:r>
          </w:p>
        </w:tc>
        <w:tc>
          <w:tcPr>
            <w:tcW w:w="3436"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部门本年度实际在职人员数与编制数的比率，用以反映和评价部门对人员成本的控制程度。</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在职人员控制率=（在职人员数/编制数）×100%。</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在职人员数：部门实际在职人数，以财政部确定的部门决算编制口径为准，由编制部门和人劳部门批复同意的临聘人员除外。</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编制数：机构编制部门核定批复的部门人员编制数。</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1.在职人员控制率小于或等于100%的，得满分；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2.在职人员控制率大于或等于115%的，得0分；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3.在职人员控制率在100%-115%之间的，在0分和满分之间计算确定：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得分=[max（在职人员控制率）－某部门在职人员控制率]/[max（在职人员控制率）－min（在职人员控制率）]×该指标分值。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1</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restart"/>
            <w:tcBorders>
              <w:top w:val="single" w:color="000000" w:sz="4" w:space="0"/>
              <w:left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“三公经费”变动率（2分）</w:t>
            </w:r>
          </w:p>
        </w:tc>
        <w:tc>
          <w:tcPr>
            <w:tcW w:w="3436"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部门本年度“三公经费”预算数与上年度“三公经费”预算数的变动比率，用以反映和考核部门对控制重点行政成本的努力程度。“三公经费”变动率=[（本年度“三公经费”总额-上年度“三公经费”总额）/上年度“三公经费”总额]×100%。</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“三公经费”：年度预算安排的因公出国（境）费、公务车辆购置及运行费和公务招待费。</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小于或等于-5%的，得满分；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3.在职人员控制率在-5%-10%之间的，在0分和满分之间计算确定：</w:t>
            </w:r>
          </w:p>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得分=[max（</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]/[max（</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“三公经费”变动率</w:t>
            </w:r>
            <w:r>
              <w:rPr>
                <w:rFonts w:hint="eastAsia" w:ascii="仿宋_GB2312" w:hAnsi="仿宋_GB2312"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454" w:hRule="atLeast"/>
        </w:trPr>
        <w:tc>
          <w:tcPr>
            <w:tcW w:w="779" w:type="dxa"/>
            <w:vMerge w:val="continue"/>
            <w:tcBorders>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auto" w:sz="4" w:space="0"/>
              <w:left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重点支出安排率（2分）</w:t>
            </w:r>
          </w:p>
        </w:tc>
        <w:tc>
          <w:tcPr>
            <w:tcW w:w="3436" w:type="dxa"/>
            <w:tcBorders>
              <w:top w:val="single" w:color="auto" w:sz="4" w:space="0"/>
              <w:left w:val="single" w:color="auto"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color w:val="000000"/>
                <w:kern w:val="0"/>
                <w:szCs w:val="21"/>
                <w:lang w:bidi="ar"/>
              </w:rPr>
              <w:t>部门本年度预算安排的重点项目支出与部门项目总支出的比率，用以反映和考核部门对履行主要职责或完成重点任务的保障程度。重点支出安排率=（重点项目支出/项目总支出）×100%。</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重点项目支出：部门（单位）年度预算安排的，与本部门履职和发展密切相关、具有明显社会和经济影响、党委政府关心或社会比较关注的项目支出总额。</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项目总支出：部门（单位）年度预算安排的项目支出总额。</w:t>
            </w:r>
          </w:p>
        </w:tc>
        <w:tc>
          <w:tcPr>
            <w:tcW w:w="2373" w:type="dxa"/>
            <w:tcBorders>
              <w:top w:val="single" w:color="auto"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在85%-95%之间的，在0分和满分之间计算确定：</w:t>
            </w:r>
          </w:p>
          <w:p>
            <w:pPr>
              <w:widowControl/>
              <w:spacing w:line="240" w:lineRule="exact"/>
              <w:jc w:val="left"/>
              <w:textAlignment w:val="center"/>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得分=[某部门</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）]/[max（</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）－min（</w:t>
            </w:r>
            <w:r>
              <w:rPr>
                <w:rFonts w:hint="eastAsia" w:ascii="仿宋_GB2312" w:hAnsi="仿宋_GB2312" w:eastAsia="仿宋_GB2312" w:cs="仿宋_GB2312"/>
                <w:color w:val="000000"/>
                <w:kern w:val="0"/>
                <w:szCs w:val="21"/>
                <w:lang w:bidi="ar"/>
              </w:rPr>
              <w:t>重点支出安排率</w:t>
            </w:r>
            <w:r>
              <w:rPr>
                <w:rFonts w:hint="eastAsia" w:ascii="仿宋_GB2312" w:hAnsi="仿宋_GB2312" w:eastAsia="仿宋_GB2312" w:cs="仿宋_GB2312"/>
                <w:kern w:val="0"/>
                <w:szCs w:val="21"/>
                <w:lang w:bidi="ar"/>
              </w:rPr>
              <w:t>）]×该指标分值。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过程(45分)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预算执行情况(25分)</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预算完成率（5分）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通过对部门本年度预算完成数与预算数的比较，反映和评价部门预算的完成程度。</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预算完成率=（预算完成数/预算数）×100%。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1.预算完成率大于或等于95%的，得满分；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2.预算完成率小于或等于85%的，得0分；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3.预算完成率在85%-95%之间的，在0分和满分之间计算确定：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得分=[某部门预算完成率-min（预算完成率）]/[max（预算完成率）－min（预算完成率）]×该指标分值。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预算调整率（3分）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部门本年度预算调整数与预算数的比率，用以反映和评价部门预算的调整程度。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预算调整率=（预算调整数/预算数）×100%。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 xml:space="preserve">1.预算调整率等于0的，得满分； </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2.预算调整率大于或等于10%的，得0分；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3.预算调整率在0-10%之间的，在0分和满分之间确定：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得分=［max（预算调整率）-某部门预算调整率］/［max（预算调整率）-min（预算调整率）］×该指标分值。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84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支付进度率</w:t>
            </w:r>
            <w:r>
              <w:rPr>
                <w:rFonts w:hint="eastAsia" w:ascii="仿宋_GB2312" w:hAnsi="仿宋_GB2312" w:eastAsia="仿宋_GB2312" w:cs="仿宋_GB2312"/>
                <w:kern w:val="0"/>
                <w:szCs w:val="21"/>
                <w:lang w:bidi="ar"/>
              </w:rPr>
              <w:t>（5分）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部门年度支付数与年度任务数的比率，用以反映和评价部门预算执行的及时和均衡程度。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支付进度率=（年度支付数/年度任务数）×100%。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按年度的执行情况进行打分。得分=年度支付数/年度任务数×该指标分值。</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274"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结转结余率（4分）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通过对部门本年度结转结余总额与支出预算数的比较，反映和评价部门对本年度结转结余资金的实际控制程度。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结转结余率=（结转结余总额/支出预算数）×100%。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1.结转结余率等于0的，得满分；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2.结转结余率大于或等于50%的，得0分；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3.结转结余率在0-50%之间的，在0和满分之间计算确定：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得分=[max（结转结余率）－某部门结转结余率]/[max（结转结余率）－min（结转结余率）]×该指标分值。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61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公用经费控制率（4分）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通过对部门本年度实际支出的公用经费总额与预算安排的公用经费总额的比率，反映和评价部门对机构运转成本的实际控制程度。</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公用经费控制率=（实际支出公用经费总额/预算安排公用经费总额）×100%。</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1.公用经费控制率小于或等于100%的，得满分；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2.公用经费控制率大于或等于105%的，得0分；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3.公用经费控制率在100%-105%之间的，在0和满分之间计算确定：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得分=［max（公用经费控制率）-某部门公用经费控制率］/［max（公用经费控制率）-min（公用经费控制率）］×该指标分值。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110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政府采购执行率（4分）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通过对部门本年度实际政府采购预算项目个数与政府采购预算项目个数的比较，反映和评价部门政府采购预算执行情况。</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政府采购执行率=（实际政府采购预算项目个数/政府采购预算项目个数）×100%。</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政府采购项目中非预算内安排的项目除外。</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1.政府采购执行率等于100%的，得满分；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2.政府采购执行率小于或等于90%的，0分；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3.政府采购执行率在90%-100%之间的，在0和满分之间计算确定：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得分=［某部门政府采购执行率-min（政府采购执行率）］/［max（政府采购执行率）-min（政府采购执行率）］×该指标分值。</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预算管理情况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（15）</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资金使用合规性（8分）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部门使用预算资金是否符合相关的预算财务管理制度的规定，反映和评价部门预算资金的规范运行情况。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1.符合国家财经法规和财务管理制度规定以及有关部门资金管理办法的规定；</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2.资金的拨付有完整的审批过程和手续；</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3.项目的重大开支经过评估论证；</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4.符合部门预算批复的用途；</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5.不存在截留情况；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6.不存在挤占情况；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7.不存在挪用情况；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8.不存在虚列支出情况。</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全部符合（8）；</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符合其中七项（6）；</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符合其中六项（4）；</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符合其中五项（2）；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符合其中四项及以下（0）。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8</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预决算信息公开性（3分）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部门是否按照政府信息公开有关规定公开相关预决算信息，用以反映和评价部门预决算管理的公开透明情况。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预决算信息是指与部门预算、执行、决算、监督、绩效等管理相关的信息。</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1.公开预决算信息；</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2.按规定内容公开预决算信息；</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3.按规定时限公开预决算信息。</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全部符合（3）；</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基础信息完善性</w:t>
            </w:r>
            <w:r>
              <w:rPr>
                <w:rFonts w:hint="eastAsia" w:ascii="仿宋_GB2312" w:hAnsi="仿宋_GB2312" w:eastAsia="仿宋_GB2312" w:cs="仿宋_GB2312"/>
                <w:kern w:val="0"/>
                <w:szCs w:val="21"/>
                <w:lang w:bidi="ar"/>
              </w:rPr>
              <w:t>（4分）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部门基础信息是否完善，用以反映和评价基础信息对预算管理工作的支撑情况。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1.基本财务管理制度健全；</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2.基础数据信息和会计信息资料真实；</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3.基础数据信息和会计信息资料完整；</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4.基础数据信息和会计信息资料准确。</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符合全部四项（4）；</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符合其中三项（2）；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符合其中两项（1）；</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符合其中一项及以下（0）。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4</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资产管理情况（5分）</w:t>
            </w:r>
          </w:p>
        </w:tc>
        <w:tc>
          <w:tcPr>
            <w:tcW w:w="1275"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资产管理完整性（2分）</w:t>
            </w:r>
          </w:p>
        </w:tc>
        <w:tc>
          <w:tcPr>
            <w:tcW w:w="3436"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部门的资产是否保存完整、使用合规、收入及时足额上缴，用以反映和评价部门资产运行情况。</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评价要点：</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1.资产保存完整；</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2.资产账务管理是否合规，帐实相符；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3.资产有偿使用及处置收入及时足额上缴。</w:t>
            </w:r>
          </w:p>
        </w:tc>
        <w:tc>
          <w:tcPr>
            <w:tcW w:w="2373"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符合全部三项（3）；</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符合其中两项（2）；</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符合其中一项（1）；</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符合零项（0）。</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auto"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固定资产利用率（3分）</w:t>
            </w:r>
          </w:p>
        </w:tc>
        <w:tc>
          <w:tcPr>
            <w:tcW w:w="3436" w:type="dxa"/>
            <w:tcBorders>
              <w:top w:val="single" w:color="auto" w:sz="4" w:space="0"/>
              <w:left w:val="single" w:color="auto"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部门实际在用固定资产总额与所有固定资产总额的比率，用以反映和评价部门固定资产使用效率。</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固定资产利用率=（实际在用固定资产总额/所有固定资产总额）×100%。</w:t>
            </w:r>
          </w:p>
        </w:tc>
        <w:tc>
          <w:tcPr>
            <w:tcW w:w="2373" w:type="dxa"/>
            <w:tcBorders>
              <w:top w:val="single" w:color="auto"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1.固定资产利用率大于或等于95%的，得满分；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2.固定资产利用率小于或等于85%的，得0分；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3.固定资产利用率在85%-95%之间的，在0和满分之间计算确定：</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得分=［某部门固定资产利用率-min（固定资产利用率）］/［max（固定资产利用率）-min（固定资产利用率）］×该指标分值。</w:t>
            </w:r>
          </w:p>
        </w:tc>
        <w:tc>
          <w:tcPr>
            <w:tcW w:w="764" w:type="dxa"/>
            <w:tcBorders>
              <w:top w:val="single" w:color="auto"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3</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产出(25分)</w:t>
            </w:r>
          </w:p>
        </w:tc>
        <w:tc>
          <w:tcPr>
            <w:tcW w:w="743"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职责履行情况（25）</w:t>
            </w:r>
          </w:p>
        </w:tc>
        <w:tc>
          <w:tcPr>
            <w:tcW w:w="1275" w:type="dxa"/>
            <w:tcBorders>
              <w:top w:val="single" w:color="000000" w:sz="4" w:space="0"/>
              <w:left w:val="single" w:color="000000" w:sz="4" w:space="0"/>
              <w:bottom w:val="single" w:color="auto"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履职完成情况（10分）</w:t>
            </w:r>
          </w:p>
        </w:tc>
        <w:tc>
          <w:tcPr>
            <w:tcW w:w="3436"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根据年度主要任务分解表的具体任务，逐项评价任务量化指标完成情况、实施效果和责任制建立情况。用以反映和考核部门（单位）履职工作任务目标的完成情况。评价要点：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1.每项任务是否已制定了明确、具体、可量化、可衡量的绩效指标；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2.每项任务绩效指标的完成情况，是全部完成、基本完成、未完成，还是未实施；</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3.每项任务实施效果情况，是优秀、良好、一般，还是无效果；</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4.每项任务是否建立了目标责任制，是否落实到具体部门和人员负责。</w:t>
            </w:r>
          </w:p>
        </w:tc>
        <w:tc>
          <w:tcPr>
            <w:tcW w:w="2373" w:type="dxa"/>
            <w:tcBorders>
              <w:top w:val="single" w:color="000000" w:sz="4" w:space="0"/>
              <w:left w:val="single" w:color="auto" w:sz="4" w:space="0"/>
              <w:bottom w:val="single" w:color="auto"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根据不同部门履职的内容和特点，具体测算部门履职工作任务目标的完成情况。</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9</w:t>
            </w:r>
            <w:bookmarkStart w:id="0" w:name="_GoBack"/>
            <w:bookmarkEnd w:id="0"/>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3090"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1275" w:type="dxa"/>
            <w:tcBorders>
              <w:top w:val="single" w:color="000000" w:sz="4" w:space="0"/>
              <w:left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项目完成质量达标率（15）</w:t>
            </w:r>
          </w:p>
        </w:tc>
        <w:tc>
          <w:tcPr>
            <w:tcW w:w="3436"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部门已完成项目中质量达标项目个数占已完成项目个数的比率,用以反映和评价部门履职质量目标的实现程度。</w:t>
            </w:r>
          </w:p>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项目质量达标率=（已完成项目中质量达标项目个数/已完成项目个数）×100%。</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项目质量达标是指项目决算验收合格。</w:t>
            </w:r>
          </w:p>
        </w:tc>
        <w:tc>
          <w:tcPr>
            <w:tcW w:w="2373" w:type="dxa"/>
            <w:tcBorders>
              <w:top w:val="single" w:color="000000" w:sz="4" w:space="0"/>
              <w:left w:val="single" w:color="auto"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1.项目质量达标率等于100%的，得满分；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2.项目质量达标率小于或等于99%的，得0分；</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 xml:space="preserve">3.项目质量达标率在99%-100%之间的，在0和满分之间计算确定： </w:t>
            </w:r>
          </w:p>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得分=［某部门项目质量达标率-min（项目质量达标率）］/［max（项目质量达标率）-min（项目质量达标率）］×该指标分值。</w:t>
            </w:r>
          </w:p>
        </w:tc>
        <w:tc>
          <w:tcPr>
            <w:tcW w:w="764" w:type="dxa"/>
            <w:tcBorders>
              <w:top w:val="single" w:color="000000" w:sz="4" w:space="0"/>
              <w:left w:val="single" w:color="auto" w:sz="4" w:space="0"/>
              <w:bottom w:val="single" w:color="auto" w:sz="4" w:space="0"/>
              <w:right w:val="single" w:color="000000" w:sz="4" w:space="0"/>
            </w:tcBorders>
            <w:vAlign w:val="center"/>
          </w:tcPr>
          <w:p>
            <w:pPr>
              <w:widowControl/>
              <w:spacing w:line="240" w:lineRule="exact"/>
              <w:jc w:val="left"/>
              <w:rPr>
                <w:rFonts w:hint="default" w:eastAsiaTheme="minorEastAsia"/>
                <w:szCs w:val="21"/>
                <w:lang w:val="en-US" w:eastAsia="zh-CN"/>
              </w:rPr>
            </w:pPr>
            <w:r>
              <w:rPr>
                <w:rFonts w:hint="eastAsia"/>
                <w:szCs w:val="21"/>
                <w:lang w:val="en-US" w:eastAsia="zh-CN"/>
              </w:rPr>
              <w:t>12</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restart"/>
            <w:tcBorders>
              <w:top w:val="single" w:color="000000" w:sz="4" w:space="0"/>
              <w:left w:val="single" w:color="000000" w:sz="4" w:space="0"/>
              <w:bottom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效果（20分）</w:t>
            </w:r>
          </w:p>
        </w:tc>
        <w:tc>
          <w:tcPr>
            <w:tcW w:w="743" w:type="dxa"/>
            <w:vMerge w:val="restart"/>
            <w:tcBorders>
              <w:top w:val="single" w:color="auto" w:sz="4" w:space="0"/>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p>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履职效益情况</w:t>
            </w:r>
          </w:p>
          <w:p>
            <w:pPr>
              <w:widowControl/>
              <w:spacing w:line="240" w:lineRule="exact"/>
              <w:jc w:val="left"/>
              <w:rPr>
                <w:rFonts w:hint="eastAsia" w:ascii="仿宋_GB2312" w:hAnsi="仿宋_GB2312" w:eastAsia="仿宋_GB2312" w:cs="仿宋_GB2312"/>
                <w:kern w:val="0"/>
                <w:szCs w:val="21"/>
                <w:lang w:bidi="ar"/>
              </w:rPr>
            </w:pPr>
            <w:r>
              <w:rPr>
                <w:rFonts w:hint="eastAsia" w:ascii="仿宋_GB2312" w:hAnsi="仿宋_GB2312" w:eastAsia="仿宋_GB2312" w:cs="仿宋_GB2312"/>
                <w:kern w:val="0"/>
                <w:szCs w:val="21"/>
                <w:lang w:bidi="ar"/>
              </w:rPr>
              <w:t>（20分）</w:t>
            </w: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经济效益</w:t>
            </w:r>
            <w:r>
              <w:rPr>
                <w:rFonts w:hint="eastAsia" w:ascii="仿宋_GB2312" w:hAnsi="仿宋_GB2312" w:eastAsia="仿宋_GB2312" w:cs="仿宋_GB2312"/>
                <w:kern w:val="0"/>
                <w:szCs w:val="21"/>
                <w:lang w:bidi="ar"/>
              </w:rPr>
              <w:t>（5分）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部门及所属二级单位通过履行职责和预算安排支出项目的实施，对我市带来的经济影响。</w:t>
            </w:r>
          </w:p>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1.通过部门所属企事业单位改革，促进了企事业单位效益增长情况；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2.通过预算支出项目的实施，促进了行业生产能力增长，从而带动行业经济效益增长；</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3.通过预算支出项目的实施，有效提高劳动效率，节约成本费用；</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4.通过预算支出项目的实施，降低了损耗，从而提高了生产效益；</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5.通过预算支出项目的实施，完善了突发情况的监测预警，保障了生产安全，降低了生产损失。</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根据不同部门履职的内容和特点，具体测算部门履职产生的经济效益。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社会效益（5分）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部门及所属二级单位履行职责对社会发展所带来的直接或间接影响。</w:t>
            </w:r>
          </w:p>
          <w:p>
            <w:pPr>
              <w:widowControl/>
              <w:spacing w:line="240" w:lineRule="exac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 xml:space="preserve">1.通过部门所属企事业单位的改革，促进了企事业单位可持续发展，带动就业增长情况；          </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2.通过预算支出项目的实施，是否明显促进了行业精神文明建设；</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3.通过部门履职是否明显提高城乡居民生活水平，满足了人们日益增长的物质与文化生活需求；</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4.通过预算项目的实施，是否提高了劳动生产率，降低了劳动强度，促进了劳动人民的身心健康；</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5.通过部门履职行业形象是否得到了大大提升了，增强了部门影响力。</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根据不同部门履职的内容和特点，具体测算部门履职产生的社会效益。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743" w:type="dxa"/>
            <w:vMerge w:val="continue"/>
            <w:tcBorders>
              <w:left w:val="single" w:color="000000" w:sz="4" w:space="0"/>
              <w:right w:val="single" w:color="000000" w:sz="4" w:space="0"/>
            </w:tcBorders>
            <w:vAlign w:val="center"/>
          </w:tcPr>
          <w:p>
            <w:pPr>
              <w:widowControl/>
              <w:spacing w:line="240" w:lineRule="exact"/>
              <w:jc w:val="left"/>
              <w:rPr>
                <w:rFonts w:hint="eastAsia" w:ascii="仿宋_GB2312" w:hAnsi="仿宋_GB2312" w:eastAsia="仿宋_GB2312" w:cs="仿宋_GB2312"/>
                <w:kern w:val="0"/>
                <w:szCs w:val="21"/>
                <w:lang w:bidi="ar"/>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生态效益（5分）</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部门及所属二级单位履行职责对生态环境所带来的直接或间接影响。</w:t>
            </w:r>
          </w:p>
          <w:p>
            <w:pPr>
              <w:widowControl/>
              <w:spacing w:line="240" w:lineRule="exact"/>
              <w:jc w:val="left"/>
              <w:textAlignment w:val="center"/>
              <w:rPr>
                <w:rFonts w:hint="eastAsia" w:ascii="仿宋_GB2312" w:hAnsi="仿宋_GB2312" w:eastAsia="仿宋_GB2312" w:cs="仿宋_GB2312"/>
                <w:color w:val="000000"/>
                <w:kern w:val="0"/>
                <w:szCs w:val="21"/>
                <w:lang w:bidi="ar"/>
              </w:rPr>
            </w:pPr>
            <w:r>
              <w:rPr>
                <w:rFonts w:hint="eastAsia" w:ascii="仿宋_GB2312" w:hAnsi="仿宋_GB2312" w:eastAsia="仿宋_GB2312" w:cs="仿宋_GB2312"/>
                <w:color w:val="000000"/>
                <w:kern w:val="0"/>
                <w:szCs w:val="21"/>
                <w:lang w:bidi="ar"/>
              </w:rPr>
              <w:t>评价要点：</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1.通过预算支出项目的实施，绿色、节能环保新技术的应用和推广，明显带动各环节的节能减排，也具有一定的环境效益；</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2.通过履职有效地控制虚假、伪劣、霉变等劣质产品进入市场，影响了人民生活质量，净化地市场环境；</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3.通过预算支出项目的实施，是否达到减少污染物排放；</w:t>
            </w:r>
            <w:r>
              <w:rPr>
                <w:rFonts w:hint="eastAsia" w:ascii="仿宋_GB2312" w:hAnsi="仿宋_GB2312" w:eastAsia="仿宋_GB2312" w:cs="仿宋_GB2312"/>
                <w:color w:val="000000"/>
                <w:kern w:val="0"/>
                <w:szCs w:val="21"/>
                <w:lang w:bidi="ar"/>
              </w:rPr>
              <w:br w:type="textWrapping"/>
            </w:r>
            <w:r>
              <w:rPr>
                <w:rFonts w:hint="eastAsia" w:ascii="仿宋_GB2312" w:hAnsi="仿宋_GB2312" w:eastAsia="仿宋_GB2312" w:cs="仿宋_GB2312"/>
                <w:color w:val="000000"/>
                <w:kern w:val="0"/>
                <w:szCs w:val="21"/>
                <w:lang w:bidi="ar"/>
              </w:rPr>
              <w:t>4.通过预算支出项目的实施，周围环境得到了整治，面貌得到了改善。</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jc w:val="left"/>
              <w:textAlignment w:val="center"/>
              <w:rPr>
                <w:rFonts w:hint="eastAsia" w:ascii="仿宋_GB2312" w:hAnsi="仿宋_GB2312" w:eastAsia="仿宋_GB2312" w:cs="仿宋_GB2312"/>
                <w:szCs w:val="21"/>
              </w:rPr>
            </w:pPr>
            <w:r>
              <w:rPr>
                <w:rFonts w:hint="eastAsia" w:ascii="仿宋_GB2312" w:hAnsi="仿宋_GB2312" w:eastAsia="仿宋_GB2312" w:cs="仿宋_GB2312"/>
                <w:color w:val="000000"/>
                <w:kern w:val="0"/>
                <w:szCs w:val="21"/>
                <w:lang w:bidi="ar"/>
              </w:rPr>
              <w:t>根据不同部门履职的内容和特点，具体测算部门履职产生的生态效益。</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r>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108" w:type="dxa"/>
            <w:bottom w:w="0" w:type="dxa"/>
            <w:right w:w="108" w:type="dxa"/>
          </w:tblCellMar>
        </w:tblPrEx>
        <w:trPr>
          <w:trHeight w:val="68" w:hRule="atLeast"/>
        </w:trPr>
        <w:tc>
          <w:tcPr>
            <w:tcW w:w="779" w:type="dxa"/>
            <w:vMerge w:val="continue"/>
            <w:tcBorders>
              <w:top w:val="single" w:color="000000" w:sz="4" w:space="0"/>
              <w:left w:val="single" w:color="000000" w:sz="4" w:space="0"/>
              <w:bottom w:val="single" w:color="000000" w:sz="4" w:space="0"/>
              <w:right w:val="single" w:color="000000" w:sz="4" w:space="0"/>
            </w:tcBorders>
            <w:vAlign w:val="center"/>
          </w:tcPr>
          <w:p>
            <w:pPr>
              <w:spacing w:line="240" w:lineRule="exact"/>
              <w:rPr>
                <w:rFonts w:hint="eastAsia" w:ascii="仿宋_GB2312" w:hAnsi="仿宋_GB2312" w:eastAsia="仿宋_GB2312" w:cs="仿宋_GB2312"/>
                <w:szCs w:val="21"/>
              </w:rPr>
            </w:pPr>
          </w:p>
        </w:tc>
        <w:tc>
          <w:tcPr>
            <w:tcW w:w="743" w:type="dxa"/>
            <w:vMerge w:val="continue"/>
            <w:tcBorders>
              <w:left w:val="single" w:color="000000" w:sz="4" w:space="0"/>
              <w:bottom w:val="single" w:color="auto" w:sz="4" w:space="0"/>
              <w:right w:val="single" w:color="000000" w:sz="4" w:space="0"/>
            </w:tcBorders>
            <w:vAlign w:val="center"/>
          </w:tcPr>
          <w:p>
            <w:pPr>
              <w:widowControl/>
              <w:spacing w:line="240" w:lineRule="exact"/>
              <w:jc w:val="left"/>
              <w:rPr>
                <w:rFonts w:hint="eastAsia" w:ascii="仿宋_GB2312" w:hAnsi="仿宋_GB2312" w:eastAsia="仿宋_GB2312" w:cs="仿宋_GB2312"/>
                <w:szCs w:val="21"/>
              </w:rPr>
            </w:pPr>
          </w:p>
        </w:tc>
        <w:tc>
          <w:tcPr>
            <w:tcW w:w="1275" w:type="dxa"/>
            <w:tcBorders>
              <w:top w:val="single" w:color="000000" w:sz="4" w:space="0"/>
              <w:left w:val="single" w:color="000000" w:sz="4" w:space="0"/>
              <w:bottom w:val="single" w:color="000000" w:sz="4" w:space="0"/>
              <w:right w:val="single" w:color="auto" w:sz="4" w:space="0"/>
            </w:tcBorders>
            <w:vAlign w:val="center"/>
          </w:tcPr>
          <w:p>
            <w:pPr>
              <w:widowControl/>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服务对象满意度（5）</w:t>
            </w:r>
          </w:p>
        </w:tc>
        <w:tc>
          <w:tcPr>
            <w:tcW w:w="3436" w:type="dxa"/>
            <w:tcBorders>
              <w:top w:val="single" w:color="000000" w:sz="4" w:space="0"/>
              <w:left w:val="single" w:color="auto" w:sz="4" w:space="0"/>
              <w:bottom w:val="single" w:color="000000" w:sz="4" w:space="0"/>
              <w:right w:val="single" w:color="auto" w:sz="4" w:space="0"/>
            </w:tcBorders>
            <w:vAlign w:val="center"/>
          </w:tcPr>
          <w:p>
            <w:pPr>
              <w:widowControl/>
              <w:pBdr>
                <w:top w:val="none" w:color="000000" w:sz="0" w:space="0"/>
                <w:left w:val="none" w:color="000000" w:sz="0" w:space="0"/>
                <w:bottom w:val="none" w:color="000000" w:sz="0" w:space="0"/>
                <w:right w:val="none" w:color="000000" w:sz="0" w:space="0"/>
              </w:pBdr>
              <w:spacing w:line="240" w:lineRule="exact"/>
              <w:jc w:val="left"/>
              <w:rPr>
                <w:rFonts w:hint="eastAsia" w:ascii="仿宋_GB2312" w:hAnsi="仿宋_GB2312" w:eastAsia="仿宋_GB2312" w:cs="仿宋_GB2312"/>
                <w:szCs w:val="21"/>
              </w:rPr>
            </w:pPr>
            <w:r>
              <w:rPr>
                <w:rFonts w:hint="eastAsia" w:ascii="仿宋_GB2312" w:hAnsi="仿宋_GB2312" w:eastAsia="仿宋_GB2312" w:cs="仿宋_GB2312"/>
                <w:kern w:val="0"/>
                <w:szCs w:val="21"/>
                <w:lang w:bidi="ar"/>
              </w:rPr>
              <w:t>通过对部门（单位）的服务对象对部门履职效果的满意程度调查，反映和考核社会公众或服务对象对部门履职的满意度。</w:t>
            </w:r>
          </w:p>
        </w:tc>
        <w:tc>
          <w:tcPr>
            <w:tcW w:w="2373" w:type="dxa"/>
            <w:tcBorders>
              <w:top w:val="single" w:color="000000" w:sz="4" w:space="0"/>
              <w:left w:val="single" w:color="auto" w:sz="4" w:space="0"/>
              <w:bottom w:val="single" w:color="000000" w:sz="4" w:space="0"/>
              <w:right w:val="single" w:color="auto" w:sz="4" w:space="0"/>
            </w:tcBorders>
            <w:vAlign w:val="center"/>
          </w:tcPr>
          <w:p>
            <w:pPr>
              <w:widowControl/>
              <w:spacing w:line="240" w:lineRule="exact"/>
              <w:rPr>
                <w:rFonts w:hint="eastAsia" w:ascii="仿宋_GB2312" w:hAnsi="仿宋_GB2312" w:eastAsia="仿宋_GB2312" w:cs="仿宋_GB2312"/>
                <w:kern w:val="0"/>
                <w:szCs w:val="21"/>
              </w:rPr>
            </w:pPr>
            <w:r>
              <w:rPr>
                <w:rFonts w:hint="eastAsia" w:ascii="仿宋_GB2312" w:hAnsi="仿宋_GB2312" w:eastAsia="仿宋_GB2312" w:cs="仿宋_GB2312"/>
                <w:kern w:val="0"/>
                <w:szCs w:val="21"/>
              </w:rPr>
              <w:t>按照满意度调查的优秀、良好、合格、不合格给予该项指标打分：</w:t>
            </w:r>
          </w:p>
          <w:p>
            <w:pPr>
              <w:widowControl/>
              <w:spacing w:line="240" w:lineRule="exact"/>
              <w:rPr>
                <w:rFonts w:hint="eastAsia" w:ascii="仿宋_GB2312" w:hAnsi="仿宋_GB2312" w:eastAsia="仿宋_GB2312" w:cs="仿宋_GB2312"/>
                <w:szCs w:val="21"/>
              </w:rPr>
            </w:pPr>
            <w:r>
              <w:rPr>
                <w:rFonts w:hint="eastAsia" w:ascii="仿宋_GB2312" w:hAnsi="仿宋_GB2312" w:eastAsia="仿宋_GB2312" w:cs="仿宋_GB2312"/>
                <w:kern w:val="0"/>
                <w:szCs w:val="21"/>
              </w:rPr>
              <w:t>优秀（5）；良好（3）；合格（1）；不合格（0）。</w:t>
            </w:r>
          </w:p>
        </w:tc>
        <w:tc>
          <w:tcPr>
            <w:tcW w:w="764" w:type="dxa"/>
            <w:tcBorders>
              <w:top w:val="single" w:color="000000" w:sz="4" w:space="0"/>
              <w:left w:val="single" w:color="auto" w:sz="4" w:space="0"/>
              <w:bottom w:val="single" w:color="000000" w:sz="4" w:space="0"/>
              <w:right w:val="single" w:color="000000" w:sz="4" w:space="0"/>
            </w:tcBorders>
            <w:vAlign w:val="center"/>
          </w:tcPr>
          <w:p>
            <w:pPr>
              <w:widowControl/>
              <w:spacing w:line="240" w:lineRule="exact"/>
              <w:jc w:val="left"/>
              <w:rPr>
                <w:rFonts w:hint="eastAsia" w:eastAsiaTheme="minorEastAsia"/>
                <w:szCs w:val="21"/>
                <w:lang w:val="en-US" w:eastAsia="zh-CN"/>
              </w:rPr>
            </w:pPr>
            <w:r>
              <w:rPr>
                <w:rFonts w:hint="eastAsia"/>
                <w:szCs w:val="21"/>
                <w:lang w:val="en-US" w:eastAsia="zh-CN"/>
              </w:rPr>
              <w:t>5</w:t>
            </w:r>
          </w:p>
        </w:tc>
      </w:tr>
    </w:tbl>
    <w:p>
      <w:pPr>
        <w:spacing w:line="240" w:lineRule="exact"/>
        <w:rPr>
          <w:rFonts w:ascii="仿宋" w:hAnsi="仿宋" w:eastAsia="仿宋" w:cs="仿宋"/>
          <w:sz w:val="32"/>
          <w:szCs w:val="32"/>
        </w:rPr>
      </w:pPr>
    </w:p>
    <w:p>
      <w:pPr>
        <w:pStyle w:val="2"/>
        <w:ind w:left="0" w:leftChars="0" w:firstLine="600" w:firstLineChars="200"/>
      </w:pPr>
      <w:r>
        <w:rPr>
          <w:rFonts w:hint="eastAsia" w:ascii="仿宋" w:hAnsi="仿宋" w:eastAsia="仿宋"/>
          <w:color w:val="000000"/>
          <w:sz w:val="30"/>
          <w:szCs w:val="24"/>
        </w:rPr>
        <w:t>本次绩效评价，我们根据实际情况，暂定项目绩效总分100分，确定了评分扣减项目，</w:t>
      </w:r>
      <w:r>
        <w:rPr>
          <w:rFonts w:hint="eastAsia" w:ascii="仿宋" w:hAnsi="仿宋" w:eastAsia="仿宋"/>
          <w:color w:val="000000"/>
          <w:sz w:val="30"/>
          <w:szCs w:val="24"/>
          <w:lang w:eastAsia="zh-CN"/>
        </w:rPr>
        <w:t>部门预算项</w:t>
      </w:r>
      <w:r>
        <w:rPr>
          <w:rFonts w:hint="eastAsia" w:ascii="仿宋" w:hAnsi="仿宋" w:eastAsia="仿宋"/>
          <w:color w:val="auto"/>
          <w:sz w:val="30"/>
          <w:szCs w:val="24"/>
          <w:lang w:eastAsia="zh-CN"/>
        </w:rPr>
        <w:t>目</w:t>
      </w:r>
      <w:r>
        <w:rPr>
          <w:rFonts w:hint="eastAsia" w:ascii="仿宋" w:hAnsi="仿宋" w:eastAsia="仿宋"/>
          <w:bCs/>
          <w:color w:val="auto"/>
          <w:sz w:val="30"/>
          <w:szCs w:val="24"/>
        </w:rPr>
        <w:t>综合得分</w:t>
      </w:r>
      <w:r>
        <w:rPr>
          <w:rFonts w:hint="eastAsia" w:ascii="仿宋" w:hAnsi="仿宋" w:eastAsia="仿宋"/>
          <w:bCs/>
          <w:color w:val="auto"/>
          <w:sz w:val="30"/>
          <w:szCs w:val="24"/>
          <w:lang w:val="en-US" w:eastAsia="zh-CN"/>
        </w:rPr>
        <w:t>95</w:t>
      </w:r>
      <w:r>
        <w:rPr>
          <w:rFonts w:hint="eastAsia" w:ascii="仿宋" w:hAnsi="仿宋" w:eastAsia="仿宋"/>
          <w:bCs/>
          <w:color w:val="auto"/>
          <w:sz w:val="30"/>
          <w:szCs w:val="24"/>
        </w:rPr>
        <w:t>分，评价结论为良。</w:t>
      </w:r>
    </w:p>
    <w:p>
      <w:pPr>
        <w:spacing w:line="240" w:lineRule="auto"/>
        <w:rPr>
          <w:rFonts w:hint="eastAsia" w:ascii="仿宋" w:hAnsi="仿宋" w:eastAsia="仿宋" w:cs="仿宋"/>
          <w:b/>
          <w:bCs/>
          <w:sz w:val="30"/>
          <w:szCs w:val="30"/>
          <w:lang w:val="en-US" w:eastAsia="zh-CN"/>
        </w:rPr>
      </w:pPr>
      <w:r>
        <w:rPr>
          <w:rFonts w:hint="eastAsia" w:ascii="仿宋" w:hAnsi="仿宋" w:eastAsia="仿宋" w:cs="仿宋"/>
          <w:b/>
          <w:bCs/>
          <w:sz w:val="30"/>
          <w:szCs w:val="30"/>
          <w:lang w:val="en-US" w:eastAsia="zh-CN"/>
        </w:rPr>
        <w:t>部门整体支出绩效评价报告主要内容包括：</w:t>
      </w:r>
    </w:p>
    <w:p>
      <w:pPr>
        <w:keepNext w:val="0"/>
        <w:keepLines w:val="0"/>
        <w:pageBreakBefore w:val="0"/>
        <w:widowControl w:val="0"/>
        <w:numPr>
          <w:ilvl w:val="0"/>
          <w:numId w:val="1"/>
        </w:numPr>
        <w:kinsoku/>
        <w:wordWrap/>
        <w:overflowPunct/>
        <w:topLinePunct w:val="0"/>
        <w:autoSpaceDE/>
        <w:autoSpaceDN/>
        <w:bidi w:val="0"/>
        <w:adjustRightInd/>
        <w:snapToGrid/>
        <w:ind w:firstLine="640" w:firstLineChars="200"/>
        <w:textAlignment w:val="auto"/>
        <w:rPr>
          <w:rFonts w:hint="eastAsia" w:ascii="仿宋" w:hAnsi="仿宋" w:eastAsia="仿宋" w:cstheme="minorBidi"/>
          <w:color w:val="000000"/>
          <w:kern w:val="2"/>
          <w:sz w:val="30"/>
          <w:szCs w:val="24"/>
          <w:lang w:val="en-US" w:eastAsia="zh-CN" w:bidi="ar-SA"/>
        </w:rPr>
      </w:pPr>
      <w:r>
        <w:rPr>
          <w:rFonts w:hint="eastAsia" w:ascii="仿宋" w:hAnsi="仿宋" w:eastAsia="仿宋" w:cs="仿宋"/>
          <w:sz w:val="32"/>
          <w:szCs w:val="32"/>
          <w:lang w:val="en-US" w:eastAsia="zh-CN"/>
        </w:rPr>
        <w:t>基本概况。</w:t>
      </w:r>
      <w:r>
        <w:rPr>
          <w:rFonts w:hint="eastAsia" w:ascii="仿宋" w:hAnsi="仿宋" w:eastAsia="仿宋" w:cstheme="minorBidi"/>
          <w:color w:val="000000"/>
          <w:kern w:val="2"/>
          <w:sz w:val="30"/>
          <w:szCs w:val="24"/>
          <w:lang w:val="en-US" w:eastAsia="zh-CN" w:bidi="ar-SA"/>
        </w:rPr>
        <w:t>隆尧县大张家庄乡人民政府为乡政府工作部门，机构规格正科级，位于隆尧县大张家庄村，乡政府主要职能：⑴制定和组织实施经济、科技和社会发展计划，制定资源开发技术改造和产业结构调整方案，组织指导好各业生产，搞好商品流通，协调好本镇与外地区的经济交流与合作，抓好招商引资，人才引进项目开发，不断培育市场体系，组织经济运行，促进经济发展。⑵制定并组织实施村镇建设规划，部署重点工程建设，地方道路建设及公共设施，水利设施的管理，负责土地、林木、水等自然资源和生态环境的保护，做好护林防火工作。⑶负责本行政区域内的民政、计划生育、文化教育、卫生、体育等社会公益事业的综合性工作，维护一切经济单位和个人的正当经济权益，取缔非法经济活动，调解和处理民事纠纷，打击刑事犯罪维护社会稳定。⑷按计划组织本级财政收入和地方税的征收，完成国家财政计划，不断培植税源，管好财政资金，增强财政实力。⑸抓好精神文明建设，丰富群众文化生活，提倡移风易俗，反对封建迷信，破除陈规陋习，树立社会主义新风尚。⑹完成上级政府交办的其它事项。</w:t>
      </w:r>
    </w:p>
    <w:p>
      <w:pPr>
        <w:pStyle w:val="5"/>
        <w:keepNext w:val="0"/>
        <w:keepLines w:val="0"/>
        <w:pageBreakBefore w:val="0"/>
        <w:widowControl w:val="0"/>
        <w:kinsoku/>
        <w:wordWrap/>
        <w:overflowPunct/>
        <w:topLinePunct w:val="0"/>
        <w:autoSpaceDE w:val="0"/>
        <w:autoSpaceDN w:val="0"/>
        <w:bidi w:val="0"/>
        <w:adjustRightInd w:val="0"/>
        <w:snapToGrid w:val="0"/>
        <w:spacing w:after="0" w:line="360" w:lineRule="auto"/>
        <w:ind w:firstLine="632" w:firstLineChars="200"/>
        <w:textAlignment w:val="auto"/>
        <w:rPr>
          <w:rFonts w:hint="eastAsia" w:ascii="仿宋" w:hAnsi="仿宋" w:eastAsia="仿宋" w:cstheme="minorBidi"/>
          <w:color w:val="000000"/>
          <w:spacing w:val="0"/>
          <w:kern w:val="2"/>
          <w:sz w:val="30"/>
          <w:szCs w:val="24"/>
          <w:lang w:val="en-US" w:eastAsia="zh-CN" w:bidi="ar-SA"/>
        </w:rPr>
      </w:pPr>
      <w:r>
        <w:rPr>
          <w:rFonts w:hint="eastAsia" w:ascii="仿宋" w:hAnsi="仿宋" w:eastAsia="仿宋" w:cs="仿宋"/>
          <w:sz w:val="32"/>
          <w:szCs w:val="32"/>
          <w:lang w:val="en-US" w:eastAsia="zh-CN"/>
        </w:rPr>
        <w:t>（二）预算绩效管理开展及整体绩效实现情况。</w:t>
      </w:r>
      <w:r>
        <w:rPr>
          <w:rFonts w:hint="eastAsia" w:ascii="仿宋" w:hAnsi="仿宋" w:eastAsia="仿宋" w:cstheme="minorBidi"/>
          <w:color w:val="000000"/>
          <w:spacing w:val="0"/>
          <w:kern w:val="2"/>
          <w:sz w:val="30"/>
          <w:szCs w:val="24"/>
          <w:lang w:val="en-US" w:eastAsia="zh-CN" w:bidi="ar-SA"/>
        </w:rPr>
        <w:t>2019年大张家庄乡政府总支出为999.81万元，年初结转43.49万元，共计1043.30万元。其中行政运行为362.11万元，占总收入的43.42%；群众文化为3.2万元，占总收入的0.07%；社会保障与就业收入为90.15万元，占总支出的8.98%；计划生育事务为35.23万元，占总支出的6.72%；医疗为15.80万元，占总支出的1.58%；城乡社区支出为26.4万元，占总收入的1.35%；农林水为409.93万元，占总收入的32.16%；住房保障为22.34万元，占总收入的2.27%；节能环保收入23.99万元，占总收入的2.04%。</w:t>
      </w:r>
    </w:p>
    <w:p>
      <w:pPr>
        <w:spacing w:line="560" w:lineRule="exact"/>
        <w:ind w:firstLine="640" w:firstLineChars="200"/>
        <w:rPr>
          <w:rFonts w:hint="eastAsia" w:ascii="仿宋" w:hAnsi="仿宋" w:eastAsia="仿宋"/>
          <w:color w:val="000000"/>
          <w:sz w:val="30"/>
          <w:szCs w:val="24"/>
        </w:rPr>
      </w:pPr>
      <w:r>
        <w:rPr>
          <w:rFonts w:hint="eastAsia" w:ascii="仿宋" w:hAnsi="仿宋" w:eastAsia="仿宋" w:cs="仿宋"/>
          <w:sz w:val="32"/>
          <w:szCs w:val="32"/>
          <w:lang w:val="en-US" w:eastAsia="zh-CN"/>
        </w:rPr>
        <w:t>（三）绩效评价的组织实施情况。</w:t>
      </w:r>
      <w:r>
        <w:rPr>
          <w:rFonts w:hint="eastAsia" w:ascii="仿宋" w:hAnsi="仿宋" w:eastAsia="仿宋"/>
          <w:color w:val="000000"/>
          <w:sz w:val="30"/>
          <w:szCs w:val="24"/>
        </w:rPr>
        <w:t>隆尧县</w:t>
      </w:r>
      <w:r>
        <w:rPr>
          <w:rFonts w:hint="eastAsia" w:ascii="仿宋" w:hAnsi="仿宋" w:eastAsia="仿宋"/>
          <w:color w:val="000000"/>
          <w:sz w:val="30"/>
          <w:szCs w:val="24"/>
          <w:lang w:eastAsia="zh-CN"/>
        </w:rPr>
        <w:t>大张家庄乡人民政府</w:t>
      </w:r>
      <w:r>
        <w:rPr>
          <w:rFonts w:hint="eastAsia" w:ascii="仿宋" w:hAnsi="仿宋" w:eastAsia="仿宋"/>
          <w:color w:val="000000"/>
          <w:sz w:val="30"/>
          <w:szCs w:val="24"/>
        </w:rPr>
        <w:t>根据项目情况设置绩效目标评价标准：</w:t>
      </w:r>
      <w:r>
        <w:rPr>
          <w:rFonts w:hint="eastAsia" w:ascii="仿宋" w:hAnsi="仿宋" w:eastAsia="仿宋"/>
          <w:color w:val="000000"/>
          <w:sz w:val="30"/>
          <w:szCs w:val="24"/>
          <w:lang w:val="en-US" w:eastAsia="zh-CN"/>
        </w:rPr>
        <w:t>100</w:t>
      </w:r>
      <w:r>
        <w:rPr>
          <w:rFonts w:hint="eastAsia" w:ascii="仿宋" w:hAnsi="仿宋" w:eastAsia="仿宋"/>
          <w:color w:val="000000"/>
          <w:sz w:val="30"/>
          <w:szCs w:val="24"/>
        </w:rPr>
        <w:t>%以上为“优”、</w:t>
      </w:r>
      <w:r>
        <w:rPr>
          <w:rFonts w:hint="eastAsia" w:ascii="仿宋" w:hAnsi="仿宋" w:eastAsia="仿宋"/>
          <w:color w:val="000000"/>
          <w:sz w:val="30"/>
          <w:szCs w:val="24"/>
          <w:lang w:val="en-US" w:eastAsia="zh-CN"/>
        </w:rPr>
        <w:t>90%-99</w:t>
      </w:r>
      <w:r>
        <w:rPr>
          <w:rFonts w:hint="eastAsia" w:ascii="仿宋" w:hAnsi="仿宋" w:eastAsia="仿宋"/>
          <w:color w:val="000000"/>
          <w:sz w:val="30"/>
          <w:szCs w:val="24"/>
        </w:rPr>
        <w:t>%以上为“良”、</w:t>
      </w:r>
      <w:r>
        <w:rPr>
          <w:rFonts w:hint="eastAsia" w:ascii="仿宋" w:hAnsi="仿宋" w:eastAsia="仿宋"/>
          <w:color w:val="000000"/>
          <w:sz w:val="30"/>
          <w:szCs w:val="24"/>
          <w:lang w:val="en-US" w:eastAsia="zh-CN"/>
        </w:rPr>
        <w:t>80%-89</w:t>
      </w:r>
      <w:r>
        <w:rPr>
          <w:rFonts w:hint="eastAsia" w:ascii="仿宋" w:hAnsi="仿宋" w:eastAsia="仿宋"/>
          <w:color w:val="000000"/>
          <w:sz w:val="30"/>
          <w:szCs w:val="24"/>
        </w:rPr>
        <w:t>%以上为“中”、</w:t>
      </w:r>
      <w:r>
        <w:rPr>
          <w:rFonts w:hint="eastAsia" w:ascii="仿宋" w:hAnsi="仿宋" w:eastAsia="仿宋"/>
          <w:color w:val="000000"/>
          <w:sz w:val="30"/>
          <w:szCs w:val="24"/>
          <w:lang w:val="en-US" w:eastAsia="zh-CN"/>
        </w:rPr>
        <w:t>80</w:t>
      </w:r>
      <w:r>
        <w:rPr>
          <w:rFonts w:hint="eastAsia" w:ascii="仿宋" w:hAnsi="仿宋" w:eastAsia="仿宋"/>
          <w:color w:val="000000"/>
          <w:sz w:val="30"/>
          <w:szCs w:val="24"/>
        </w:rPr>
        <w:t>%以下为“差”）和违法占地清理工作的覆盖率(%)（评价标准：9：</w:t>
      </w:r>
      <w:r>
        <w:rPr>
          <w:rFonts w:hint="eastAsia" w:ascii="仿宋" w:hAnsi="仿宋" w:eastAsia="仿宋"/>
          <w:color w:val="000000"/>
          <w:sz w:val="30"/>
          <w:szCs w:val="24"/>
          <w:lang w:val="en-US" w:eastAsia="zh-CN"/>
        </w:rPr>
        <w:t>100</w:t>
      </w:r>
      <w:r>
        <w:rPr>
          <w:rFonts w:hint="eastAsia" w:ascii="仿宋" w:hAnsi="仿宋" w:eastAsia="仿宋"/>
          <w:color w:val="000000"/>
          <w:sz w:val="30"/>
          <w:szCs w:val="24"/>
        </w:rPr>
        <w:t>%以上为“优”、</w:t>
      </w:r>
      <w:r>
        <w:rPr>
          <w:rFonts w:hint="eastAsia" w:ascii="仿宋" w:hAnsi="仿宋" w:eastAsia="仿宋"/>
          <w:color w:val="000000"/>
          <w:sz w:val="30"/>
          <w:szCs w:val="24"/>
          <w:lang w:val="en-US" w:eastAsia="zh-CN"/>
        </w:rPr>
        <w:t>90%-99</w:t>
      </w:r>
      <w:r>
        <w:rPr>
          <w:rFonts w:hint="eastAsia" w:ascii="仿宋" w:hAnsi="仿宋" w:eastAsia="仿宋"/>
          <w:color w:val="000000"/>
          <w:sz w:val="30"/>
          <w:szCs w:val="24"/>
        </w:rPr>
        <w:t>%以上为“良”、</w:t>
      </w:r>
      <w:r>
        <w:rPr>
          <w:rFonts w:hint="eastAsia" w:ascii="仿宋" w:hAnsi="仿宋" w:eastAsia="仿宋"/>
          <w:color w:val="000000"/>
          <w:sz w:val="30"/>
          <w:szCs w:val="24"/>
          <w:lang w:val="en-US" w:eastAsia="zh-CN"/>
        </w:rPr>
        <w:t>80%-89</w:t>
      </w:r>
      <w:r>
        <w:rPr>
          <w:rFonts w:hint="eastAsia" w:ascii="仿宋" w:hAnsi="仿宋" w:eastAsia="仿宋"/>
          <w:color w:val="000000"/>
          <w:sz w:val="30"/>
          <w:szCs w:val="24"/>
        </w:rPr>
        <w:t>%以上为“中”、</w:t>
      </w:r>
      <w:r>
        <w:rPr>
          <w:rFonts w:hint="eastAsia" w:ascii="仿宋" w:hAnsi="仿宋" w:eastAsia="仿宋"/>
          <w:color w:val="000000"/>
          <w:sz w:val="30"/>
          <w:szCs w:val="24"/>
          <w:lang w:val="en-US" w:eastAsia="zh-CN"/>
        </w:rPr>
        <w:t>80</w:t>
      </w:r>
      <w:r>
        <w:rPr>
          <w:rFonts w:hint="eastAsia" w:ascii="仿宋" w:hAnsi="仿宋" w:eastAsia="仿宋"/>
          <w:color w:val="000000"/>
          <w:sz w:val="30"/>
          <w:szCs w:val="24"/>
        </w:rPr>
        <w:t>%以下为“差”）；设定</w:t>
      </w:r>
      <w:r>
        <w:rPr>
          <w:rFonts w:hint="eastAsia" w:ascii="仿宋" w:hAnsi="仿宋" w:eastAsia="仿宋"/>
          <w:color w:val="000000"/>
          <w:sz w:val="30"/>
          <w:szCs w:val="24"/>
          <w:lang w:val="en-US" w:eastAsia="zh-CN"/>
        </w:rPr>
        <w:t>1</w:t>
      </w:r>
      <w:r>
        <w:rPr>
          <w:rFonts w:hint="eastAsia" w:ascii="仿宋" w:hAnsi="仿宋" w:eastAsia="仿宋"/>
          <w:color w:val="000000"/>
          <w:sz w:val="30"/>
          <w:szCs w:val="24"/>
        </w:rPr>
        <w:t>个效果指标：土地是否得到保障(%)（评价标准：9：</w:t>
      </w:r>
      <w:r>
        <w:rPr>
          <w:rFonts w:hint="eastAsia" w:ascii="仿宋" w:hAnsi="仿宋" w:eastAsia="仿宋"/>
          <w:color w:val="000000"/>
          <w:sz w:val="30"/>
          <w:szCs w:val="24"/>
          <w:lang w:val="en-US" w:eastAsia="zh-CN"/>
        </w:rPr>
        <w:t>100</w:t>
      </w:r>
      <w:r>
        <w:rPr>
          <w:rFonts w:hint="eastAsia" w:ascii="仿宋" w:hAnsi="仿宋" w:eastAsia="仿宋"/>
          <w:color w:val="000000"/>
          <w:sz w:val="30"/>
          <w:szCs w:val="24"/>
        </w:rPr>
        <w:t>%以上为“优”、</w:t>
      </w:r>
      <w:r>
        <w:rPr>
          <w:rFonts w:hint="eastAsia" w:ascii="仿宋" w:hAnsi="仿宋" w:eastAsia="仿宋"/>
          <w:color w:val="000000"/>
          <w:sz w:val="30"/>
          <w:szCs w:val="24"/>
          <w:lang w:val="en-US" w:eastAsia="zh-CN"/>
        </w:rPr>
        <w:t>90%-99</w:t>
      </w:r>
      <w:r>
        <w:rPr>
          <w:rFonts w:hint="eastAsia" w:ascii="仿宋" w:hAnsi="仿宋" w:eastAsia="仿宋"/>
          <w:color w:val="000000"/>
          <w:sz w:val="30"/>
          <w:szCs w:val="24"/>
        </w:rPr>
        <w:t>%以上为“良”、</w:t>
      </w:r>
      <w:r>
        <w:rPr>
          <w:rFonts w:hint="eastAsia" w:ascii="仿宋" w:hAnsi="仿宋" w:eastAsia="仿宋"/>
          <w:color w:val="000000"/>
          <w:sz w:val="30"/>
          <w:szCs w:val="24"/>
          <w:lang w:val="en-US" w:eastAsia="zh-CN"/>
        </w:rPr>
        <w:t>80%-89</w:t>
      </w:r>
      <w:r>
        <w:rPr>
          <w:rFonts w:hint="eastAsia" w:ascii="仿宋" w:hAnsi="仿宋" w:eastAsia="仿宋"/>
          <w:color w:val="000000"/>
          <w:sz w:val="30"/>
          <w:szCs w:val="24"/>
        </w:rPr>
        <w:t>%以上为“中”、</w:t>
      </w:r>
      <w:r>
        <w:rPr>
          <w:rFonts w:hint="eastAsia" w:ascii="仿宋" w:hAnsi="仿宋" w:eastAsia="仿宋"/>
          <w:color w:val="000000"/>
          <w:sz w:val="30"/>
          <w:szCs w:val="24"/>
          <w:lang w:val="en-US" w:eastAsia="zh-CN"/>
        </w:rPr>
        <w:t>80</w:t>
      </w:r>
      <w:r>
        <w:rPr>
          <w:rFonts w:hint="eastAsia" w:ascii="仿宋" w:hAnsi="仿宋" w:eastAsia="仿宋"/>
          <w:color w:val="000000"/>
          <w:sz w:val="30"/>
          <w:szCs w:val="24"/>
        </w:rPr>
        <w:t>%以下为“差”）绩效目标指向不明确</w:t>
      </w:r>
      <w:r>
        <w:rPr>
          <w:rFonts w:hint="eastAsia" w:ascii="仿宋" w:hAnsi="仿宋" w:eastAsia="仿宋"/>
          <w:bCs/>
          <w:sz w:val="30"/>
          <w:szCs w:val="24"/>
        </w:rPr>
        <w:t>、</w:t>
      </w:r>
      <w:r>
        <w:rPr>
          <w:rFonts w:hint="eastAsia" w:ascii="仿宋" w:hAnsi="仿宋" w:eastAsia="仿宋"/>
          <w:color w:val="000000"/>
          <w:sz w:val="30"/>
          <w:szCs w:val="24"/>
        </w:rPr>
        <w:t>细化不充分，项目执行过程有效约束不够，绩效指标体系设计有待完善。</w:t>
      </w:r>
    </w:p>
    <w:p>
      <w:pPr>
        <w:numPr>
          <w:ilvl w:val="0"/>
          <w:numId w:val="0"/>
        </w:numPr>
        <w:spacing w:line="240" w:lineRule="auto"/>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（四）各项绩效目标的实现程度及差异性原因分析。</w:t>
      </w:r>
    </w:p>
    <w:p>
      <w:pPr>
        <w:spacing w:line="560" w:lineRule="exact"/>
        <w:ind w:firstLine="640" w:firstLineChars="200"/>
        <w:rPr>
          <w:rFonts w:hint="eastAsia" w:ascii="仿宋" w:hAnsi="仿宋" w:eastAsia="仿宋" w:cs="仿宋"/>
          <w:sz w:val="32"/>
          <w:szCs w:val="32"/>
          <w:lang w:val="en-US" w:eastAsia="zh-CN"/>
        </w:rPr>
      </w:pPr>
      <w:r>
        <w:rPr>
          <w:rFonts w:hint="eastAsia" w:ascii="仿宋" w:hAnsi="仿宋" w:eastAsia="仿宋" w:cs="仿宋"/>
          <w:sz w:val="32"/>
          <w:szCs w:val="32"/>
          <w:lang w:val="en-US" w:eastAsia="zh-CN"/>
        </w:rPr>
        <w:t>存在问题、采取的纠偏措施及改进绩效管理建议。</w:t>
      </w:r>
      <w:r>
        <w:rPr>
          <w:rFonts w:hint="eastAsia" w:ascii="仿宋" w:hAnsi="仿宋" w:eastAsia="仿宋"/>
          <w:color w:val="000000"/>
          <w:sz w:val="30"/>
          <w:szCs w:val="24"/>
        </w:rPr>
        <w:t>本次绩效评价工作实施中发现，</w:t>
      </w:r>
      <w:r>
        <w:rPr>
          <w:rFonts w:hint="eastAsia" w:ascii="仿宋" w:hAnsi="仿宋" w:eastAsia="仿宋"/>
          <w:color w:val="000000"/>
          <w:sz w:val="30"/>
          <w:szCs w:val="24"/>
          <w:lang w:eastAsia="zh-CN"/>
        </w:rPr>
        <w:t>部门各类</w:t>
      </w:r>
      <w:r>
        <w:rPr>
          <w:rFonts w:hint="eastAsia" w:ascii="仿宋" w:hAnsi="仿宋" w:eastAsia="仿宋"/>
          <w:color w:val="000000"/>
          <w:sz w:val="30"/>
          <w:szCs w:val="24"/>
        </w:rPr>
        <w:t>项目基本符合规定，</w:t>
      </w:r>
      <w:r>
        <w:rPr>
          <w:rFonts w:hint="eastAsia" w:ascii="仿宋" w:hAnsi="仿宋" w:eastAsia="仿宋"/>
          <w:color w:val="000000"/>
          <w:sz w:val="30"/>
          <w:szCs w:val="24"/>
          <w:lang w:eastAsia="zh-CN"/>
        </w:rPr>
        <w:t>各类</w:t>
      </w:r>
      <w:r>
        <w:rPr>
          <w:rFonts w:hint="eastAsia" w:ascii="仿宋" w:hAnsi="仿宋" w:eastAsia="仿宋"/>
          <w:color w:val="000000"/>
          <w:sz w:val="30"/>
          <w:szCs w:val="24"/>
        </w:rPr>
        <w:t>项目资金的支付，在调查全</w:t>
      </w:r>
      <w:r>
        <w:rPr>
          <w:rFonts w:hint="eastAsia" w:ascii="仿宋" w:hAnsi="仿宋" w:eastAsia="仿宋"/>
          <w:color w:val="000000"/>
          <w:sz w:val="30"/>
          <w:szCs w:val="24"/>
          <w:lang w:eastAsia="zh-CN"/>
        </w:rPr>
        <w:t>乡</w:t>
      </w:r>
      <w:r>
        <w:rPr>
          <w:rFonts w:hint="eastAsia" w:ascii="仿宋" w:hAnsi="仿宋" w:eastAsia="仿宋"/>
          <w:color w:val="000000"/>
          <w:sz w:val="30"/>
          <w:szCs w:val="24"/>
        </w:rPr>
        <w:t>状况</w:t>
      </w:r>
      <w:r>
        <w:rPr>
          <w:rFonts w:hint="eastAsia" w:ascii="仿宋" w:hAnsi="仿宋" w:eastAsia="仿宋"/>
          <w:color w:val="000000"/>
          <w:sz w:val="30"/>
          <w:szCs w:val="24"/>
          <w:lang w:eastAsia="zh-CN"/>
        </w:rPr>
        <w:t>后</w:t>
      </w:r>
      <w:r>
        <w:rPr>
          <w:rFonts w:hint="eastAsia" w:ascii="仿宋" w:hAnsi="仿宋" w:eastAsia="仿宋"/>
          <w:color w:val="000000"/>
          <w:sz w:val="30"/>
          <w:szCs w:val="24"/>
        </w:rPr>
        <w:t>，掌握真实准确的基础数据，完善</w:t>
      </w:r>
      <w:r>
        <w:rPr>
          <w:rFonts w:hint="eastAsia" w:ascii="仿宋" w:hAnsi="仿宋" w:eastAsia="仿宋"/>
          <w:color w:val="000000"/>
          <w:sz w:val="30"/>
          <w:szCs w:val="24"/>
          <w:lang w:eastAsia="zh-CN"/>
        </w:rPr>
        <w:t>乡内内</w:t>
      </w:r>
      <w:r>
        <w:rPr>
          <w:rFonts w:hint="eastAsia" w:ascii="仿宋" w:hAnsi="仿宋" w:eastAsia="仿宋"/>
          <w:color w:val="000000"/>
          <w:sz w:val="30"/>
          <w:szCs w:val="24"/>
        </w:rPr>
        <w:t>调查、监测和统计制度等方面发挥了作用，隆尧县</w:t>
      </w:r>
      <w:r>
        <w:rPr>
          <w:rFonts w:hint="eastAsia" w:ascii="仿宋" w:hAnsi="仿宋" w:eastAsia="仿宋"/>
          <w:color w:val="000000"/>
          <w:sz w:val="30"/>
          <w:szCs w:val="24"/>
          <w:lang w:eastAsia="zh-CN"/>
        </w:rPr>
        <w:t>大张家庄人民政府</w:t>
      </w:r>
      <w:r>
        <w:rPr>
          <w:rFonts w:hint="eastAsia" w:ascii="仿宋" w:hAnsi="仿宋" w:eastAsia="仿宋"/>
          <w:color w:val="000000"/>
          <w:sz w:val="30"/>
          <w:szCs w:val="24"/>
        </w:rPr>
        <w:t>编制了项目绩效评价报告，但存在绩效指标体系有待完善，绩效目标不明确、目标细化程度不足，项目预算执行率不高等现象。</w:t>
      </w:r>
    </w:p>
    <w:p>
      <w:pPr>
        <w:numPr>
          <w:ilvl w:val="0"/>
          <w:numId w:val="0"/>
        </w:numPr>
        <w:spacing w:line="240" w:lineRule="auto"/>
        <w:rPr>
          <w:rFonts w:hint="eastAsia" w:ascii="仿宋" w:hAnsi="仿宋" w:eastAsia="仿宋" w:cs="仿宋"/>
          <w:sz w:val="32"/>
          <w:szCs w:val="32"/>
          <w:lang w:val="en-US" w:eastAsia="zh-CN"/>
        </w:rPr>
      </w:pPr>
    </w:p>
    <w:p>
      <w:pPr>
        <w:numPr>
          <w:ilvl w:val="0"/>
          <w:numId w:val="0"/>
        </w:numPr>
        <w:spacing w:line="240" w:lineRule="auto"/>
        <w:rPr>
          <w:rFonts w:hint="eastAsia" w:ascii="仿宋" w:hAnsi="仿宋" w:eastAsia="仿宋" w:cs="仿宋"/>
          <w:sz w:val="32"/>
          <w:szCs w:val="32"/>
          <w:lang w:val="en-US" w:eastAsia="zh-CN"/>
        </w:rPr>
      </w:pPr>
    </w:p>
    <w:sectPr>
      <w:footerReference r:id="rId3" w:type="default"/>
      <w:footerReference r:id="rId4" w:type="even"/>
      <w:pgSz w:w="11906" w:h="16838"/>
      <w:pgMar w:top="1985" w:right="1418" w:bottom="1985" w:left="1418" w:header="851" w:footer="1701" w:gutter="0"/>
      <w:cols w:space="425" w:num="1"/>
      <w:docGrid w:type="lines" w:linePitch="313"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0"/>
    <w:family w:val="auto"/>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仿宋_GB2312">
    <w:altName w:val="仿宋"/>
    <w:panose1 w:val="02010609030101010101"/>
    <w:charset w:val="86"/>
    <w:family w:val="modern"/>
    <w:pitch w:val="default"/>
    <w:sig w:usb0="00000000" w:usb1="00000000" w:usb2="00000000" w:usb3="00000000" w:csb0="00040000" w:csb1="00000000"/>
  </w:font>
  <w:font w:name="仿宋">
    <w:panose1 w:val="02010609060101010101"/>
    <w:charset w:val="86"/>
    <w:family w:val="modern"/>
    <w:pitch w:val="default"/>
    <w:sig w:usb0="800002BF" w:usb1="38CF7CFA" w:usb2="00000016" w:usb3="00000000" w:csb0="00040001" w:csb1="00000000"/>
  </w:font>
  <w:font w:name="新宋体">
    <w:panose1 w:val="02010609030101010101"/>
    <w:charset w:val="86"/>
    <w:family w:val="modern"/>
    <w:pitch w:val="default"/>
    <w:sig w:usb0="00000003" w:usb1="288F0000" w:usb2="0000000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rap="around" w:vAnchor="text" w:hAnchor="margin" w:xAlign="outside" w:y="1"/>
      <w:rPr>
        <w:rStyle w:val="13"/>
        <w:rFonts w:ascii="宋体" w:hAnsi="宋体" w:eastAsia="宋体"/>
        <w:sz w:val="28"/>
        <w:szCs w:val="28"/>
      </w:rPr>
    </w:pPr>
    <w:r>
      <w:rPr>
        <w:rStyle w:val="13"/>
        <w:rFonts w:hint="eastAsia" w:ascii="宋体" w:hAnsi="宋体" w:eastAsia="宋体"/>
        <w:sz w:val="28"/>
        <w:szCs w:val="28"/>
      </w:rPr>
      <w:t>-</w:t>
    </w:r>
    <w:r>
      <w:rPr>
        <w:rStyle w:val="13"/>
        <w:rFonts w:ascii="宋体" w:hAnsi="宋体" w:eastAsia="宋体"/>
        <w:sz w:val="28"/>
        <w:szCs w:val="28"/>
      </w:rPr>
      <w:fldChar w:fldCharType="begin"/>
    </w:r>
    <w:r>
      <w:rPr>
        <w:rStyle w:val="13"/>
        <w:rFonts w:ascii="宋体" w:hAnsi="宋体" w:eastAsia="宋体"/>
        <w:sz w:val="28"/>
        <w:szCs w:val="28"/>
      </w:rPr>
      <w:instrText xml:space="preserve">PAGE  </w:instrText>
    </w:r>
    <w:r>
      <w:rPr>
        <w:rStyle w:val="13"/>
        <w:rFonts w:ascii="宋体" w:hAnsi="宋体" w:eastAsia="宋体"/>
        <w:sz w:val="28"/>
        <w:szCs w:val="28"/>
      </w:rPr>
      <w:fldChar w:fldCharType="separate"/>
    </w:r>
    <w:r>
      <w:rPr>
        <w:rStyle w:val="13"/>
        <w:rFonts w:ascii="宋体" w:hAnsi="宋体" w:eastAsia="宋体"/>
        <w:sz w:val="28"/>
        <w:szCs w:val="28"/>
      </w:rPr>
      <w:t>6</w:t>
    </w:r>
    <w:r>
      <w:rPr>
        <w:rStyle w:val="13"/>
        <w:rFonts w:ascii="宋体" w:hAnsi="宋体" w:eastAsia="宋体"/>
        <w:sz w:val="28"/>
        <w:szCs w:val="28"/>
      </w:rPr>
      <w:fldChar w:fldCharType="end"/>
    </w:r>
    <w:r>
      <w:rPr>
        <w:rStyle w:val="13"/>
        <w:rFonts w:hint="eastAsia" w:ascii="宋体" w:hAnsi="宋体" w:eastAsia="宋体"/>
        <w:sz w:val="28"/>
        <w:szCs w:val="28"/>
      </w:rPr>
      <w:t>-</w:t>
    </w:r>
  </w:p>
  <w:p>
    <w:pPr>
      <w:pStyle w:val="7"/>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framePr w:wrap="around" w:vAnchor="text" w:hAnchor="margin" w:xAlign="outside" w:y="1"/>
      <w:rPr>
        <w:rStyle w:val="13"/>
      </w:rPr>
    </w:pPr>
    <w:r>
      <w:rPr>
        <w:rStyle w:val="13"/>
      </w:rPr>
      <w:fldChar w:fldCharType="begin"/>
    </w:r>
    <w:r>
      <w:rPr>
        <w:rStyle w:val="13"/>
      </w:rPr>
      <w:instrText xml:space="preserve">PAGE  </w:instrText>
    </w:r>
    <w:r>
      <w:rPr>
        <w:rStyle w:val="13"/>
      </w:rPr>
      <w:fldChar w:fldCharType="end"/>
    </w:r>
  </w:p>
  <w:p>
    <w:pPr>
      <w:pStyle w:val="7"/>
      <w:ind w:right="360" w:firstLine="360"/>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6CD3288B"/>
    <w:multiLevelType w:val="singleLevel"/>
    <w:tmpl w:val="6CD3288B"/>
    <w:lvl w:ilvl="0" w:tentative="0">
      <w:start w:val="1"/>
      <w:numFmt w:val="chineseCounting"/>
      <w:suff w:val="nothing"/>
      <w:lvlText w:val="(%1）"/>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doNotDisplayPageBoundaries w:val="1"/>
  <w:bordersDoNotSurroundHeader w:val="1"/>
  <w:bordersDoNotSurroundFooter w:val="1"/>
  <w:documentProtection w:enforcement="0"/>
  <w:defaultTabStop w:val="420"/>
  <w:drawingGridHorizontalSpacing w:val="105"/>
  <w:drawingGridVerticalSpacing w:val="313"/>
  <w:displayHorizontalDrawingGridEvery w:val="0"/>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2"/>
  </w:compat>
  <w:docVars>
    <w:docVar w:name="commondata" w:val="eyJoZGlkIjoiYWJhYzgzOWI2Y2E2ZGIxMDU4M2IxYTIxNjZkOWFiNTYifQ=="/>
  </w:docVars>
  <w:rsids>
    <w:rsidRoot w:val="00042933"/>
    <w:rsid w:val="00002F2C"/>
    <w:rsid w:val="000070A8"/>
    <w:rsid w:val="00016CA4"/>
    <w:rsid w:val="000324AE"/>
    <w:rsid w:val="00042933"/>
    <w:rsid w:val="0008033E"/>
    <w:rsid w:val="0008759D"/>
    <w:rsid w:val="00094F2B"/>
    <w:rsid w:val="000B0A83"/>
    <w:rsid w:val="000B6322"/>
    <w:rsid w:val="000C2CC1"/>
    <w:rsid w:val="000E4A5A"/>
    <w:rsid w:val="00103547"/>
    <w:rsid w:val="0017068B"/>
    <w:rsid w:val="00185A3C"/>
    <w:rsid w:val="00192D5A"/>
    <w:rsid w:val="001C59B3"/>
    <w:rsid w:val="001E0886"/>
    <w:rsid w:val="001F7E31"/>
    <w:rsid w:val="002071BC"/>
    <w:rsid w:val="00225AE6"/>
    <w:rsid w:val="00235F0F"/>
    <w:rsid w:val="00255783"/>
    <w:rsid w:val="00290BA1"/>
    <w:rsid w:val="002A6AEA"/>
    <w:rsid w:val="002F2268"/>
    <w:rsid w:val="003C50C2"/>
    <w:rsid w:val="0041099F"/>
    <w:rsid w:val="00436A1D"/>
    <w:rsid w:val="004379D7"/>
    <w:rsid w:val="004A68B1"/>
    <w:rsid w:val="004B64F3"/>
    <w:rsid w:val="004E3B64"/>
    <w:rsid w:val="005020C5"/>
    <w:rsid w:val="00567FE6"/>
    <w:rsid w:val="0058162A"/>
    <w:rsid w:val="005B3616"/>
    <w:rsid w:val="005E12FA"/>
    <w:rsid w:val="00683167"/>
    <w:rsid w:val="006A5056"/>
    <w:rsid w:val="006E64C9"/>
    <w:rsid w:val="007048FF"/>
    <w:rsid w:val="00712100"/>
    <w:rsid w:val="0071700D"/>
    <w:rsid w:val="00742652"/>
    <w:rsid w:val="00772600"/>
    <w:rsid w:val="007D5D41"/>
    <w:rsid w:val="007F01F9"/>
    <w:rsid w:val="00856BA1"/>
    <w:rsid w:val="00867620"/>
    <w:rsid w:val="008709E0"/>
    <w:rsid w:val="008A6A10"/>
    <w:rsid w:val="008A6A31"/>
    <w:rsid w:val="00904AF4"/>
    <w:rsid w:val="00905542"/>
    <w:rsid w:val="00917700"/>
    <w:rsid w:val="00956F74"/>
    <w:rsid w:val="009B0B5F"/>
    <w:rsid w:val="009C04DA"/>
    <w:rsid w:val="009C4C62"/>
    <w:rsid w:val="009E3627"/>
    <w:rsid w:val="009F53E7"/>
    <w:rsid w:val="00A11BF8"/>
    <w:rsid w:val="00A14A33"/>
    <w:rsid w:val="00A6449D"/>
    <w:rsid w:val="00A768DB"/>
    <w:rsid w:val="00AA09C8"/>
    <w:rsid w:val="00AD5F30"/>
    <w:rsid w:val="00B0681D"/>
    <w:rsid w:val="00B9023F"/>
    <w:rsid w:val="00BC1FDC"/>
    <w:rsid w:val="00BD0FD8"/>
    <w:rsid w:val="00C44804"/>
    <w:rsid w:val="00C6362A"/>
    <w:rsid w:val="00C81363"/>
    <w:rsid w:val="00CB27A5"/>
    <w:rsid w:val="00CD55ED"/>
    <w:rsid w:val="00CD63C0"/>
    <w:rsid w:val="00CE62A0"/>
    <w:rsid w:val="00D21F0C"/>
    <w:rsid w:val="00D366C1"/>
    <w:rsid w:val="00D877F7"/>
    <w:rsid w:val="00DB2D43"/>
    <w:rsid w:val="00E266F1"/>
    <w:rsid w:val="00EB16A8"/>
    <w:rsid w:val="00EC7904"/>
    <w:rsid w:val="00F72E93"/>
    <w:rsid w:val="00F87A11"/>
    <w:rsid w:val="00FB7E01"/>
    <w:rsid w:val="00FE5F4C"/>
    <w:rsid w:val="00FF39F6"/>
    <w:rsid w:val="05374814"/>
    <w:rsid w:val="0F8F6BFC"/>
    <w:rsid w:val="27D9543C"/>
    <w:rsid w:val="3791647A"/>
    <w:rsid w:val="3E5846C3"/>
    <w:rsid w:val="3F684104"/>
    <w:rsid w:val="455969D8"/>
    <w:rsid w:val="526A3656"/>
    <w:rsid w:val="5D643D56"/>
    <w:rsid w:val="69BD0A47"/>
    <w:rsid w:val="71A911C9"/>
    <w:rsid w:val="751A5A1E"/>
    <w:rsid w:val="77A86A4F"/>
    <w:rsid w:val="7CCC213E"/>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qFormat="1"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99" w:semiHidden="0" w:name="Body Text"/>
    <w:lsdException w:qFormat="1" w:unhideWhenUsed="0" w:uiPriority="0" w:semiHidden="0"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qFormat="1" w:unhideWhenUsed="0" w:uiPriority="0" w:semiHidden="0"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nhideWhenUsed="0" w:uiPriority="0" w:semiHidden="0" w:name="Plain Text"/>
    <w:lsdException w:uiPriority="99" w:name="E-mail Signature"/>
    <w:lsdException w:qFormat="1" w:unhideWhenUsed="0"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4">
    <w:name w:val="heading 1"/>
    <w:basedOn w:val="1"/>
    <w:next w:val="1"/>
    <w:link w:val="17"/>
    <w:autoRedefine/>
    <w:qFormat/>
    <w:uiPriority w:val="9"/>
    <w:pPr>
      <w:spacing w:before="100" w:beforeAutospacing="1" w:after="100" w:afterAutospacing="1"/>
      <w:jc w:val="left"/>
      <w:outlineLvl w:val="0"/>
    </w:pPr>
    <w:rPr>
      <w:rFonts w:hint="eastAsia" w:ascii="宋体" w:hAnsi="宋体" w:eastAsia="宋体" w:cs="宋体"/>
      <w:b/>
      <w:kern w:val="44"/>
      <w:sz w:val="48"/>
      <w:szCs w:val="48"/>
    </w:rPr>
  </w:style>
  <w:style w:type="character" w:default="1" w:styleId="11">
    <w:name w:val="Default Paragraph Font"/>
    <w:autoRedefine/>
    <w:semiHidden/>
    <w:unhideWhenUsed/>
    <w:qFormat/>
    <w:uiPriority w:val="1"/>
  </w:style>
  <w:style w:type="table" w:default="1" w:styleId="10">
    <w:name w:val="Normal Table"/>
    <w:autoRedefine/>
    <w:semiHidden/>
    <w:unhideWhenUsed/>
    <w:qFormat/>
    <w:uiPriority w:val="99"/>
    <w:tblPr>
      <w:tblCellMar>
        <w:top w:w="0" w:type="dxa"/>
        <w:left w:w="108" w:type="dxa"/>
        <w:bottom w:w="0" w:type="dxa"/>
        <w:right w:w="108" w:type="dxa"/>
      </w:tblCellMar>
    </w:tblPr>
  </w:style>
  <w:style w:type="paragraph" w:styleId="2">
    <w:name w:val="Body Text First Indent 2"/>
    <w:basedOn w:val="3"/>
    <w:autoRedefine/>
    <w:qFormat/>
    <w:uiPriority w:val="0"/>
    <w:pPr>
      <w:ind w:firstLine="420" w:firstLineChars="200"/>
    </w:pPr>
  </w:style>
  <w:style w:type="paragraph" w:styleId="3">
    <w:name w:val="Body Text Indent"/>
    <w:basedOn w:val="1"/>
    <w:autoRedefine/>
    <w:qFormat/>
    <w:uiPriority w:val="0"/>
    <w:pPr>
      <w:spacing w:line="600" w:lineRule="exact"/>
      <w:ind w:firstLine="560" w:firstLineChars="200"/>
      <w:textAlignment w:val="center"/>
    </w:pPr>
    <w:rPr>
      <w:rFonts w:ascii="宋体" w:hAnsi="宋体"/>
      <w:color w:val="FF0000"/>
      <w:sz w:val="28"/>
      <w:szCs w:val="28"/>
    </w:rPr>
  </w:style>
  <w:style w:type="paragraph" w:styleId="5">
    <w:name w:val="Body Text"/>
    <w:basedOn w:val="1"/>
    <w:autoRedefine/>
    <w:qFormat/>
    <w:uiPriority w:val="99"/>
    <w:pPr>
      <w:autoSpaceDE w:val="0"/>
      <w:autoSpaceDN w:val="0"/>
      <w:adjustRightInd w:val="0"/>
      <w:snapToGrid w:val="0"/>
      <w:spacing w:line="588" w:lineRule="atLeast"/>
    </w:pPr>
    <w:rPr>
      <w:rFonts w:ascii="宋体" w:hAnsi="宋体" w:eastAsia="仿宋_GB2312"/>
      <w:spacing w:val="-2"/>
      <w:sz w:val="32"/>
      <w:szCs w:val="24"/>
    </w:rPr>
  </w:style>
  <w:style w:type="paragraph" w:styleId="6">
    <w:name w:val="Plain Text"/>
    <w:basedOn w:val="1"/>
    <w:link w:val="16"/>
    <w:autoRedefine/>
    <w:qFormat/>
    <w:uiPriority w:val="0"/>
    <w:rPr>
      <w:rFonts w:ascii="宋体" w:hAnsi="Courier New" w:eastAsia="宋体" w:cs="Courier New"/>
      <w:szCs w:val="21"/>
    </w:rPr>
  </w:style>
  <w:style w:type="paragraph" w:styleId="7">
    <w:name w:val="footer"/>
    <w:basedOn w:val="1"/>
    <w:link w:val="15"/>
    <w:autoRedefine/>
    <w:unhideWhenUsed/>
    <w:qFormat/>
    <w:uiPriority w:val="99"/>
    <w:pPr>
      <w:tabs>
        <w:tab w:val="center" w:pos="4153"/>
        <w:tab w:val="right" w:pos="8306"/>
      </w:tabs>
      <w:snapToGrid w:val="0"/>
      <w:jc w:val="left"/>
    </w:pPr>
    <w:rPr>
      <w:sz w:val="18"/>
      <w:szCs w:val="18"/>
    </w:rPr>
  </w:style>
  <w:style w:type="paragraph" w:styleId="8">
    <w:name w:val="header"/>
    <w:basedOn w:val="1"/>
    <w:link w:val="14"/>
    <w:autoRedefine/>
    <w:unhideWhenUsed/>
    <w:qFormat/>
    <w:uiPriority w:val="99"/>
    <w:pPr>
      <w:pBdr>
        <w:bottom w:val="single" w:color="auto" w:sz="6" w:space="1"/>
      </w:pBdr>
      <w:tabs>
        <w:tab w:val="center" w:pos="4153"/>
        <w:tab w:val="right" w:pos="8306"/>
      </w:tabs>
      <w:snapToGrid w:val="0"/>
      <w:jc w:val="center"/>
    </w:pPr>
    <w:rPr>
      <w:sz w:val="18"/>
      <w:szCs w:val="18"/>
    </w:rPr>
  </w:style>
  <w:style w:type="paragraph" w:styleId="9">
    <w:name w:val="Normal (Web)"/>
    <w:basedOn w:val="1"/>
    <w:autoRedefine/>
    <w:qFormat/>
    <w:uiPriority w:val="99"/>
    <w:pPr>
      <w:widowControl/>
      <w:spacing w:before="100" w:beforeAutospacing="1" w:after="100" w:afterAutospacing="1"/>
      <w:jc w:val="left"/>
    </w:pPr>
    <w:rPr>
      <w:rFonts w:ascii="宋体" w:hAnsi="宋体" w:eastAsia="宋体" w:cs="宋体"/>
      <w:kern w:val="0"/>
      <w:sz w:val="24"/>
      <w:szCs w:val="24"/>
    </w:rPr>
  </w:style>
  <w:style w:type="character" w:styleId="12">
    <w:name w:val="Strong"/>
    <w:basedOn w:val="11"/>
    <w:autoRedefine/>
    <w:qFormat/>
    <w:uiPriority w:val="22"/>
    <w:rPr>
      <w:b/>
      <w:bCs/>
    </w:rPr>
  </w:style>
  <w:style w:type="character" w:styleId="13">
    <w:name w:val="page number"/>
    <w:basedOn w:val="11"/>
    <w:autoRedefine/>
    <w:semiHidden/>
    <w:unhideWhenUsed/>
    <w:qFormat/>
    <w:uiPriority w:val="99"/>
  </w:style>
  <w:style w:type="character" w:customStyle="1" w:styleId="14">
    <w:name w:val="页眉 Char"/>
    <w:basedOn w:val="11"/>
    <w:link w:val="8"/>
    <w:autoRedefine/>
    <w:qFormat/>
    <w:uiPriority w:val="99"/>
    <w:rPr>
      <w:sz w:val="18"/>
      <w:szCs w:val="18"/>
    </w:rPr>
  </w:style>
  <w:style w:type="character" w:customStyle="1" w:styleId="15">
    <w:name w:val="页脚 Char"/>
    <w:basedOn w:val="11"/>
    <w:link w:val="7"/>
    <w:qFormat/>
    <w:uiPriority w:val="99"/>
    <w:rPr>
      <w:sz w:val="18"/>
      <w:szCs w:val="18"/>
    </w:rPr>
  </w:style>
  <w:style w:type="character" w:customStyle="1" w:styleId="16">
    <w:name w:val="纯文本 Char"/>
    <w:basedOn w:val="11"/>
    <w:link w:val="6"/>
    <w:qFormat/>
    <w:uiPriority w:val="0"/>
    <w:rPr>
      <w:rFonts w:ascii="宋体" w:hAnsi="Courier New" w:eastAsia="宋体" w:cs="Courier New"/>
      <w:szCs w:val="21"/>
    </w:rPr>
  </w:style>
  <w:style w:type="character" w:customStyle="1" w:styleId="17">
    <w:name w:val="标题 1 Char"/>
    <w:basedOn w:val="11"/>
    <w:link w:val="4"/>
    <w:autoRedefine/>
    <w:qFormat/>
    <w:uiPriority w:val="9"/>
    <w:rPr>
      <w:rFonts w:ascii="宋体" w:hAnsi="宋体" w:eastAsia="宋体" w:cs="宋体"/>
      <w:b/>
      <w:kern w:val="44"/>
      <w:sz w:val="48"/>
      <w:szCs w:val="48"/>
    </w:rPr>
  </w:style>
  <w:style w:type="character" w:customStyle="1" w:styleId="18">
    <w:name w:val="font31"/>
    <w:basedOn w:val="11"/>
    <w:qFormat/>
    <w:uiPriority w:val="0"/>
    <w:rPr>
      <w:rFonts w:hint="eastAsia" w:ascii="宋体" w:hAnsi="宋体" w:eastAsia="宋体" w:cs="宋体"/>
      <w:b/>
      <w:color w:val="000000"/>
      <w:sz w:val="36"/>
      <w:szCs w:val="36"/>
      <w:u w:val="none"/>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numbering" Target="numbering.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6</Pages>
  <Words>795</Words>
  <Characters>4535</Characters>
  <Lines>37</Lines>
  <Paragraphs>10</Paragraphs>
  <TotalTime>1</TotalTime>
  <ScaleCrop>false</ScaleCrop>
  <LinksUpToDate>false</LinksUpToDate>
  <CharactersWithSpaces>5320</CharactersWithSpaces>
  <Application>WPS Office_12.1.0.16417_F1E327BC-269C-435d-A152-05C5408002CA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2016-02-22T07:07:00Z</dcterms:created>
  <dc:creator>Administrator</dc:creator>
  <cp:lastModifiedBy>小卫</cp:lastModifiedBy>
  <cp:lastPrinted>2018-11-29T03:23:00Z</cp:lastPrinted>
  <dcterms:modified xsi:type="dcterms:W3CDTF">2024-04-03T06:23:04Z</dcterms:modified>
  <cp:revision>72</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2052-12.1.0.16417</vt:lpwstr>
  </property>
  <property fmtid="{D5CDD505-2E9C-101B-9397-08002B2CF9AE}" pid="3" name="ICV">
    <vt:lpwstr>C080E68A46BF43FE804B953BDB75F8F4_12</vt:lpwstr>
  </property>
</Properties>
</file>