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27"/>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4</w:t>
      </w:r>
    </w:p>
    <w:p>
      <w:pPr>
        <w:pStyle w:val="27"/>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4</w:t>
      </w:r>
    </w:p>
    <w:p>
      <w:pPr>
        <w:pStyle w:val="27"/>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4</w:t>
      </w:r>
    </w:p>
    <w:p>
      <w:pPr>
        <w:pStyle w:val="27"/>
        <w:tabs>
          <w:tab w:val="right" w:leader="dot" w:pos="14562"/>
        </w:tabs>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rPr>
          <w:rFonts w:hint="eastAsia"/>
          <w:lang w:eastAsia="zh-CN"/>
        </w:rPr>
        <w:t>六</w:t>
      </w:r>
      <w:r>
        <w:t>、政府采购预算情况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rPr>
          <w:rFonts w:hint="eastAsia"/>
          <w:lang w:eastAsia="zh-CN"/>
        </w:rPr>
        <w:t>七</w:t>
      </w:r>
      <w:r>
        <w:t>、国有资产信息</w:t>
      </w:r>
      <w:r>
        <w:tab/>
      </w:r>
      <w:r>
        <w:fldChar w:fldCharType="begin"/>
      </w:r>
      <w:r>
        <w:instrText xml:space="preserve">PAGEREF _Toc_3_3_0000000018 \h</w:instrText>
      </w:r>
      <w:r>
        <w:fldChar w:fldCharType="separate"/>
      </w:r>
      <w:r>
        <w:t>27</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rPr>
          <w:rFonts w:hint="eastAsia"/>
          <w:lang w:eastAsia="zh-CN"/>
        </w:rPr>
        <w:t>八</w:t>
      </w:r>
      <w:r>
        <w:t>、名词解释</w:t>
      </w:r>
      <w:r>
        <w:tab/>
      </w:r>
      <w:r>
        <w:fldChar w:fldCharType="begin"/>
      </w:r>
      <w:r>
        <w:instrText xml:space="preserve">PAGEREF _Toc_3_3_0000000019 \h</w:instrText>
      </w:r>
      <w:r>
        <w:fldChar w:fldCharType="separate"/>
      </w:r>
      <w:r>
        <w:t>27</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rPr>
          <w:rFonts w:hint="eastAsia"/>
          <w:lang w:eastAsia="zh-CN"/>
        </w:rPr>
        <w:t>九</w:t>
      </w:r>
      <w:r>
        <w:t>、其他需要说明的事项</w:t>
      </w:r>
      <w:bookmarkStart w:id="15" w:name="_GoBack"/>
      <w:bookmarkEnd w:id="15"/>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fmt="decimal" w:start="1"/>
          <w:cols w:space="720" w:num="1"/>
        </w:sectPr>
      </w:pPr>
      <w:r>
        <w:fldChar w:fldCharType="end"/>
      </w:r>
    </w:p>
    <w:p>
      <w:pPr>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216</w:t>
            </w:r>
            <w:r>
              <w:rPr>
                <w:rFonts w:hint="eastAsia"/>
                <w:lang w:eastAsia="zh-CN"/>
              </w:rPr>
              <w:t>001</w:t>
            </w:r>
            <w:r>
              <w:t>中国共产党隆尧县委员会政法委员会</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466.02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434.05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466.02</w:t>
            </w:r>
          </w:p>
        </w:tc>
        <w:tc>
          <w:tcPr>
            <w:tcW w:w="4535" w:type="dxa"/>
            <w:vAlign w:val="center"/>
          </w:tcPr>
          <w:p>
            <w:pPr>
              <w:pStyle w:val="14"/>
            </w:pPr>
            <w:r>
              <w:t>本年支出合计</w:t>
            </w:r>
          </w:p>
        </w:tc>
        <w:tc>
          <w:tcPr>
            <w:tcW w:w="2126" w:type="dxa"/>
            <w:vAlign w:val="center"/>
          </w:tcPr>
          <w:p>
            <w:pPr>
              <w:pStyle w:val="15"/>
            </w:pPr>
            <w:r>
              <w:t>466.02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466.02</w:t>
            </w:r>
          </w:p>
        </w:tc>
        <w:tc>
          <w:tcPr>
            <w:tcW w:w="4535" w:type="dxa"/>
            <w:vAlign w:val="center"/>
          </w:tcPr>
          <w:p>
            <w:pPr>
              <w:pStyle w:val="14"/>
            </w:pPr>
            <w:r>
              <w:t>支出总计</w:t>
            </w:r>
          </w:p>
        </w:tc>
        <w:tc>
          <w:tcPr>
            <w:tcW w:w="2126" w:type="dxa"/>
            <w:vAlign w:val="center"/>
          </w:tcPr>
          <w:p>
            <w:pPr>
              <w:pStyle w:val="15"/>
            </w:pPr>
            <w:r>
              <w:t>466.02</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216</w:t>
            </w:r>
            <w:r>
              <w:rPr>
                <w:rFonts w:hint="eastAsia"/>
                <w:lang w:eastAsia="zh-CN"/>
              </w:rPr>
              <w:t>001</w:t>
            </w:r>
            <w:r>
              <w:t>中国共产党隆尧县委员会政法委员会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466.02</w:t>
            </w:r>
          </w:p>
        </w:tc>
        <w:tc>
          <w:tcPr>
            <w:tcW w:w="1134" w:type="dxa"/>
            <w:vAlign w:val="center"/>
          </w:tcPr>
          <w:p>
            <w:pPr>
              <w:pStyle w:val="15"/>
            </w:pPr>
            <w:r>
              <w:t>466.02</w:t>
            </w:r>
          </w:p>
        </w:tc>
        <w:tc>
          <w:tcPr>
            <w:tcW w:w="1134" w:type="dxa"/>
            <w:vAlign w:val="center"/>
          </w:tcPr>
          <w:p>
            <w:pPr>
              <w:pStyle w:val="15"/>
            </w:pPr>
            <w:r>
              <w:t>466.02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434.05</w:t>
            </w:r>
          </w:p>
        </w:tc>
        <w:tc>
          <w:tcPr>
            <w:tcW w:w="1134" w:type="dxa"/>
            <w:vAlign w:val="center"/>
          </w:tcPr>
          <w:p>
            <w:pPr>
              <w:pStyle w:val="11"/>
            </w:pPr>
            <w:r>
              <w:t>434.05</w:t>
            </w:r>
          </w:p>
        </w:tc>
        <w:tc>
          <w:tcPr>
            <w:tcW w:w="1134" w:type="dxa"/>
            <w:vAlign w:val="center"/>
          </w:tcPr>
          <w:p>
            <w:pPr>
              <w:pStyle w:val="11"/>
            </w:pPr>
            <w:r>
              <w:t>434.05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434.05</w:t>
            </w:r>
          </w:p>
        </w:tc>
        <w:tc>
          <w:tcPr>
            <w:tcW w:w="1134" w:type="dxa"/>
            <w:vAlign w:val="center"/>
          </w:tcPr>
          <w:p>
            <w:pPr>
              <w:pStyle w:val="11"/>
            </w:pPr>
            <w:r>
              <w:t>434.05</w:t>
            </w:r>
          </w:p>
        </w:tc>
        <w:tc>
          <w:tcPr>
            <w:tcW w:w="1134" w:type="dxa"/>
            <w:vAlign w:val="center"/>
          </w:tcPr>
          <w:p>
            <w:pPr>
              <w:pStyle w:val="11"/>
            </w:pPr>
            <w:r>
              <w:t>434.05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2040299</w:t>
            </w:r>
          </w:p>
        </w:tc>
        <w:tc>
          <w:tcPr>
            <w:tcW w:w="1559" w:type="dxa"/>
            <w:vAlign w:val="center"/>
          </w:tcPr>
          <w:p>
            <w:pPr>
              <w:pStyle w:val="12"/>
            </w:pPr>
            <w:r>
              <w:t>其他公安支出</w:t>
            </w:r>
          </w:p>
        </w:tc>
        <w:tc>
          <w:tcPr>
            <w:tcW w:w="1134" w:type="dxa"/>
            <w:vAlign w:val="center"/>
          </w:tcPr>
          <w:p>
            <w:pPr>
              <w:pStyle w:val="11"/>
            </w:pPr>
            <w:r>
              <w:t>434.05</w:t>
            </w:r>
          </w:p>
        </w:tc>
        <w:tc>
          <w:tcPr>
            <w:tcW w:w="1134" w:type="dxa"/>
            <w:vAlign w:val="center"/>
          </w:tcPr>
          <w:p>
            <w:pPr>
              <w:pStyle w:val="11"/>
            </w:pPr>
            <w:r>
              <w:t>434.05</w:t>
            </w:r>
          </w:p>
        </w:tc>
        <w:tc>
          <w:tcPr>
            <w:tcW w:w="1134" w:type="dxa"/>
            <w:vAlign w:val="center"/>
          </w:tcPr>
          <w:p>
            <w:pPr>
              <w:pStyle w:val="11"/>
            </w:pPr>
            <w:r>
              <w:t>434.05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6.41</w:t>
            </w:r>
          </w:p>
        </w:tc>
        <w:tc>
          <w:tcPr>
            <w:tcW w:w="1134" w:type="dxa"/>
            <w:vAlign w:val="center"/>
          </w:tcPr>
          <w:p>
            <w:pPr>
              <w:pStyle w:val="11"/>
            </w:pPr>
            <w:r>
              <w:t>6.41</w:t>
            </w:r>
          </w:p>
        </w:tc>
        <w:tc>
          <w:tcPr>
            <w:tcW w:w="1134" w:type="dxa"/>
            <w:vAlign w:val="center"/>
          </w:tcPr>
          <w:p>
            <w:pPr>
              <w:pStyle w:val="11"/>
            </w:pPr>
            <w:r>
              <w:t>6.41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6.41</w:t>
            </w:r>
          </w:p>
        </w:tc>
        <w:tc>
          <w:tcPr>
            <w:tcW w:w="1134" w:type="dxa"/>
            <w:vAlign w:val="center"/>
          </w:tcPr>
          <w:p>
            <w:pPr>
              <w:pStyle w:val="11"/>
            </w:pPr>
            <w:r>
              <w:t>6.41</w:t>
            </w:r>
          </w:p>
        </w:tc>
        <w:tc>
          <w:tcPr>
            <w:tcW w:w="1134" w:type="dxa"/>
            <w:vAlign w:val="center"/>
          </w:tcPr>
          <w:p>
            <w:pPr>
              <w:pStyle w:val="11"/>
            </w:pPr>
            <w:r>
              <w:t>6.41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6.41</w:t>
            </w:r>
          </w:p>
        </w:tc>
        <w:tc>
          <w:tcPr>
            <w:tcW w:w="1134" w:type="dxa"/>
            <w:vAlign w:val="center"/>
          </w:tcPr>
          <w:p>
            <w:pPr>
              <w:pStyle w:val="11"/>
            </w:pPr>
            <w:r>
              <w:t>6.41</w:t>
            </w:r>
          </w:p>
        </w:tc>
        <w:tc>
          <w:tcPr>
            <w:tcW w:w="1134" w:type="dxa"/>
            <w:vAlign w:val="center"/>
          </w:tcPr>
          <w:p>
            <w:pPr>
              <w:pStyle w:val="11"/>
            </w:pPr>
            <w:r>
              <w:t>6.41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216</w:t>
            </w:r>
            <w:r>
              <w:rPr>
                <w:rFonts w:hint="eastAsia"/>
                <w:lang w:eastAsia="zh-CN"/>
              </w:rPr>
              <w:t>001</w:t>
            </w:r>
            <w:r>
              <w:t>中国共产党隆尧县委员会政法委员会</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466.02</w:t>
            </w:r>
          </w:p>
        </w:tc>
        <w:tc>
          <w:tcPr>
            <w:tcW w:w="1361" w:type="dxa"/>
            <w:vAlign w:val="center"/>
          </w:tcPr>
          <w:p>
            <w:pPr>
              <w:pStyle w:val="15"/>
            </w:pPr>
            <w:r>
              <w:t>169.89</w:t>
            </w:r>
          </w:p>
        </w:tc>
        <w:tc>
          <w:tcPr>
            <w:tcW w:w="1361" w:type="dxa"/>
            <w:vAlign w:val="center"/>
          </w:tcPr>
          <w:p>
            <w:pPr>
              <w:pStyle w:val="15"/>
            </w:pPr>
            <w:r>
              <w:t>296.13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434.05</w:t>
            </w:r>
          </w:p>
        </w:tc>
        <w:tc>
          <w:tcPr>
            <w:tcW w:w="1361" w:type="dxa"/>
            <w:vAlign w:val="center"/>
          </w:tcPr>
          <w:p>
            <w:pPr>
              <w:pStyle w:val="11"/>
            </w:pPr>
            <w:r>
              <w:t>137.92</w:t>
            </w:r>
          </w:p>
        </w:tc>
        <w:tc>
          <w:tcPr>
            <w:tcW w:w="1361" w:type="dxa"/>
            <w:vAlign w:val="center"/>
          </w:tcPr>
          <w:p>
            <w:pPr>
              <w:pStyle w:val="11"/>
            </w:pPr>
            <w:r>
              <w:t>296.13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pPr>
            <w:r>
              <w:t>434.05</w:t>
            </w:r>
          </w:p>
        </w:tc>
        <w:tc>
          <w:tcPr>
            <w:tcW w:w="1361" w:type="dxa"/>
            <w:vAlign w:val="center"/>
          </w:tcPr>
          <w:p>
            <w:pPr>
              <w:pStyle w:val="11"/>
            </w:pPr>
            <w:r>
              <w:t>137.92</w:t>
            </w:r>
          </w:p>
        </w:tc>
        <w:tc>
          <w:tcPr>
            <w:tcW w:w="1361" w:type="dxa"/>
            <w:vAlign w:val="center"/>
          </w:tcPr>
          <w:p>
            <w:pPr>
              <w:pStyle w:val="11"/>
            </w:pPr>
            <w:r>
              <w:t>296.13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2040299</w:t>
            </w:r>
          </w:p>
        </w:tc>
        <w:tc>
          <w:tcPr>
            <w:tcW w:w="4535" w:type="dxa"/>
            <w:vAlign w:val="center"/>
          </w:tcPr>
          <w:p>
            <w:pPr>
              <w:pStyle w:val="12"/>
            </w:pPr>
            <w:r>
              <w:t>其他公安支出</w:t>
            </w:r>
          </w:p>
        </w:tc>
        <w:tc>
          <w:tcPr>
            <w:tcW w:w="1361" w:type="dxa"/>
            <w:vAlign w:val="center"/>
          </w:tcPr>
          <w:p>
            <w:pPr>
              <w:pStyle w:val="11"/>
            </w:pPr>
            <w:r>
              <w:t>434.05</w:t>
            </w:r>
          </w:p>
        </w:tc>
        <w:tc>
          <w:tcPr>
            <w:tcW w:w="1361" w:type="dxa"/>
            <w:vAlign w:val="center"/>
          </w:tcPr>
          <w:p>
            <w:pPr>
              <w:pStyle w:val="11"/>
            </w:pPr>
            <w:r>
              <w:t>137.92</w:t>
            </w:r>
          </w:p>
        </w:tc>
        <w:tc>
          <w:tcPr>
            <w:tcW w:w="1361" w:type="dxa"/>
            <w:vAlign w:val="center"/>
          </w:tcPr>
          <w:p>
            <w:pPr>
              <w:pStyle w:val="11"/>
            </w:pPr>
            <w:r>
              <w:t>296.13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14.15</w:t>
            </w:r>
          </w:p>
        </w:tc>
        <w:tc>
          <w:tcPr>
            <w:tcW w:w="1361" w:type="dxa"/>
            <w:vAlign w:val="center"/>
          </w:tcPr>
          <w:p>
            <w:pPr>
              <w:pStyle w:val="11"/>
            </w:pPr>
            <w:r>
              <w:t>14.15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14.15</w:t>
            </w:r>
          </w:p>
        </w:tc>
        <w:tc>
          <w:tcPr>
            <w:tcW w:w="1361" w:type="dxa"/>
            <w:vAlign w:val="center"/>
          </w:tcPr>
          <w:p>
            <w:pPr>
              <w:pStyle w:val="11"/>
            </w:pPr>
            <w:r>
              <w:t>14.15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14.15</w:t>
            </w:r>
          </w:p>
        </w:tc>
        <w:tc>
          <w:tcPr>
            <w:tcW w:w="1361" w:type="dxa"/>
            <w:vAlign w:val="center"/>
          </w:tcPr>
          <w:p>
            <w:pPr>
              <w:pStyle w:val="11"/>
            </w:pPr>
            <w:r>
              <w:t>14.15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6.41</w:t>
            </w:r>
          </w:p>
        </w:tc>
        <w:tc>
          <w:tcPr>
            <w:tcW w:w="1361" w:type="dxa"/>
            <w:vAlign w:val="center"/>
          </w:tcPr>
          <w:p>
            <w:pPr>
              <w:pStyle w:val="11"/>
            </w:pPr>
            <w:r>
              <w:t>6.41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6.41</w:t>
            </w:r>
          </w:p>
        </w:tc>
        <w:tc>
          <w:tcPr>
            <w:tcW w:w="1361" w:type="dxa"/>
            <w:vAlign w:val="center"/>
          </w:tcPr>
          <w:p>
            <w:pPr>
              <w:pStyle w:val="11"/>
            </w:pPr>
            <w:r>
              <w:t>6.41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6.41</w:t>
            </w:r>
          </w:p>
        </w:tc>
        <w:tc>
          <w:tcPr>
            <w:tcW w:w="1361" w:type="dxa"/>
            <w:vAlign w:val="center"/>
          </w:tcPr>
          <w:p>
            <w:pPr>
              <w:pStyle w:val="11"/>
            </w:pPr>
            <w:r>
              <w:t>6.41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11.41</w:t>
            </w:r>
          </w:p>
        </w:tc>
        <w:tc>
          <w:tcPr>
            <w:tcW w:w="1361" w:type="dxa"/>
            <w:vAlign w:val="center"/>
          </w:tcPr>
          <w:p>
            <w:pPr>
              <w:pStyle w:val="11"/>
            </w:pPr>
            <w:r>
              <w:t>11.41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11.41</w:t>
            </w:r>
          </w:p>
        </w:tc>
        <w:tc>
          <w:tcPr>
            <w:tcW w:w="1361" w:type="dxa"/>
            <w:vAlign w:val="center"/>
          </w:tcPr>
          <w:p>
            <w:pPr>
              <w:pStyle w:val="11"/>
            </w:pPr>
            <w:r>
              <w:t>11.41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11.41</w:t>
            </w:r>
          </w:p>
        </w:tc>
        <w:tc>
          <w:tcPr>
            <w:tcW w:w="1361" w:type="dxa"/>
            <w:vAlign w:val="center"/>
          </w:tcPr>
          <w:p>
            <w:pPr>
              <w:pStyle w:val="11"/>
            </w:pPr>
            <w:r>
              <w:t>11.41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216</w:t>
            </w:r>
            <w:r>
              <w:rPr>
                <w:rFonts w:hint="eastAsia"/>
                <w:lang w:eastAsia="zh-CN"/>
              </w:rPr>
              <w:t>001</w:t>
            </w:r>
            <w:r>
              <w:t>中国共产党隆尧县委员会政法委员会</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466.02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434.05</w:t>
            </w:r>
          </w:p>
        </w:tc>
        <w:tc>
          <w:tcPr>
            <w:tcW w:w="1474" w:type="dxa"/>
            <w:vAlign w:val="center"/>
          </w:tcPr>
          <w:p>
            <w:pPr>
              <w:pStyle w:val="11"/>
            </w:pPr>
            <w:r>
              <w:t>434.05</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14.15</w:t>
            </w:r>
          </w:p>
        </w:tc>
        <w:tc>
          <w:tcPr>
            <w:tcW w:w="1474" w:type="dxa"/>
            <w:vAlign w:val="center"/>
          </w:tcPr>
          <w:p>
            <w:pPr>
              <w:pStyle w:val="11"/>
            </w:pPr>
            <w:r>
              <w:t>14.15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6.41</w:t>
            </w:r>
          </w:p>
        </w:tc>
        <w:tc>
          <w:tcPr>
            <w:tcW w:w="1474" w:type="dxa"/>
            <w:vAlign w:val="center"/>
          </w:tcPr>
          <w:p>
            <w:pPr>
              <w:pStyle w:val="11"/>
            </w:pPr>
            <w:r>
              <w:t>6.41</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11.41</w:t>
            </w:r>
          </w:p>
        </w:tc>
        <w:tc>
          <w:tcPr>
            <w:tcW w:w="1474" w:type="dxa"/>
            <w:vAlign w:val="center"/>
          </w:tcPr>
          <w:p>
            <w:pPr>
              <w:pStyle w:val="11"/>
            </w:pPr>
            <w:r>
              <w:t>11.41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466.02</w:t>
            </w:r>
          </w:p>
        </w:tc>
        <w:tc>
          <w:tcPr>
            <w:tcW w:w="3402" w:type="dxa"/>
            <w:vAlign w:val="center"/>
          </w:tcPr>
          <w:p>
            <w:pPr>
              <w:pStyle w:val="14"/>
            </w:pPr>
            <w:r>
              <w:t>本年支出合计</w:t>
            </w:r>
          </w:p>
        </w:tc>
        <w:tc>
          <w:tcPr>
            <w:tcW w:w="1474" w:type="dxa"/>
            <w:vAlign w:val="center"/>
          </w:tcPr>
          <w:p>
            <w:pPr>
              <w:pStyle w:val="15"/>
            </w:pPr>
            <w:r>
              <w:t>466.02</w:t>
            </w:r>
          </w:p>
        </w:tc>
        <w:tc>
          <w:tcPr>
            <w:tcW w:w="1474" w:type="dxa"/>
            <w:vAlign w:val="center"/>
          </w:tcPr>
          <w:p>
            <w:pPr>
              <w:pStyle w:val="15"/>
            </w:pPr>
            <w:r>
              <w:t>466.02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466.02</w:t>
            </w:r>
          </w:p>
        </w:tc>
        <w:tc>
          <w:tcPr>
            <w:tcW w:w="3402" w:type="dxa"/>
            <w:vAlign w:val="center"/>
          </w:tcPr>
          <w:p>
            <w:pPr>
              <w:pStyle w:val="14"/>
            </w:pPr>
            <w:r>
              <w:t>支出总计</w:t>
            </w:r>
          </w:p>
        </w:tc>
        <w:tc>
          <w:tcPr>
            <w:tcW w:w="1474" w:type="dxa"/>
            <w:vAlign w:val="center"/>
          </w:tcPr>
          <w:p>
            <w:pPr>
              <w:pStyle w:val="15"/>
            </w:pPr>
            <w:r>
              <w:t>466.02</w:t>
            </w:r>
          </w:p>
        </w:tc>
        <w:tc>
          <w:tcPr>
            <w:tcW w:w="1474" w:type="dxa"/>
            <w:vAlign w:val="center"/>
          </w:tcPr>
          <w:p>
            <w:pPr>
              <w:pStyle w:val="15"/>
            </w:pPr>
            <w:r>
              <w:t>466.02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216</w:t>
            </w:r>
            <w:r>
              <w:rPr>
                <w:rFonts w:hint="eastAsia"/>
                <w:lang w:eastAsia="zh-CN"/>
              </w:rPr>
              <w:t>001</w:t>
            </w:r>
            <w:r>
              <w:t>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466.02</w:t>
            </w:r>
          </w:p>
        </w:tc>
        <w:tc>
          <w:tcPr>
            <w:tcW w:w="2551" w:type="dxa"/>
            <w:vAlign w:val="center"/>
          </w:tcPr>
          <w:p>
            <w:pPr>
              <w:pStyle w:val="15"/>
            </w:pPr>
            <w:r>
              <w:t>169.89</w:t>
            </w:r>
          </w:p>
        </w:tc>
        <w:tc>
          <w:tcPr>
            <w:tcW w:w="2551" w:type="dxa"/>
            <w:vAlign w:val="center"/>
          </w:tcPr>
          <w:p>
            <w:pPr>
              <w:pStyle w:val="15"/>
            </w:pPr>
            <w:r>
              <w:t>296.13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434.05</w:t>
            </w:r>
          </w:p>
        </w:tc>
        <w:tc>
          <w:tcPr>
            <w:tcW w:w="2551" w:type="dxa"/>
            <w:vAlign w:val="center"/>
          </w:tcPr>
          <w:p>
            <w:pPr>
              <w:pStyle w:val="11"/>
            </w:pPr>
            <w:r>
              <w:t>137.92</w:t>
            </w:r>
          </w:p>
        </w:tc>
        <w:tc>
          <w:tcPr>
            <w:tcW w:w="2551" w:type="dxa"/>
            <w:vAlign w:val="center"/>
          </w:tcPr>
          <w:p>
            <w:pPr>
              <w:pStyle w:val="11"/>
            </w:pPr>
            <w:r>
              <w:t>296.13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434.05</w:t>
            </w:r>
          </w:p>
        </w:tc>
        <w:tc>
          <w:tcPr>
            <w:tcW w:w="2551" w:type="dxa"/>
            <w:vAlign w:val="center"/>
          </w:tcPr>
          <w:p>
            <w:pPr>
              <w:pStyle w:val="11"/>
            </w:pPr>
            <w:r>
              <w:t>137.92</w:t>
            </w:r>
          </w:p>
        </w:tc>
        <w:tc>
          <w:tcPr>
            <w:tcW w:w="2551" w:type="dxa"/>
            <w:vAlign w:val="center"/>
          </w:tcPr>
          <w:p>
            <w:pPr>
              <w:pStyle w:val="11"/>
            </w:pPr>
            <w:r>
              <w:t>296.13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2040299</w:t>
            </w:r>
          </w:p>
        </w:tc>
        <w:tc>
          <w:tcPr>
            <w:tcW w:w="4535" w:type="dxa"/>
            <w:vAlign w:val="center"/>
          </w:tcPr>
          <w:p>
            <w:pPr>
              <w:pStyle w:val="12"/>
            </w:pPr>
            <w:r>
              <w:t>其他公安支出</w:t>
            </w:r>
          </w:p>
        </w:tc>
        <w:tc>
          <w:tcPr>
            <w:tcW w:w="2551" w:type="dxa"/>
            <w:vAlign w:val="center"/>
          </w:tcPr>
          <w:p>
            <w:pPr>
              <w:pStyle w:val="11"/>
            </w:pPr>
            <w:r>
              <w:t>434.05</w:t>
            </w:r>
          </w:p>
        </w:tc>
        <w:tc>
          <w:tcPr>
            <w:tcW w:w="2551" w:type="dxa"/>
            <w:vAlign w:val="center"/>
          </w:tcPr>
          <w:p>
            <w:pPr>
              <w:pStyle w:val="11"/>
            </w:pPr>
            <w:r>
              <w:t>137.92</w:t>
            </w:r>
          </w:p>
        </w:tc>
        <w:tc>
          <w:tcPr>
            <w:tcW w:w="2551" w:type="dxa"/>
            <w:vAlign w:val="center"/>
          </w:tcPr>
          <w:p>
            <w:pPr>
              <w:pStyle w:val="11"/>
            </w:pPr>
            <w:r>
              <w:t>296.13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14.15</w:t>
            </w:r>
          </w:p>
        </w:tc>
        <w:tc>
          <w:tcPr>
            <w:tcW w:w="2551" w:type="dxa"/>
            <w:vAlign w:val="center"/>
          </w:tcPr>
          <w:p>
            <w:pPr>
              <w:pStyle w:val="11"/>
            </w:pPr>
            <w:r>
              <w:t>14.15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14.15</w:t>
            </w:r>
          </w:p>
        </w:tc>
        <w:tc>
          <w:tcPr>
            <w:tcW w:w="2551" w:type="dxa"/>
            <w:vAlign w:val="center"/>
          </w:tcPr>
          <w:p>
            <w:pPr>
              <w:pStyle w:val="11"/>
            </w:pPr>
            <w:r>
              <w:t>14.15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14.15</w:t>
            </w:r>
          </w:p>
        </w:tc>
        <w:tc>
          <w:tcPr>
            <w:tcW w:w="2551" w:type="dxa"/>
            <w:vAlign w:val="center"/>
          </w:tcPr>
          <w:p>
            <w:pPr>
              <w:pStyle w:val="11"/>
            </w:pPr>
            <w:r>
              <w:t>14.15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6.41</w:t>
            </w:r>
          </w:p>
        </w:tc>
        <w:tc>
          <w:tcPr>
            <w:tcW w:w="2551" w:type="dxa"/>
            <w:vAlign w:val="center"/>
          </w:tcPr>
          <w:p>
            <w:pPr>
              <w:pStyle w:val="11"/>
            </w:pPr>
            <w:r>
              <w:t>6.41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6.41</w:t>
            </w:r>
          </w:p>
        </w:tc>
        <w:tc>
          <w:tcPr>
            <w:tcW w:w="2551" w:type="dxa"/>
            <w:vAlign w:val="center"/>
          </w:tcPr>
          <w:p>
            <w:pPr>
              <w:pStyle w:val="11"/>
            </w:pPr>
            <w:r>
              <w:t>6.41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6.41</w:t>
            </w:r>
          </w:p>
        </w:tc>
        <w:tc>
          <w:tcPr>
            <w:tcW w:w="2551" w:type="dxa"/>
            <w:vAlign w:val="center"/>
          </w:tcPr>
          <w:p>
            <w:pPr>
              <w:pStyle w:val="11"/>
            </w:pPr>
            <w:r>
              <w:t>6.41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11.41</w:t>
            </w:r>
          </w:p>
        </w:tc>
        <w:tc>
          <w:tcPr>
            <w:tcW w:w="2551" w:type="dxa"/>
            <w:vAlign w:val="center"/>
          </w:tcPr>
          <w:p>
            <w:pPr>
              <w:pStyle w:val="11"/>
            </w:pPr>
            <w:r>
              <w:t>11.41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11.41</w:t>
            </w:r>
          </w:p>
        </w:tc>
        <w:tc>
          <w:tcPr>
            <w:tcW w:w="2551" w:type="dxa"/>
            <w:vAlign w:val="center"/>
          </w:tcPr>
          <w:p>
            <w:pPr>
              <w:pStyle w:val="11"/>
            </w:pPr>
            <w:r>
              <w:t>11.41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11.41</w:t>
            </w:r>
          </w:p>
        </w:tc>
        <w:tc>
          <w:tcPr>
            <w:tcW w:w="2551" w:type="dxa"/>
            <w:vAlign w:val="center"/>
          </w:tcPr>
          <w:p>
            <w:pPr>
              <w:pStyle w:val="11"/>
            </w:pPr>
            <w:r>
              <w:t>11.41</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216</w:t>
            </w:r>
            <w:r>
              <w:rPr>
                <w:rFonts w:hint="eastAsia"/>
                <w:lang w:eastAsia="zh-CN"/>
              </w:rPr>
              <w:t>001</w:t>
            </w:r>
            <w:r>
              <w:t>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169.89</w:t>
            </w:r>
          </w:p>
        </w:tc>
        <w:tc>
          <w:tcPr>
            <w:tcW w:w="2551" w:type="dxa"/>
            <w:vAlign w:val="center"/>
          </w:tcPr>
          <w:p>
            <w:pPr>
              <w:pStyle w:val="15"/>
            </w:pPr>
            <w:r>
              <w:t>155.61</w:t>
            </w:r>
          </w:p>
        </w:tc>
        <w:tc>
          <w:tcPr>
            <w:tcW w:w="2551" w:type="dxa"/>
            <w:vAlign w:val="center"/>
          </w:tcPr>
          <w:p>
            <w:pPr>
              <w:pStyle w:val="15"/>
            </w:pPr>
            <w:r>
              <w:t>14.28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148.29</w:t>
            </w:r>
          </w:p>
        </w:tc>
        <w:tc>
          <w:tcPr>
            <w:tcW w:w="2551" w:type="dxa"/>
            <w:vAlign w:val="center"/>
          </w:tcPr>
          <w:p>
            <w:pPr>
              <w:pStyle w:val="11"/>
            </w:pPr>
            <w:r>
              <w:t>148.29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56.58</w:t>
            </w:r>
          </w:p>
        </w:tc>
        <w:tc>
          <w:tcPr>
            <w:tcW w:w="2551" w:type="dxa"/>
            <w:vAlign w:val="center"/>
          </w:tcPr>
          <w:p>
            <w:pPr>
              <w:pStyle w:val="11"/>
            </w:pPr>
            <w:r>
              <w:t>56.58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37.11</w:t>
            </w:r>
          </w:p>
        </w:tc>
        <w:tc>
          <w:tcPr>
            <w:tcW w:w="2551" w:type="dxa"/>
            <w:vAlign w:val="center"/>
          </w:tcPr>
          <w:p>
            <w:pPr>
              <w:pStyle w:val="11"/>
            </w:pPr>
            <w:r>
              <w:t>37.11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22.23</w:t>
            </w:r>
          </w:p>
        </w:tc>
        <w:tc>
          <w:tcPr>
            <w:tcW w:w="2551" w:type="dxa"/>
            <w:vAlign w:val="center"/>
          </w:tcPr>
          <w:p>
            <w:pPr>
              <w:pStyle w:val="11"/>
            </w:pPr>
            <w:r>
              <w:t>22.23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14.15</w:t>
            </w:r>
          </w:p>
        </w:tc>
        <w:tc>
          <w:tcPr>
            <w:tcW w:w="2551" w:type="dxa"/>
            <w:vAlign w:val="center"/>
          </w:tcPr>
          <w:p>
            <w:pPr>
              <w:pStyle w:val="11"/>
            </w:pPr>
            <w:r>
              <w:t>14.15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6.41</w:t>
            </w:r>
          </w:p>
        </w:tc>
        <w:tc>
          <w:tcPr>
            <w:tcW w:w="2551" w:type="dxa"/>
            <w:vAlign w:val="center"/>
          </w:tcPr>
          <w:p>
            <w:pPr>
              <w:pStyle w:val="11"/>
            </w:pPr>
            <w:r>
              <w:t>6.41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0.39</w:t>
            </w:r>
          </w:p>
        </w:tc>
        <w:tc>
          <w:tcPr>
            <w:tcW w:w="2551" w:type="dxa"/>
            <w:vAlign w:val="center"/>
          </w:tcPr>
          <w:p>
            <w:pPr>
              <w:pStyle w:val="11"/>
            </w:pPr>
            <w:r>
              <w:t>0.39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11.41</w:t>
            </w:r>
          </w:p>
        </w:tc>
        <w:tc>
          <w:tcPr>
            <w:tcW w:w="2551" w:type="dxa"/>
            <w:vAlign w:val="center"/>
          </w:tcPr>
          <w:p>
            <w:pPr>
              <w:pStyle w:val="11"/>
            </w:pPr>
            <w:r>
              <w:t>11.41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14.28</w:t>
            </w:r>
          </w:p>
        </w:tc>
        <w:tc>
          <w:tcPr>
            <w:tcW w:w="2551" w:type="dxa"/>
            <w:vAlign w:val="center"/>
          </w:tcPr>
          <w:p>
            <w:pPr>
              <w:pStyle w:val="11"/>
            </w:pPr>
          </w:p>
        </w:tc>
        <w:tc>
          <w:tcPr>
            <w:tcW w:w="2551" w:type="dxa"/>
            <w:vAlign w:val="center"/>
          </w:tcPr>
          <w:p>
            <w:pPr>
              <w:pStyle w:val="11"/>
            </w:pPr>
            <w:r>
              <w:t>14.28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0.36</w:t>
            </w:r>
          </w:p>
        </w:tc>
        <w:tc>
          <w:tcPr>
            <w:tcW w:w="2551" w:type="dxa"/>
            <w:vAlign w:val="center"/>
          </w:tcPr>
          <w:p>
            <w:pPr>
              <w:pStyle w:val="11"/>
            </w:pPr>
          </w:p>
        </w:tc>
        <w:tc>
          <w:tcPr>
            <w:tcW w:w="2551"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0.52</w:t>
            </w:r>
          </w:p>
        </w:tc>
        <w:tc>
          <w:tcPr>
            <w:tcW w:w="2551" w:type="dxa"/>
            <w:vAlign w:val="center"/>
          </w:tcPr>
          <w:p>
            <w:pPr>
              <w:pStyle w:val="11"/>
            </w:pPr>
          </w:p>
        </w:tc>
        <w:tc>
          <w:tcPr>
            <w:tcW w:w="2551" w:type="dxa"/>
            <w:vAlign w:val="center"/>
          </w:tcPr>
          <w:p>
            <w:pPr>
              <w:pStyle w:val="11"/>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8.28</w:t>
            </w:r>
          </w:p>
        </w:tc>
        <w:tc>
          <w:tcPr>
            <w:tcW w:w="2551" w:type="dxa"/>
            <w:vAlign w:val="center"/>
          </w:tcPr>
          <w:p>
            <w:pPr>
              <w:pStyle w:val="11"/>
            </w:pPr>
          </w:p>
        </w:tc>
        <w:tc>
          <w:tcPr>
            <w:tcW w:w="2551" w:type="dxa"/>
            <w:vAlign w:val="center"/>
          </w:tcPr>
          <w:p>
            <w:pPr>
              <w:pStyle w:val="11"/>
            </w:pPr>
            <w:r>
              <w:t>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7.32</w:t>
            </w:r>
          </w:p>
        </w:tc>
        <w:tc>
          <w:tcPr>
            <w:tcW w:w="2551" w:type="dxa"/>
            <w:vAlign w:val="center"/>
          </w:tcPr>
          <w:p>
            <w:pPr>
              <w:pStyle w:val="11"/>
            </w:pPr>
            <w:r>
              <w:t>7.32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7.32</w:t>
            </w:r>
          </w:p>
        </w:tc>
        <w:tc>
          <w:tcPr>
            <w:tcW w:w="2551" w:type="dxa"/>
            <w:vAlign w:val="center"/>
          </w:tcPr>
          <w:p>
            <w:pPr>
              <w:pStyle w:val="11"/>
            </w:pPr>
            <w:r>
              <w:t>7.32</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216</w:t>
            </w:r>
            <w:r>
              <w:rPr>
                <w:rFonts w:hint="eastAsia"/>
                <w:lang w:eastAsia="zh-CN"/>
              </w:rPr>
              <w:t>001</w:t>
            </w:r>
            <w:r>
              <w:t>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216</w:t>
            </w:r>
            <w:r>
              <w:rPr>
                <w:rFonts w:hint="eastAsia"/>
                <w:lang w:eastAsia="zh-CN"/>
              </w:rPr>
              <w:t>001</w:t>
            </w:r>
            <w:r>
              <w:t>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216</w:t>
            </w:r>
            <w:r>
              <w:rPr>
                <w:rFonts w:hint="eastAsia"/>
                <w:lang w:eastAsia="zh-CN"/>
              </w:rPr>
              <w:t>001</w:t>
            </w:r>
            <w:r>
              <w:t>中国共产党隆尧县委员会政法委员会</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2.00</w:t>
            </w:r>
          </w:p>
        </w:tc>
        <w:tc>
          <w:tcPr>
            <w:tcW w:w="2381" w:type="dxa"/>
            <w:vAlign w:val="center"/>
          </w:tcPr>
          <w:p>
            <w:pPr>
              <w:pStyle w:val="15"/>
            </w:pPr>
            <w:r>
              <w:t>2.00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bl>
    <w:p>
      <w:pPr>
        <w:jc w:val="center"/>
        <w:outlineLvl w:val="0"/>
        <w:rPr>
          <w:rFonts w:ascii="方正书宋_GBK" w:hAnsi="方正书宋_GBK" w:eastAsia="方正书宋_GBK" w:cs="方正书宋_GBK"/>
          <w:color w:val="FFFFFF"/>
          <w:sz w:val="21"/>
        </w:rPr>
        <w:sectPr>
          <w:pgSz w:w="16840" w:h="11900" w:orient="landscape"/>
          <w:pgMar w:top="1361" w:right="1020" w:bottom="1361" w:left="1020" w:header="720" w:footer="720" w:gutter="0"/>
          <w:pgNumType w:fmt="decimal"/>
          <w:cols w:space="720" w:num="1"/>
        </w:sectPr>
      </w:pPr>
    </w:p>
    <w:p>
      <w:pPr>
        <w:jc w:val="cente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中国共产党隆尧县委员会政法委员会</w:t>
      </w:r>
    </w:p>
    <w:p>
      <w:pPr>
        <w:jc w:val="center"/>
      </w:pPr>
      <w:r>
        <w:rPr>
          <w:rFonts w:ascii="方正小标宋_GBK" w:hAnsi="方正小标宋_GBK" w:eastAsia="方正小标宋_GBK" w:cs="方正小标宋_GBK"/>
          <w:color w:val="000000"/>
          <w:sz w:val="44"/>
        </w:rPr>
        <w:t>2024年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line="500" w:lineRule="exact"/>
        <w:ind w:firstLine="560"/>
        <w:rPr>
          <w:rFonts w:ascii="仿宋" w:hAnsi="仿宋" w:eastAsia="仿宋"/>
          <w:color w:val="000000"/>
          <w:sz w:val="32"/>
          <w:szCs w:val="32"/>
        </w:rPr>
      </w:pPr>
    </w:p>
    <w:p>
      <w:pPr>
        <w:snapToGrid w:val="0"/>
        <w:spacing w:line="600" w:lineRule="atLeast"/>
        <w:ind w:firstLine="560"/>
        <w:jc w:val="both"/>
        <w:rPr>
          <w:rFonts w:ascii="仿宋" w:hAnsi="仿宋" w:eastAsia="仿宋"/>
          <w:color w:val="000000"/>
          <w:sz w:val="32"/>
          <w:szCs w:val="32"/>
        </w:rPr>
      </w:pPr>
      <w:r>
        <w:rPr>
          <w:rFonts w:ascii="仿宋" w:hAnsi="仿宋" w:eastAsia="仿宋"/>
          <w:color w:val="000000"/>
          <w:sz w:val="32"/>
          <w:szCs w:val="32"/>
        </w:rPr>
        <w:t>按照《中华人民共和国预算法》《地方预决算公开操作规程》和《关于进一步推进预算公开工作的实施意见》规定，现将中国共产党隆尧县委员会政法委员会2024年</w:t>
      </w:r>
      <w:r>
        <w:rPr>
          <w:rFonts w:hint="eastAsia" w:ascii="仿宋" w:hAnsi="仿宋" w:eastAsia="仿宋"/>
          <w:color w:val="000000"/>
          <w:sz w:val="32"/>
          <w:szCs w:val="32"/>
          <w:lang w:eastAsia="zh-CN"/>
        </w:rPr>
        <w:t>单位</w:t>
      </w:r>
      <w:r>
        <w:rPr>
          <w:rFonts w:ascii="仿宋" w:hAnsi="仿宋" w:eastAsia="仿宋"/>
          <w:color w:val="000000"/>
          <w:sz w:val="32"/>
          <w:szCs w:val="32"/>
        </w:rPr>
        <w:t>预算公开如下：</w:t>
      </w:r>
      <w:bookmarkStart w:id="9" w:name="_Toc_3_3_0000000010"/>
    </w:p>
    <w:p>
      <w:pPr>
        <w:snapToGrid w:val="0"/>
        <w:spacing w:line="600" w:lineRule="atLeast"/>
        <w:ind w:firstLine="640" w:firstLineChars="200"/>
        <w:rPr>
          <w:rFonts w:ascii="仿宋" w:hAnsi="仿宋" w:eastAsia="仿宋"/>
          <w:sz w:val="32"/>
          <w:szCs w:val="32"/>
        </w:rPr>
      </w:pPr>
      <w:r>
        <w:rPr>
          <w:rFonts w:hint="eastAsia" w:ascii="黑体" w:hAnsi="黑体" w:eastAsia="黑体"/>
          <w:sz w:val="32"/>
          <w:szCs w:val="32"/>
        </w:rPr>
        <w:t>一、</w:t>
      </w:r>
      <w:r>
        <w:rPr>
          <w:rFonts w:hint="eastAsia" w:ascii="黑体" w:hAnsi="黑体" w:eastAsia="黑体"/>
          <w:sz w:val="32"/>
          <w:szCs w:val="32"/>
          <w:lang w:eastAsia="zh-CN"/>
        </w:rPr>
        <w:t>单位</w:t>
      </w:r>
      <w:r>
        <w:rPr>
          <w:rFonts w:hint="eastAsia" w:ascii="黑体" w:hAnsi="黑体" w:eastAsia="黑体"/>
          <w:sz w:val="32"/>
          <w:szCs w:val="32"/>
        </w:rPr>
        <w:t>职责及机构设置情况</w:t>
      </w:r>
    </w:p>
    <w:p>
      <w:pPr>
        <w:autoSpaceDE w:val="0"/>
        <w:autoSpaceDN w:val="0"/>
        <w:adjustRightInd w:val="0"/>
        <w:snapToGrid w:val="0"/>
        <w:spacing w:line="600" w:lineRule="atLeast"/>
        <w:ind w:firstLine="643" w:firstLineChars="200"/>
        <w:rPr>
          <w:rFonts w:ascii="仿宋" w:hAnsi="仿宋" w:eastAsia="仿宋" w:cs="宋体"/>
          <w:sz w:val="32"/>
          <w:szCs w:val="32"/>
        </w:rPr>
      </w:pPr>
      <w:r>
        <w:rPr>
          <w:rFonts w:hint="eastAsia" w:ascii="仿宋" w:hAnsi="仿宋" w:eastAsia="仿宋"/>
          <w:b/>
          <w:sz w:val="32"/>
          <w:szCs w:val="32"/>
          <w:lang w:eastAsia="zh-CN"/>
        </w:rPr>
        <w:t>单位</w:t>
      </w:r>
      <w:r>
        <w:rPr>
          <w:rFonts w:hint="eastAsia" w:ascii="仿宋" w:hAnsi="仿宋" w:eastAsia="仿宋"/>
          <w:b/>
          <w:sz w:val="32"/>
          <w:szCs w:val="32"/>
        </w:rPr>
        <w:t>职责：</w:t>
      </w:r>
      <w:r>
        <w:rPr>
          <w:rFonts w:hint="eastAsia" w:ascii="仿宋" w:hAnsi="仿宋" w:eastAsia="仿宋" w:cs="仿宋_GB2312"/>
          <w:sz w:val="32"/>
          <w:szCs w:val="32"/>
          <w:lang w:val="zh-CN"/>
        </w:rPr>
        <w:t>县委政法委是县委主管政法方面工作的综合职能</w:t>
      </w:r>
      <w:r>
        <w:rPr>
          <w:rFonts w:hint="eastAsia" w:ascii="仿宋" w:hAnsi="仿宋" w:eastAsia="仿宋" w:cs="仿宋_GB2312"/>
          <w:sz w:val="32"/>
          <w:szCs w:val="32"/>
          <w:lang w:eastAsia="zh-CN"/>
        </w:rPr>
        <w:t>单位</w:t>
      </w:r>
      <w:r>
        <w:rPr>
          <w:rFonts w:ascii="仿宋" w:hAnsi="仿宋" w:eastAsia="仿宋" w:cs="仿宋_GB2312"/>
          <w:sz w:val="32"/>
          <w:szCs w:val="32"/>
          <w:lang w:val="zh-CN"/>
        </w:rPr>
        <w:t>;</w:t>
      </w:r>
      <w:r>
        <w:rPr>
          <w:rFonts w:hint="eastAsia" w:ascii="仿宋" w:hAnsi="仿宋" w:eastAsia="仿宋" w:cs="仿宋_GB2312"/>
          <w:sz w:val="32"/>
          <w:szCs w:val="32"/>
          <w:lang w:val="zh-CN"/>
        </w:rPr>
        <w:t>主要职责是</w:t>
      </w:r>
      <w:r>
        <w:rPr>
          <w:rFonts w:ascii="仿宋" w:hAnsi="仿宋" w:eastAsia="仿宋" w:cs="仿宋_GB2312"/>
          <w:sz w:val="32"/>
          <w:szCs w:val="32"/>
          <w:lang w:val="zh-CN"/>
        </w:rPr>
        <w:t>:</w:t>
      </w:r>
      <w:r>
        <w:rPr>
          <w:rFonts w:hint="eastAsia" w:ascii="仿宋" w:hAnsi="仿宋" w:eastAsia="仿宋" w:cs="宋体"/>
          <w:sz w:val="32"/>
          <w:szCs w:val="32"/>
        </w:rPr>
        <w:t>贯彻落实中央和省、市委有关政法工作、政法干部队伍建设和社会治安综合治理工作的方针、政策、指示，根据上级政法委员会、社会治安综合治理委员会和县委、县政府的部署，指导政法各部门和综合治理成员单位的工作。围绕县委、县政府改革和发展的中心工作，对一定时期内的政法工作和社会治安综合治理工作作出部署，并督促贯彻落实；参与依法治县方针的实施。组织、协调、指导维护社会稳定工作，督促有关部门抓好落实。组织开展政法工作和社会治安综合治理工作调查研究，提出政法工作改革和加强社会治安综合治理工作的意见。检查监督政法部门执行法律法规和党的方针政策的情况，研究制定严肃执法、落实党的方针政策的具体措施，督促纠正执法中存在的问题，协助有关部门查处执法中的违法违纪问题。支持、监督政法各部门依法行使职权，组织查处地方和部门保护主义及非法干涉、干预和影响政法干警依法执行公务的事件；督促、协调政法各部门密切配合查处大案要案，研究、协调有争议的重大、疑难案件；指导全县政法部门信访工作。组织协调社会治安综合治理工作，研究制定并督促落实社会治安综合治理的有关措施。研究制定加强政法干部队伍建设的措施；组织指导政法部门干部队伍的教育管理和培训工作。组织、指导有关部门开展政法、综治宣传工作，推广政法、综合治理工作的先进经验，表彰政法、综合治理工作的先进单位和先进个人。</w:t>
      </w:r>
    </w:p>
    <w:p>
      <w:pPr>
        <w:autoSpaceDE w:val="0"/>
        <w:autoSpaceDN w:val="0"/>
        <w:adjustRightInd w:val="0"/>
        <w:snapToGrid w:val="0"/>
        <w:spacing w:line="600" w:lineRule="atLeast"/>
        <w:ind w:firstLine="643" w:firstLineChars="200"/>
        <w:rPr>
          <w:rFonts w:ascii="仿宋" w:hAnsi="仿宋" w:eastAsia="仿宋" w:cs="宋体"/>
          <w:sz w:val="32"/>
          <w:szCs w:val="32"/>
        </w:rPr>
      </w:pPr>
      <w:r>
        <w:rPr>
          <w:rFonts w:hint="eastAsia" w:ascii="仿宋" w:hAnsi="仿宋" w:eastAsia="仿宋"/>
          <w:b/>
          <w:sz w:val="32"/>
          <w:szCs w:val="32"/>
        </w:rPr>
        <w:t>机构设置：</w:t>
      </w:r>
      <w:r>
        <w:rPr>
          <w:rFonts w:hint="eastAsia" w:ascii="仿宋" w:hAnsi="仿宋" w:eastAsia="仿宋" w:cs="宋体"/>
          <w:sz w:val="32"/>
          <w:szCs w:val="32"/>
        </w:rPr>
        <w:t>根据上述职责，政法委设</w:t>
      </w:r>
      <w:r>
        <w:rPr>
          <w:rFonts w:ascii="仿宋" w:hAnsi="仿宋" w:eastAsia="仿宋" w:cs="宋体"/>
          <w:sz w:val="32"/>
          <w:szCs w:val="32"/>
        </w:rPr>
        <w:t>5</w:t>
      </w:r>
      <w:r>
        <w:rPr>
          <w:rFonts w:hint="eastAsia" w:ascii="仿宋" w:hAnsi="仿宋" w:eastAsia="仿宋" w:cs="宋体"/>
          <w:sz w:val="32"/>
          <w:szCs w:val="32"/>
        </w:rPr>
        <w:t>个内设机构：分别是办公室、法治执法监督股、维稳指导股、综治督导股、反邪教协调股。</w:t>
      </w:r>
    </w:p>
    <w:p>
      <w:pPr>
        <w:snapToGrid w:val="0"/>
        <w:spacing w:line="600" w:lineRule="atLeast"/>
        <w:outlineLvl w:val="0"/>
        <w:rPr>
          <w:rFonts w:eastAsia="方正小标宋_GBK"/>
          <w:sz w:val="32"/>
        </w:rPr>
      </w:pPr>
      <w:r>
        <w:rPr>
          <w:rFonts w:hint="eastAsia" w:eastAsia="方正小标宋_GBK"/>
          <w:sz w:val="32"/>
          <w:lang w:eastAsia="zh-CN"/>
        </w:rPr>
        <w:t>单位</w:t>
      </w:r>
      <w:r>
        <w:rPr>
          <w:rFonts w:hint="eastAsia" w:eastAsia="方正小标宋_GBK"/>
          <w:sz w:val="32"/>
        </w:rPr>
        <w:t>机构设置情况</w:t>
      </w:r>
    </w:p>
    <w:tbl>
      <w:tblPr>
        <w:tblStyle w:val="4"/>
        <w:tblW w:w="91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12"/>
        <w:gridCol w:w="2225"/>
        <w:gridCol w:w="1276"/>
        <w:gridCol w:w="2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tblHeader/>
          <w:jc w:val="center"/>
        </w:trPr>
        <w:tc>
          <w:tcPr>
            <w:tcW w:w="3012" w:type="dxa"/>
            <w:vMerge w:val="restart"/>
            <w:vAlign w:val="center"/>
          </w:tcPr>
          <w:p>
            <w:pPr>
              <w:snapToGrid w:val="0"/>
              <w:spacing w:line="600" w:lineRule="atLeast"/>
              <w:rPr>
                <w:rFonts w:eastAsia="方正书宋_GBK"/>
                <w:b/>
              </w:rPr>
            </w:pPr>
            <w:r>
              <w:rPr>
                <w:rFonts w:hint="eastAsia" w:eastAsia="方正书宋_GBK"/>
                <w:b/>
              </w:rPr>
              <w:t>单位名称</w:t>
            </w:r>
          </w:p>
        </w:tc>
        <w:tc>
          <w:tcPr>
            <w:tcW w:w="2225" w:type="dxa"/>
            <w:vMerge w:val="restart"/>
            <w:vAlign w:val="center"/>
          </w:tcPr>
          <w:p>
            <w:pPr>
              <w:snapToGrid w:val="0"/>
              <w:spacing w:line="600" w:lineRule="atLeast"/>
              <w:rPr>
                <w:rFonts w:eastAsia="方正书宋_GBK"/>
                <w:b/>
              </w:rPr>
            </w:pPr>
            <w:r>
              <w:rPr>
                <w:rFonts w:hint="eastAsia" w:eastAsia="方正书宋_GBK"/>
                <w:b/>
              </w:rPr>
              <w:t>单位性质</w:t>
            </w:r>
          </w:p>
        </w:tc>
        <w:tc>
          <w:tcPr>
            <w:tcW w:w="1276" w:type="dxa"/>
            <w:vMerge w:val="restart"/>
            <w:vAlign w:val="center"/>
          </w:tcPr>
          <w:p>
            <w:pPr>
              <w:snapToGrid w:val="0"/>
              <w:spacing w:line="600" w:lineRule="atLeast"/>
              <w:rPr>
                <w:rFonts w:eastAsia="方正书宋_GBK"/>
                <w:b/>
              </w:rPr>
            </w:pPr>
            <w:r>
              <w:rPr>
                <w:rFonts w:hint="eastAsia" w:eastAsia="方正书宋_GBK"/>
                <w:b/>
              </w:rPr>
              <w:t>单位规格</w:t>
            </w:r>
          </w:p>
        </w:tc>
        <w:tc>
          <w:tcPr>
            <w:tcW w:w="2674" w:type="dxa"/>
            <w:vMerge w:val="restart"/>
            <w:vAlign w:val="center"/>
          </w:tcPr>
          <w:p>
            <w:pPr>
              <w:snapToGrid w:val="0"/>
              <w:spacing w:line="600" w:lineRule="atLeast"/>
              <w:rPr>
                <w:rFonts w:eastAsia="方正书宋_GBK"/>
                <w:b/>
              </w:rPr>
            </w:pPr>
            <w:r>
              <w:rPr>
                <w:rFonts w:hint="eastAsia"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tblHeader/>
          <w:jc w:val="center"/>
        </w:trPr>
        <w:tc>
          <w:tcPr>
            <w:tcW w:w="3012" w:type="dxa"/>
            <w:vMerge w:val="continue"/>
            <w:vAlign w:val="center"/>
          </w:tcPr>
          <w:p>
            <w:pPr>
              <w:snapToGrid w:val="0"/>
              <w:spacing w:line="600" w:lineRule="atLeast"/>
              <w:outlineLvl w:val="0"/>
            </w:pPr>
          </w:p>
        </w:tc>
        <w:tc>
          <w:tcPr>
            <w:tcW w:w="2225" w:type="dxa"/>
            <w:vMerge w:val="continue"/>
            <w:vAlign w:val="center"/>
          </w:tcPr>
          <w:p>
            <w:pPr>
              <w:snapToGrid w:val="0"/>
              <w:spacing w:line="600" w:lineRule="atLeast"/>
              <w:outlineLvl w:val="0"/>
            </w:pPr>
          </w:p>
        </w:tc>
        <w:tc>
          <w:tcPr>
            <w:tcW w:w="1276" w:type="dxa"/>
            <w:vMerge w:val="continue"/>
            <w:vAlign w:val="center"/>
          </w:tcPr>
          <w:p>
            <w:pPr>
              <w:snapToGrid w:val="0"/>
              <w:spacing w:line="600" w:lineRule="atLeast"/>
              <w:outlineLvl w:val="0"/>
            </w:pPr>
          </w:p>
        </w:tc>
        <w:tc>
          <w:tcPr>
            <w:tcW w:w="2674" w:type="dxa"/>
            <w:vMerge w:val="continue"/>
            <w:vAlign w:val="center"/>
          </w:tcPr>
          <w:p>
            <w:pPr>
              <w:snapToGrid w:val="0"/>
              <w:spacing w:line="600" w:lineRule="atLeas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012" w:type="dxa"/>
            <w:vAlign w:val="center"/>
          </w:tcPr>
          <w:p>
            <w:pPr>
              <w:snapToGrid w:val="0"/>
              <w:spacing w:line="600" w:lineRule="atLeast"/>
              <w:rPr>
                <w:rFonts w:eastAsia="方正书宋_GBK"/>
              </w:rPr>
            </w:pPr>
            <w:r>
              <w:rPr>
                <w:rFonts w:hint="eastAsia" w:ascii="宋体" w:hAnsi="宋体" w:cs="宋体"/>
              </w:rPr>
              <w:t>县委</w:t>
            </w:r>
            <w:r>
              <w:rPr>
                <w:rFonts w:hint="eastAsia" w:eastAsia="方正书宋_GBK"/>
              </w:rPr>
              <w:t>政法委</w:t>
            </w:r>
          </w:p>
        </w:tc>
        <w:tc>
          <w:tcPr>
            <w:tcW w:w="2225" w:type="dxa"/>
            <w:vAlign w:val="center"/>
          </w:tcPr>
          <w:p>
            <w:pPr>
              <w:snapToGrid w:val="0"/>
              <w:spacing w:line="600" w:lineRule="atLeast"/>
              <w:rPr>
                <w:rFonts w:eastAsia="方正书宋_GBK"/>
              </w:rPr>
            </w:pPr>
            <w:r>
              <w:rPr>
                <w:rFonts w:hint="eastAsia" w:ascii="方正书宋_GBK" w:eastAsia="方正书宋_GBK"/>
              </w:rPr>
              <w:t>行政</w:t>
            </w:r>
          </w:p>
        </w:tc>
        <w:tc>
          <w:tcPr>
            <w:tcW w:w="1276" w:type="dxa"/>
            <w:vAlign w:val="center"/>
          </w:tcPr>
          <w:p>
            <w:pPr>
              <w:snapToGrid w:val="0"/>
              <w:spacing w:line="600" w:lineRule="atLeast"/>
              <w:rPr>
                <w:rFonts w:eastAsia="方正书宋_GBK"/>
              </w:rPr>
            </w:pPr>
            <w:r>
              <w:rPr>
                <w:rFonts w:hint="eastAsia" w:eastAsia="方正书宋_GBK"/>
              </w:rPr>
              <w:t>正科级</w:t>
            </w:r>
          </w:p>
        </w:tc>
        <w:tc>
          <w:tcPr>
            <w:tcW w:w="2674" w:type="dxa"/>
            <w:vAlign w:val="center"/>
          </w:tcPr>
          <w:p>
            <w:pPr>
              <w:snapToGrid w:val="0"/>
              <w:spacing w:line="600" w:lineRule="atLeast"/>
              <w:rPr>
                <w:rFonts w:eastAsia="方正书宋_GBK"/>
              </w:rPr>
            </w:pPr>
            <w:r>
              <w:rPr>
                <w:rFonts w:hint="eastAsia" w:ascii="方正书宋_GBK" w:eastAsia="方正书宋_GBK"/>
              </w:rPr>
              <w:t>财政拨款</w:t>
            </w:r>
          </w:p>
        </w:tc>
      </w:tr>
    </w:tbl>
    <w:p>
      <w:pPr>
        <w:snapToGrid w:val="0"/>
        <w:spacing w:line="600" w:lineRule="atLeast"/>
        <w:ind w:firstLine="640" w:firstLineChars="200"/>
        <w:rPr>
          <w:rFonts w:ascii="黑体" w:hAnsi="黑体" w:eastAsia="黑体"/>
          <w:sz w:val="32"/>
          <w:szCs w:val="32"/>
        </w:rPr>
      </w:pPr>
      <w:r>
        <w:rPr>
          <w:rFonts w:hint="eastAsia" w:ascii="黑体" w:hAnsi="黑体" w:eastAsia="黑体"/>
          <w:sz w:val="32"/>
          <w:szCs w:val="32"/>
        </w:rPr>
        <w:t>二、</w:t>
      </w:r>
      <w:r>
        <w:rPr>
          <w:rFonts w:hint="eastAsia" w:ascii="黑体" w:hAnsi="黑体" w:eastAsia="黑体"/>
          <w:sz w:val="32"/>
          <w:szCs w:val="32"/>
          <w:lang w:eastAsia="zh-CN"/>
        </w:rPr>
        <w:t>单位</w:t>
      </w:r>
      <w:r>
        <w:rPr>
          <w:rFonts w:hint="eastAsia" w:ascii="黑体" w:hAnsi="黑体" w:eastAsia="黑体"/>
          <w:sz w:val="32"/>
          <w:szCs w:val="32"/>
        </w:rPr>
        <w:t>预算安排的总体情况</w:t>
      </w:r>
    </w:p>
    <w:p>
      <w:pPr>
        <w:snapToGrid w:val="0"/>
        <w:spacing w:line="600" w:lineRule="atLeast"/>
        <w:rPr>
          <w:rFonts w:ascii="黑体" w:hAnsi="黑体" w:eastAsia="黑体"/>
          <w:sz w:val="32"/>
          <w:szCs w:val="32"/>
        </w:rPr>
      </w:pPr>
      <w:r>
        <w:rPr>
          <w:rFonts w:hint="eastAsia" w:eastAsia="仿宋"/>
          <w:sz w:val="32"/>
          <w:szCs w:val="32"/>
          <w:lang w:eastAsia="zh-CN"/>
        </w:rPr>
        <w:t xml:space="preserve">        </w:t>
      </w:r>
      <w:r>
        <w:rPr>
          <w:rFonts w:hint="eastAsia" w:eastAsia="仿宋"/>
          <w:sz w:val="32"/>
          <w:szCs w:val="32"/>
        </w:rPr>
        <w:t>按照预算管理有关规定，目前我县部门预算的编制实行综合预算管理，即全部收入和支出都反映的预算中。中共隆尧县委政法委的收支包含在</w:t>
      </w:r>
      <w:r>
        <w:rPr>
          <w:rFonts w:hint="eastAsia" w:eastAsia="仿宋"/>
          <w:sz w:val="32"/>
          <w:szCs w:val="32"/>
          <w:lang w:eastAsia="zh-CN"/>
        </w:rPr>
        <w:t>单位</w:t>
      </w:r>
      <w:r>
        <w:rPr>
          <w:rFonts w:hint="eastAsia" w:eastAsia="仿宋"/>
          <w:sz w:val="32"/>
          <w:szCs w:val="32"/>
        </w:rPr>
        <w:t>预算中。</w:t>
      </w:r>
    </w:p>
    <w:p>
      <w:pPr>
        <w:snapToGrid w:val="0"/>
        <w:spacing w:line="600" w:lineRule="atLeast"/>
        <w:ind w:firstLine="640"/>
        <w:rPr>
          <w:rFonts w:eastAsia="仿宋"/>
          <w:sz w:val="32"/>
          <w:szCs w:val="32"/>
        </w:rPr>
      </w:pPr>
      <w:r>
        <w:rPr>
          <w:rFonts w:eastAsia="仿宋"/>
          <w:sz w:val="32"/>
          <w:szCs w:val="32"/>
        </w:rPr>
        <w:t>1</w:t>
      </w:r>
      <w:r>
        <w:rPr>
          <w:rFonts w:hint="eastAsia" w:eastAsia="仿宋"/>
          <w:sz w:val="32"/>
          <w:szCs w:val="32"/>
        </w:rPr>
        <w:t>、收入说明</w:t>
      </w:r>
    </w:p>
    <w:p>
      <w:pPr>
        <w:snapToGrid w:val="0"/>
        <w:spacing w:line="600" w:lineRule="atLeast"/>
        <w:ind w:firstLine="640"/>
        <w:rPr>
          <w:rFonts w:eastAsia="仿宋"/>
          <w:sz w:val="32"/>
          <w:szCs w:val="32"/>
        </w:rPr>
      </w:pPr>
      <w:r>
        <w:rPr>
          <w:rFonts w:hint="eastAsia" w:eastAsia="仿宋"/>
          <w:sz w:val="32"/>
          <w:szCs w:val="32"/>
        </w:rPr>
        <w:t>反映本</w:t>
      </w:r>
      <w:r>
        <w:rPr>
          <w:rFonts w:hint="eastAsia" w:eastAsia="仿宋"/>
          <w:sz w:val="32"/>
          <w:szCs w:val="32"/>
          <w:lang w:eastAsia="zh-CN"/>
        </w:rPr>
        <w:t>单位</w:t>
      </w:r>
      <w:r>
        <w:rPr>
          <w:rFonts w:hint="eastAsia" w:eastAsia="仿宋"/>
          <w:sz w:val="32"/>
          <w:szCs w:val="32"/>
        </w:rPr>
        <w:t>当年全部收入。</w:t>
      </w:r>
      <w:r>
        <w:rPr>
          <w:rFonts w:eastAsia="仿宋"/>
          <w:sz w:val="32"/>
          <w:szCs w:val="32"/>
        </w:rPr>
        <w:t>20</w:t>
      </w:r>
      <w:r>
        <w:rPr>
          <w:rFonts w:hint="eastAsia" w:eastAsia="仿宋"/>
          <w:sz w:val="32"/>
          <w:szCs w:val="32"/>
        </w:rPr>
        <w:t>24年预算收入466.02万元，其中：一般公共预算收入466.02万元。</w:t>
      </w:r>
    </w:p>
    <w:p>
      <w:pPr>
        <w:snapToGrid w:val="0"/>
        <w:spacing w:line="600" w:lineRule="atLeast"/>
        <w:ind w:firstLine="640"/>
        <w:rPr>
          <w:rFonts w:eastAsia="仿宋"/>
          <w:sz w:val="32"/>
          <w:szCs w:val="32"/>
        </w:rPr>
      </w:pPr>
      <w:r>
        <w:rPr>
          <w:rFonts w:eastAsia="仿宋"/>
          <w:sz w:val="32"/>
          <w:szCs w:val="32"/>
        </w:rPr>
        <w:t>2</w:t>
      </w:r>
      <w:r>
        <w:rPr>
          <w:rFonts w:hint="eastAsia" w:eastAsia="仿宋"/>
          <w:sz w:val="32"/>
          <w:szCs w:val="32"/>
        </w:rPr>
        <w:t>、支出说明</w:t>
      </w:r>
    </w:p>
    <w:p>
      <w:pPr>
        <w:snapToGrid w:val="0"/>
        <w:spacing w:line="600" w:lineRule="atLeast"/>
        <w:ind w:firstLine="640"/>
        <w:rPr>
          <w:rFonts w:eastAsia="仿宋"/>
          <w:sz w:val="32"/>
          <w:szCs w:val="32"/>
        </w:rPr>
      </w:pPr>
      <w:r>
        <w:rPr>
          <w:rFonts w:hint="eastAsia" w:eastAsia="仿宋"/>
          <w:sz w:val="32"/>
          <w:szCs w:val="32"/>
        </w:rPr>
        <w:t>收支预算总表支出栏、基本支出表、项目支出表按经济分类和支出功能分类科目编制，反映中共隆尧县委政法委年度</w:t>
      </w:r>
      <w:r>
        <w:rPr>
          <w:rFonts w:hint="eastAsia" w:eastAsia="仿宋"/>
          <w:sz w:val="32"/>
          <w:szCs w:val="32"/>
          <w:lang w:eastAsia="zh-CN"/>
        </w:rPr>
        <w:t>单位</w:t>
      </w:r>
      <w:r>
        <w:rPr>
          <w:rFonts w:hint="eastAsia" w:eastAsia="仿宋"/>
          <w:sz w:val="32"/>
          <w:szCs w:val="32"/>
        </w:rPr>
        <w:t>预算中支出预算的总体情况。</w:t>
      </w:r>
      <w:r>
        <w:rPr>
          <w:rFonts w:eastAsia="仿宋"/>
          <w:sz w:val="32"/>
          <w:szCs w:val="32"/>
        </w:rPr>
        <w:t>20</w:t>
      </w:r>
      <w:r>
        <w:rPr>
          <w:rFonts w:hint="eastAsia" w:eastAsia="仿宋"/>
          <w:sz w:val="32"/>
          <w:szCs w:val="32"/>
        </w:rPr>
        <w:t>24年</w:t>
      </w:r>
      <w:r>
        <w:rPr>
          <w:rFonts w:hint="eastAsia" w:eastAsia="仿宋"/>
          <w:sz w:val="32"/>
          <w:szCs w:val="32"/>
          <w:lang w:eastAsia="zh-CN"/>
        </w:rPr>
        <w:t>单位</w:t>
      </w:r>
      <w:r>
        <w:rPr>
          <w:rFonts w:hint="eastAsia" w:eastAsia="仿宋"/>
          <w:sz w:val="32"/>
          <w:szCs w:val="32"/>
        </w:rPr>
        <w:t>支出预算为466.02万元，其中基本支出</w:t>
      </w:r>
      <w:r>
        <w:rPr>
          <w:rFonts w:eastAsia="仿宋"/>
          <w:sz w:val="32"/>
          <w:szCs w:val="32"/>
        </w:rPr>
        <w:t>1</w:t>
      </w:r>
      <w:r>
        <w:rPr>
          <w:rFonts w:hint="eastAsia" w:eastAsia="仿宋"/>
          <w:sz w:val="32"/>
          <w:szCs w:val="32"/>
        </w:rPr>
        <w:t>69.89万元，包括人员经费</w:t>
      </w:r>
      <w:r>
        <w:rPr>
          <w:rFonts w:eastAsia="仿宋"/>
          <w:sz w:val="32"/>
          <w:szCs w:val="32"/>
        </w:rPr>
        <w:t>1</w:t>
      </w:r>
      <w:r>
        <w:rPr>
          <w:rFonts w:hint="eastAsia" w:eastAsia="仿宋"/>
          <w:sz w:val="32"/>
          <w:szCs w:val="32"/>
        </w:rPr>
        <w:t>55.61万元和日常公用经费</w:t>
      </w:r>
      <w:r>
        <w:rPr>
          <w:rFonts w:eastAsia="仿宋"/>
          <w:sz w:val="32"/>
          <w:szCs w:val="32"/>
        </w:rPr>
        <w:t>1</w:t>
      </w:r>
      <w:r>
        <w:rPr>
          <w:rFonts w:hint="eastAsia" w:eastAsia="仿宋"/>
          <w:sz w:val="32"/>
          <w:szCs w:val="32"/>
        </w:rPr>
        <w:t>4.28万元；项目支出296.13万元，主要为精神障碍监护人责任险和以奖代补经费</w:t>
      </w:r>
      <w:r>
        <w:rPr>
          <w:rFonts w:eastAsia="仿宋"/>
          <w:sz w:val="32"/>
          <w:szCs w:val="32"/>
        </w:rPr>
        <w:t>4</w:t>
      </w:r>
      <w:r>
        <w:rPr>
          <w:rFonts w:hint="eastAsia" w:eastAsia="仿宋"/>
          <w:sz w:val="32"/>
          <w:szCs w:val="32"/>
        </w:rPr>
        <w:t>6.66万元，铁路护路经费12.76万元，综治视联网经费80万元，综治经费</w:t>
      </w:r>
      <w:r>
        <w:rPr>
          <w:rFonts w:eastAsia="仿宋"/>
          <w:sz w:val="32"/>
          <w:szCs w:val="32"/>
        </w:rPr>
        <w:t>52</w:t>
      </w:r>
      <w:r>
        <w:rPr>
          <w:rFonts w:hint="eastAsia" w:eastAsia="仿宋"/>
          <w:sz w:val="32"/>
          <w:szCs w:val="32"/>
        </w:rPr>
        <w:t>万元，综治网格员经费</w:t>
      </w:r>
      <w:r>
        <w:rPr>
          <w:rFonts w:eastAsia="仿宋"/>
          <w:sz w:val="32"/>
          <w:szCs w:val="32"/>
        </w:rPr>
        <w:t>2</w:t>
      </w:r>
      <w:r>
        <w:rPr>
          <w:rFonts w:hint="eastAsia" w:eastAsia="仿宋"/>
          <w:sz w:val="32"/>
          <w:szCs w:val="32"/>
        </w:rPr>
        <w:t>0万元，政法网经费56万元，综治中心劳务派遣人员经费23.71万元，见义勇为基金5万元。</w:t>
      </w:r>
    </w:p>
    <w:p>
      <w:pPr>
        <w:snapToGrid w:val="0"/>
        <w:spacing w:line="600" w:lineRule="atLeast"/>
        <w:ind w:firstLine="640"/>
        <w:rPr>
          <w:rFonts w:eastAsia="仿宋"/>
          <w:sz w:val="32"/>
          <w:szCs w:val="32"/>
        </w:rPr>
      </w:pPr>
      <w:r>
        <w:rPr>
          <w:rFonts w:eastAsia="仿宋"/>
          <w:sz w:val="32"/>
          <w:szCs w:val="32"/>
        </w:rPr>
        <w:t>3</w:t>
      </w:r>
      <w:r>
        <w:rPr>
          <w:rFonts w:hint="eastAsia" w:eastAsia="仿宋"/>
          <w:sz w:val="32"/>
          <w:szCs w:val="32"/>
        </w:rPr>
        <w:t>、比上年增减情况</w:t>
      </w:r>
    </w:p>
    <w:p>
      <w:pPr>
        <w:snapToGrid w:val="0"/>
        <w:spacing w:line="600" w:lineRule="atLeast"/>
        <w:ind w:firstLine="640"/>
        <w:rPr>
          <w:rFonts w:eastAsia="仿宋"/>
          <w:sz w:val="32"/>
          <w:szCs w:val="32"/>
        </w:rPr>
      </w:pPr>
      <w:r>
        <w:rPr>
          <w:rFonts w:eastAsia="仿宋"/>
          <w:color w:val="000000"/>
          <w:sz w:val="32"/>
          <w:szCs w:val="32"/>
        </w:rPr>
        <w:t>20</w:t>
      </w:r>
      <w:r>
        <w:rPr>
          <w:rFonts w:hint="eastAsia" w:eastAsia="仿宋"/>
          <w:color w:val="000000"/>
          <w:sz w:val="32"/>
          <w:szCs w:val="32"/>
        </w:rPr>
        <w:t>24年</w:t>
      </w:r>
      <w:r>
        <w:rPr>
          <w:rFonts w:hint="eastAsia" w:eastAsia="仿宋"/>
          <w:color w:val="000000"/>
          <w:sz w:val="32"/>
          <w:szCs w:val="32"/>
          <w:lang w:eastAsia="zh-CN"/>
        </w:rPr>
        <w:t>单位</w:t>
      </w:r>
      <w:r>
        <w:rPr>
          <w:rFonts w:hint="eastAsia" w:eastAsia="仿宋"/>
          <w:color w:val="000000"/>
          <w:sz w:val="32"/>
          <w:szCs w:val="32"/>
        </w:rPr>
        <w:t>预算收支安排</w:t>
      </w:r>
      <w:r>
        <w:rPr>
          <w:rFonts w:hint="eastAsia" w:eastAsia="仿宋"/>
          <w:sz w:val="32"/>
          <w:szCs w:val="32"/>
        </w:rPr>
        <w:t>466.02</w:t>
      </w:r>
      <w:r>
        <w:rPr>
          <w:rFonts w:hint="eastAsia" w:eastAsia="仿宋"/>
          <w:color w:val="000000"/>
          <w:sz w:val="32"/>
          <w:szCs w:val="32"/>
        </w:rPr>
        <w:t>万元，</w:t>
      </w:r>
      <w:r>
        <w:rPr>
          <w:rFonts w:hint="eastAsia" w:eastAsia="仿宋"/>
          <w:sz w:val="32"/>
          <w:szCs w:val="32"/>
        </w:rPr>
        <w:t>较</w:t>
      </w:r>
      <w:r>
        <w:rPr>
          <w:rFonts w:eastAsia="仿宋"/>
          <w:sz w:val="32"/>
          <w:szCs w:val="32"/>
        </w:rPr>
        <w:t>20</w:t>
      </w:r>
      <w:r>
        <w:rPr>
          <w:rFonts w:hint="eastAsia" w:eastAsia="仿宋"/>
          <w:sz w:val="32"/>
          <w:szCs w:val="32"/>
        </w:rPr>
        <w:t>23年减少247.59万元，其中：基本支出减少14.63万元，主要是人员减少所至；项目支出减少232.96万元，主要为本年度综治视联网经费减少所至。</w:t>
      </w:r>
    </w:p>
    <w:p>
      <w:pPr>
        <w:autoSpaceDE w:val="0"/>
        <w:autoSpaceDN w:val="0"/>
        <w:adjustRightInd w:val="0"/>
        <w:snapToGrid w:val="0"/>
        <w:spacing w:line="600" w:lineRule="atLeast"/>
        <w:ind w:firstLine="640" w:firstLineChars="200"/>
        <w:rPr>
          <w:rFonts w:ascii="黑体" w:hAnsi="黑体" w:eastAsia="黑体"/>
          <w:sz w:val="32"/>
          <w:szCs w:val="32"/>
        </w:rPr>
      </w:pPr>
      <w:r>
        <w:rPr>
          <w:rFonts w:hint="eastAsia" w:ascii="黑体" w:hAnsi="黑体" w:eastAsia="黑体"/>
          <w:sz w:val="32"/>
          <w:szCs w:val="32"/>
        </w:rPr>
        <w:t>三、机关运行经费安排情况</w:t>
      </w:r>
    </w:p>
    <w:p>
      <w:pPr>
        <w:autoSpaceDE w:val="0"/>
        <w:autoSpaceDN w:val="0"/>
        <w:adjustRightInd w:val="0"/>
        <w:snapToGrid w:val="0"/>
        <w:spacing w:line="600" w:lineRule="atLeast"/>
        <w:ind w:firstLine="640" w:firstLineChars="200"/>
        <w:rPr>
          <w:rFonts w:eastAsia="仿宋"/>
          <w:sz w:val="32"/>
          <w:szCs w:val="32"/>
        </w:rPr>
      </w:pPr>
      <w:r>
        <w:rPr>
          <w:rFonts w:eastAsia="仿宋"/>
          <w:sz w:val="32"/>
          <w:szCs w:val="32"/>
        </w:rPr>
        <w:t>20</w:t>
      </w:r>
      <w:r>
        <w:rPr>
          <w:rFonts w:hint="eastAsia" w:eastAsia="仿宋"/>
          <w:sz w:val="32"/>
          <w:szCs w:val="32"/>
        </w:rPr>
        <w:t>24年，我</w:t>
      </w:r>
      <w:r>
        <w:rPr>
          <w:rFonts w:hint="eastAsia" w:eastAsia="仿宋"/>
          <w:sz w:val="32"/>
          <w:szCs w:val="32"/>
          <w:lang w:eastAsia="zh-CN"/>
        </w:rPr>
        <w:t>单位</w:t>
      </w:r>
      <w:r>
        <w:rPr>
          <w:rFonts w:hint="eastAsia" w:eastAsia="仿宋"/>
          <w:sz w:val="32"/>
          <w:szCs w:val="32"/>
        </w:rPr>
        <w:t>机关运行经费共计安排14.28万元，主要用于保证机关正常运转的办公支出。</w:t>
      </w:r>
    </w:p>
    <w:p>
      <w:pPr>
        <w:autoSpaceDE w:val="0"/>
        <w:autoSpaceDN w:val="0"/>
        <w:adjustRightInd w:val="0"/>
        <w:snapToGrid w:val="0"/>
        <w:spacing w:line="600" w:lineRule="atLeast"/>
        <w:ind w:firstLine="640" w:firstLineChars="200"/>
        <w:rPr>
          <w:rFonts w:ascii="黑体" w:hAnsi="黑体" w:eastAsia="黑体"/>
          <w:sz w:val="32"/>
          <w:szCs w:val="32"/>
        </w:rPr>
      </w:pPr>
      <w:r>
        <w:rPr>
          <w:rFonts w:hint="eastAsia" w:ascii="黑体" w:hAnsi="黑体" w:eastAsia="黑体"/>
          <w:sz w:val="32"/>
          <w:szCs w:val="32"/>
        </w:rPr>
        <w:t>四、财政拨款“三公”经费预算情况及增减变化原因</w:t>
      </w:r>
    </w:p>
    <w:p>
      <w:pPr>
        <w:autoSpaceDE w:val="0"/>
        <w:autoSpaceDN w:val="0"/>
        <w:adjustRightInd w:val="0"/>
        <w:snapToGrid w:val="0"/>
        <w:spacing w:line="600" w:lineRule="atLeast"/>
        <w:ind w:left="198" w:firstLine="640" w:firstLineChars="200"/>
        <w:rPr>
          <w:rFonts w:eastAsia="仿宋"/>
          <w:sz w:val="32"/>
          <w:szCs w:val="32"/>
        </w:rPr>
      </w:pPr>
      <w:r>
        <w:rPr>
          <w:rFonts w:eastAsia="仿宋"/>
          <w:sz w:val="32"/>
          <w:szCs w:val="32"/>
        </w:rPr>
        <w:t>202</w:t>
      </w:r>
      <w:r>
        <w:rPr>
          <w:rFonts w:hint="eastAsia" w:eastAsia="仿宋"/>
          <w:sz w:val="32"/>
          <w:szCs w:val="32"/>
        </w:rPr>
        <w:t>4年，我</w:t>
      </w:r>
      <w:r>
        <w:rPr>
          <w:rFonts w:hint="eastAsia" w:eastAsia="仿宋"/>
          <w:sz w:val="32"/>
          <w:szCs w:val="32"/>
          <w:lang w:eastAsia="zh-CN"/>
        </w:rPr>
        <w:t>单位</w:t>
      </w:r>
      <w:r>
        <w:rPr>
          <w:rFonts w:hint="eastAsia" w:eastAsia="仿宋"/>
          <w:sz w:val="32"/>
          <w:szCs w:val="32"/>
        </w:rPr>
        <w:t>财政拨款“三公”经费预算安排</w:t>
      </w:r>
      <w:r>
        <w:rPr>
          <w:rFonts w:eastAsia="仿宋"/>
          <w:sz w:val="32"/>
          <w:szCs w:val="32"/>
        </w:rPr>
        <w:t>0</w:t>
      </w:r>
      <w:r>
        <w:rPr>
          <w:rFonts w:hint="eastAsia" w:eastAsia="仿宋"/>
          <w:sz w:val="32"/>
          <w:szCs w:val="32"/>
        </w:rPr>
        <w:t>万元。“三公”经费与去年相同，主要是压缩开支，厉行节约所至。</w:t>
      </w:r>
    </w:p>
    <w:bookmarkEnd w:id="9"/>
    <w:p>
      <w:pPr>
        <w:spacing w:before="10" w:after="10" w:line="360" w:lineRule="auto"/>
        <w:ind w:firstLine="640"/>
        <w:outlineLvl w:val="2"/>
        <w:sectPr>
          <w:pgSz w:w="16840" w:h="11900" w:orient="landscape"/>
          <w:pgMar w:top="1361" w:right="1020" w:bottom="1134" w:left="1020" w:header="720" w:footer="720" w:gutter="0"/>
          <w:pgNumType w:fmt="decimal"/>
          <w:cols w:space="720" w:num="1"/>
        </w:sectPr>
      </w:pPr>
      <w:bookmarkStart w:id="10" w:name="_Toc_3_3_0000000016"/>
      <w:r>
        <w:rPr>
          <w:rFonts w:hint="eastAsia" w:ascii="黑体" w:hAnsi="黑体" w:eastAsia="黑体" w:cs="黑体"/>
          <w:color w:val="000000"/>
          <w:sz w:val="32"/>
          <w:lang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0"/>
    </w:p>
    <w:p>
      <w:pPr>
        <w:ind w:firstLine="560"/>
      </w:pPr>
      <w:r>
        <w:rPr>
          <w:rFonts w:ascii="方正仿宋_GBK" w:hAnsi="方正仿宋_GBK" w:eastAsia="方正仿宋_GBK" w:cs="方正仿宋_GBK"/>
          <w:color w:val="000000"/>
          <w:sz w:val="28"/>
        </w:rPr>
        <w:t>1、见义勇为奖励基金绩效目标表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13052524P000010102579</w:t>
            </w:r>
          </w:p>
        </w:tc>
        <w:tc>
          <w:tcPr>
            <w:tcW w:w="2835" w:type="dxa"/>
            <w:vAlign w:val="center"/>
          </w:tcPr>
          <w:p>
            <w:pPr>
              <w:pStyle w:val="10"/>
            </w:pPr>
            <w:r>
              <w:t>项目名称</w:t>
            </w:r>
          </w:p>
        </w:tc>
        <w:tc>
          <w:tcPr>
            <w:tcW w:w="6094" w:type="dxa"/>
            <w:gridSpan w:val="3"/>
            <w:vAlign w:val="center"/>
          </w:tcPr>
          <w:p>
            <w:pPr>
              <w:pStyle w:val="12"/>
            </w:pPr>
            <w:r>
              <w:t>见义勇为奖励基金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及时奖励见义勇为先进人员，弘扬正气，促进社会和谐稳定。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lang w:eastAsia="zh-CN"/>
              </w:rPr>
            </w:pPr>
            <w:r>
              <w:rPr>
                <w:rFonts w:hint="eastAsia"/>
                <w:lang w:eastAsia="zh-CN"/>
              </w:rPr>
              <w:t>40%</w:t>
            </w:r>
          </w:p>
        </w:tc>
        <w:tc>
          <w:tcPr>
            <w:tcW w:w="2835" w:type="dxa"/>
            <w:vAlign w:val="center"/>
          </w:tcPr>
          <w:p>
            <w:pPr>
              <w:pStyle w:val="13"/>
              <w:rPr>
                <w:lang w:eastAsia="zh-CN"/>
              </w:rPr>
            </w:pPr>
            <w:r>
              <w:rPr>
                <w:rFonts w:hint="eastAsia"/>
                <w:lang w:eastAsia="zh-CN"/>
              </w:rPr>
              <w:t>60%</w:t>
            </w:r>
          </w:p>
        </w:tc>
        <w:tc>
          <w:tcPr>
            <w:tcW w:w="2551" w:type="dxa"/>
            <w:vAlign w:val="center"/>
          </w:tcPr>
          <w:p>
            <w:pPr>
              <w:pStyle w:val="13"/>
              <w:rPr>
                <w:lang w:eastAsia="zh-CN"/>
              </w:rPr>
            </w:pPr>
            <w:r>
              <w:rPr>
                <w:rFonts w:hint="eastAsia"/>
                <w:lang w:eastAsia="zh-CN"/>
              </w:rP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1.及时奖励见义勇为先进人员，弘扬正气，促进社会和谐稳定。</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69"/>
        <w:gridCol w:w="2785"/>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69" w:type="dxa"/>
            <w:vAlign w:val="center"/>
          </w:tcPr>
          <w:p>
            <w:pPr>
              <w:pStyle w:val="10"/>
            </w:pPr>
            <w:r>
              <w:t>绩效指标描述</w:t>
            </w:r>
          </w:p>
        </w:tc>
        <w:tc>
          <w:tcPr>
            <w:tcW w:w="2785"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帮扶见义勇为人次</w:t>
            </w:r>
          </w:p>
        </w:tc>
        <w:tc>
          <w:tcPr>
            <w:tcW w:w="4869" w:type="dxa"/>
            <w:vAlign w:val="center"/>
          </w:tcPr>
          <w:p>
            <w:pPr>
              <w:pStyle w:val="12"/>
            </w:pPr>
            <w:r>
              <w:t>帮扶见义勇为人次</w:t>
            </w:r>
          </w:p>
        </w:tc>
        <w:tc>
          <w:tcPr>
            <w:tcW w:w="2785" w:type="dxa"/>
            <w:vAlign w:val="center"/>
          </w:tcPr>
          <w:p>
            <w:pPr>
              <w:pStyle w:val="12"/>
            </w:pPr>
            <w:r>
              <w:t>全部奖励</w:t>
            </w:r>
          </w:p>
        </w:tc>
        <w:tc>
          <w:tcPr>
            <w:tcW w:w="1276" w:type="dxa"/>
            <w:vAlign w:val="center"/>
          </w:tcPr>
          <w:p>
            <w:pPr>
              <w:pStyle w:val="12"/>
            </w:pPr>
            <w: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群众活动参与率</w:t>
            </w:r>
          </w:p>
        </w:tc>
        <w:tc>
          <w:tcPr>
            <w:tcW w:w="4869" w:type="dxa"/>
            <w:vAlign w:val="center"/>
          </w:tcPr>
          <w:p>
            <w:pPr>
              <w:pStyle w:val="12"/>
            </w:pPr>
            <w:r>
              <w:t>群众活动参与率</w:t>
            </w:r>
          </w:p>
        </w:tc>
        <w:tc>
          <w:tcPr>
            <w:tcW w:w="2785" w:type="dxa"/>
            <w:vAlign w:val="center"/>
          </w:tcPr>
          <w:p>
            <w:pPr>
              <w:pStyle w:val="12"/>
            </w:pPr>
            <w:r>
              <w:t>≥95%</w:t>
            </w:r>
          </w:p>
        </w:tc>
        <w:tc>
          <w:tcPr>
            <w:tcW w:w="1276" w:type="dxa"/>
            <w:vAlign w:val="center"/>
          </w:tcPr>
          <w:p>
            <w:pPr>
              <w:pStyle w:val="12"/>
            </w:pPr>
            <w: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4869" w:type="dxa"/>
            <w:vAlign w:val="center"/>
          </w:tcPr>
          <w:p>
            <w:pPr>
              <w:pStyle w:val="12"/>
            </w:pPr>
            <w:r>
              <w:t>各项任务完成及时率（%）</w:t>
            </w:r>
          </w:p>
        </w:tc>
        <w:tc>
          <w:tcPr>
            <w:tcW w:w="2785" w:type="dxa"/>
            <w:vAlign w:val="center"/>
          </w:tcPr>
          <w:p>
            <w:pPr>
              <w:pStyle w:val="12"/>
            </w:pPr>
            <w:r>
              <w:t>≥100%</w:t>
            </w:r>
          </w:p>
        </w:tc>
        <w:tc>
          <w:tcPr>
            <w:tcW w:w="1276" w:type="dxa"/>
            <w:vAlign w:val="center"/>
          </w:tcPr>
          <w:p>
            <w:pPr>
              <w:pStyle w:val="12"/>
            </w:pPr>
            <w: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4869" w:type="dxa"/>
            <w:vAlign w:val="center"/>
          </w:tcPr>
          <w:p>
            <w:pPr>
              <w:pStyle w:val="12"/>
            </w:pPr>
            <w:r>
              <w:t>资金成本</w:t>
            </w:r>
          </w:p>
        </w:tc>
        <w:tc>
          <w:tcPr>
            <w:tcW w:w="2785" w:type="dxa"/>
            <w:vAlign w:val="center"/>
          </w:tcPr>
          <w:p>
            <w:pPr>
              <w:pStyle w:val="12"/>
            </w:pPr>
            <w:r>
              <w:t>合理安排</w:t>
            </w:r>
          </w:p>
        </w:tc>
        <w:tc>
          <w:tcPr>
            <w:tcW w:w="1276" w:type="dxa"/>
            <w:vAlign w:val="center"/>
          </w:tcPr>
          <w:p>
            <w:pPr>
              <w:pStyle w:val="12"/>
            </w:pPr>
            <w: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见义勇为人员奖励、帮扶覆盖率(</w:t>
            </w:r>
          </w:p>
        </w:tc>
        <w:tc>
          <w:tcPr>
            <w:tcW w:w="4869" w:type="dxa"/>
            <w:vAlign w:val="center"/>
          </w:tcPr>
          <w:p>
            <w:pPr>
              <w:pStyle w:val="12"/>
            </w:pPr>
            <w:r>
              <w:t>见义勇为人员奖励、帮扶覆盖率(%)</w:t>
            </w:r>
          </w:p>
        </w:tc>
        <w:tc>
          <w:tcPr>
            <w:tcW w:w="2785" w:type="dxa"/>
            <w:vAlign w:val="center"/>
          </w:tcPr>
          <w:p>
            <w:pPr>
              <w:pStyle w:val="12"/>
            </w:pPr>
            <w:r>
              <w:t>≥100%</w:t>
            </w:r>
          </w:p>
        </w:tc>
        <w:tc>
          <w:tcPr>
            <w:tcW w:w="1276" w:type="dxa"/>
            <w:vAlign w:val="center"/>
          </w:tcPr>
          <w:p>
            <w:pPr>
              <w:pStyle w:val="12"/>
            </w:pPr>
            <w: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社会公众或服务对象的满意程度</w:t>
            </w:r>
          </w:p>
        </w:tc>
        <w:tc>
          <w:tcPr>
            <w:tcW w:w="4869" w:type="dxa"/>
            <w:vAlign w:val="center"/>
          </w:tcPr>
          <w:p>
            <w:pPr>
              <w:pStyle w:val="12"/>
            </w:pPr>
            <w:r>
              <w:t>服务对象的满意程度</w:t>
            </w:r>
          </w:p>
        </w:tc>
        <w:tc>
          <w:tcPr>
            <w:tcW w:w="2785" w:type="dxa"/>
            <w:vAlign w:val="center"/>
          </w:tcPr>
          <w:p>
            <w:pPr>
              <w:pStyle w:val="12"/>
            </w:pPr>
            <w:r>
              <w:t>≥95%</w:t>
            </w:r>
          </w:p>
        </w:tc>
        <w:tc>
          <w:tcPr>
            <w:tcW w:w="1276" w:type="dxa"/>
            <w:vAlign w:val="center"/>
          </w:tcPr>
          <w:p>
            <w:pPr>
              <w:pStyle w:val="12"/>
            </w:pPr>
            <w:r>
              <w:t>冀财行（2015）88号</w:t>
            </w:r>
          </w:p>
        </w:tc>
      </w:tr>
    </w:tbl>
    <w:p>
      <w:pPr>
        <w:sectPr>
          <w:type w:val="continuous"/>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2、精神障碍监护人责任险和以奖代补经费绩效目标表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13052524P00001010258W</w:t>
            </w:r>
          </w:p>
        </w:tc>
        <w:tc>
          <w:tcPr>
            <w:tcW w:w="2835" w:type="dxa"/>
            <w:vAlign w:val="center"/>
          </w:tcPr>
          <w:p>
            <w:pPr>
              <w:pStyle w:val="10"/>
            </w:pPr>
            <w:r>
              <w:t>项目名称</w:t>
            </w:r>
          </w:p>
        </w:tc>
        <w:tc>
          <w:tcPr>
            <w:tcW w:w="6094" w:type="dxa"/>
            <w:gridSpan w:val="3"/>
            <w:vAlign w:val="center"/>
          </w:tcPr>
          <w:p>
            <w:pPr>
              <w:pStyle w:val="12"/>
            </w:pPr>
            <w:r>
              <w:t>精神障碍监护人责任险和以奖代补经费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46.66</w:t>
            </w:r>
          </w:p>
        </w:tc>
        <w:tc>
          <w:tcPr>
            <w:tcW w:w="2835" w:type="dxa"/>
            <w:vAlign w:val="center"/>
          </w:tcPr>
          <w:p>
            <w:pPr>
              <w:pStyle w:val="10"/>
            </w:pPr>
            <w:r>
              <w:t>其中：财政    资金</w:t>
            </w:r>
          </w:p>
        </w:tc>
        <w:tc>
          <w:tcPr>
            <w:tcW w:w="2551" w:type="dxa"/>
            <w:vAlign w:val="center"/>
          </w:tcPr>
          <w:p>
            <w:pPr>
              <w:pStyle w:val="12"/>
            </w:pPr>
            <w:r>
              <w:t>46.66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按时投保精神障碍患者监护人责任险发放以奖代补经费，促进和谐稳定.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lang w:eastAsia="zh-CN"/>
              </w:rPr>
            </w:pPr>
            <w:r>
              <w:rPr>
                <w:rFonts w:hint="eastAsia"/>
                <w:lang w:eastAsia="zh-CN"/>
              </w:rPr>
              <w:t>50%</w:t>
            </w:r>
          </w:p>
        </w:tc>
        <w:tc>
          <w:tcPr>
            <w:tcW w:w="2835" w:type="dxa"/>
            <w:vAlign w:val="center"/>
          </w:tcPr>
          <w:p>
            <w:pPr>
              <w:pStyle w:val="13"/>
              <w:rPr>
                <w:lang w:eastAsia="zh-CN"/>
              </w:rPr>
            </w:pPr>
            <w:r>
              <w:rPr>
                <w:rFonts w:hint="eastAsia"/>
                <w:lang w:eastAsia="zh-CN"/>
              </w:rPr>
              <w:t>75%</w:t>
            </w:r>
          </w:p>
        </w:tc>
        <w:tc>
          <w:tcPr>
            <w:tcW w:w="2551" w:type="dxa"/>
            <w:vAlign w:val="center"/>
          </w:tcPr>
          <w:p>
            <w:pPr>
              <w:pStyle w:val="13"/>
              <w:rPr>
                <w:lang w:eastAsia="zh-CN"/>
              </w:rPr>
            </w:pPr>
            <w:r>
              <w:rPr>
                <w:rFonts w:hint="eastAsia"/>
                <w:lang w:eastAsia="zh-CN"/>
              </w:rPr>
              <w:t>90%</w:t>
            </w:r>
          </w:p>
        </w:tc>
        <w:tc>
          <w:tcPr>
            <w:tcW w:w="3543" w:type="dxa"/>
            <w:gridSpan w:val="2"/>
            <w:vAlign w:val="center"/>
          </w:tcPr>
          <w:p>
            <w:pPr>
              <w:pStyle w:val="13"/>
              <w:rPr>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1.按时投保精神障碍患者监护人责任险发放以奖代补经费，促进和谐稳定.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补助金发放率(%)</w:t>
            </w:r>
          </w:p>
        </w:tc>
        <w:tc>
          <w:tcPr>
            <w:tcW w:w="5386" w:type="dxa"/>
            <w:vAlign w:val="center"/>
          </w:tcPr>
          <w:p>
            <w:pPr>
              <w:pStyle w:val="12"/>
            </w:pPr>
            <w:r>
              <w:t>实际发放的补助金金额占计划发放金额的比率</w:t>
            </w:r>
          </w:p>
        </w:tc>
        <w:tc>
          <w:tcPr>
            <w:tcW w:w="2268" w:type="dxa"/>
            <w:vAlign w:val="center"/>
          </w:tcPr>
          <w:p>
            <w:pPr>
              <w:pStyle w:val="12"/>
            </w:pPr>
            <w:r>
              <w:t>≥100%</w:t>
            </w:r>
          </w:p>
        </w:tc>
        <w:tc>
          <w:tcPr>
            <w:tcW w:w="1276" w:type="dxa"/>
            <w:vAlign w:val="center"/>
          </w:tcPr>
          <w:p>
            <w:pPr>
              <w:pStyle w:val="12"/>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补贴人员数量（人）</w:t>
            </w:r>
          </w:p>
        </w:tc>
        <w:tc>
          <w:tcPr>
            <w:tcW w:w="5386" w:type="dxa"/>
            <w:vAlign w:val="center"/>
          </w:tcPr>
          <w:p>
            <w:pPr>
              <w:pStyle w:val="12"/>
            </w:pPr>
            <w:r>
              <w:t>享受补贴政策的人数</w:t>
            </w:r>
          </w:p>
        </w:tc>
        <w:tc>
          <w:tcPr>
            <w:tcW w:w="2268" w:type="dxa"/>
            <w:vAlign w:val="center"/>
          </w:tcPr>
          <w:p>
            <w:pPr>
              <w:pStyle w:val="12"/>
            </w:pPr>
            <w:r>
              <w:t>&gt;2338人</w:t>
            </w:r>
          </w:p>
        </w:tc>
        <w:tc>
          <w:tcPr>
            <w:tcW w:w="1276" w:type="dxa"/>
            <w:vAlign w:val="center"/>
          </w:tcPr>
          <w:p>
            <w:pPr>
              <w:pStyle w:val="12"/>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&gt;100%</w:t>
            </w:r>
          </w:p>
        </w:tc>
        <w:tc>
          <w:tcPr>
            <w:tcW w:w="1276" w:type="dxa"/>
            <w:vAlign w:val="center"/>
          </w:tcPr>
          <w:p>
            <w:pPr>
              <w:pStyle w:val="12"/>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经费使用率(%)</w:t>
            </w:r>
          </w:p>
        </w:tc>
        <w:tc>
          <w:tcPr>
            <w:tcW w:w="5386" w:type="dxa"/>
            <w:vAlign w:val="center"/>
          </w:tcPr>
          <w:p>
            <w:pPr>
              <w:pStyle w:val="12"/>
            </w:pPr>
            <w:r>
              <w:t>经费使用率(%)</w:t>
            </w:r>
          </w:p>
        </w:tc>
        <w:tc>
          <w:tcPr>
            <w:tcW w:w="2268" w:type="dxa"/>
            <w:vAlign w:val="center"/>
          </w:tcPr>
          <w:p>
            <w:pPr>
              <w:pStyle w:val="12"/>
            </w:pPr>
            <w:r>
              <w:t>≥100%</w:t>
            </w:r>
          </w:p>
        </w:tc>
        <w:tc>
          <w:tcPr>
            <w:tcW w:w="1276" w:type="dxa"/>
            <w:vAlign w:val="center"/>
          </w:tcPr>
          <w:p>
            <w:pPr>
              <w:pStyle w:val="12"/>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困难群众生活水平提升情况</w:t>
            </w:r>
          </w:p>
        </w:tc>
        <w:tc>
          <w:tcPr>
            <w:tcW w:w="5386" w:type="dxa"/>
            <w:vAlign w:val="center"/>
          </w:tcPr>
          <w:p>
            <w:pPr>
              <w:pStyle w:val="12"/>
            </w:pPr>
            <w:r>
              <w:t>困难群众生活水平提升情况</w:t>
            </w:r>
          </w:p>
        </w:tc>
        <w:tc>
          <w:tcPr>
            <w:tcW w:w="2268" w:type="dxa"/>
            <w:vAlign w:val="center"/>
          </w:tcPr>
          <w:p>
            <w:pPr>
              <w:pStyle w:val="12"/>
            </w:pPr>
            <w:r>
              <w:t>有所提高</w:t>
            </w:r>
          </w:p>
        </w:tc>
        <w:tc>
          <w:tcPr>
            <w:tcW w:w="1276" w:type="dxa"/>
            <w:vAlign w:val="center"/>
          </w:tcPr>
          <w:p>
            <w:pPr>
              <w:pStyle w:val="12"/>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≥90%</w:t>
            </w:r>
          </w:p>
        </w:tc>
        <w:tc>
          <w:tcPr>
            <w:tcW w:w="1276" w:type="dxa"/>
            <w:vAlign w:val="center"/>
          </w:tcPr>
          <w:p>
            <w:pPr>
              <w:pStyle w:val="12"/>
            </w:pPr>
            <w:r>
              <w:t>邢综治办（2016）2号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3、铁路高铁护路经费绩效目标表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13052524P00001010254E</w:t>
            </w:r>
          </w:p>
        </w:tc>
        <w:tc>
          <w:tcPr>
            <w:tcW w:w="2835" w:type="dxa"/>
            <w:vAlign w:val="center"/>
          </w:tcPr>
          <w:p>
            <w:pPr>
              <w:pStyle w:val="10"/>
            </w:pPr>
            <w:r>
              <w:t>项目名称</w:t>
            </w:r>
          </w:p>
        </w:tc>
        <w:tc>
          <w:tcPr>
            <w:tcW w:w="6094" w:type="dxa"/>
            <w:gridSpan w:val="3"/>
            <w:vAlign w:val="center"/>
          </w:tcPr>
          <w:p>
            <w:pPr>
              <w:pStyle w:val="12"/>
            </w:pPr>
            <w:r>
              <w:t>铁路高铁护路经费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12.77</w:t>
            </w:r>
          </w:p>
        </w:tc>
        <w:tc>
          <w:tcPr>
            <w:tcW w:w="2835" w:type="dxa"/>
            <w:vAlign w:val="center"/>
          </w:tcPr>
          <w:p>
            <w:pPr>
              <w:pStyle w:val="10"/>
            </w:pPr>
            <w:r>
              <w:t>其中：财政    资金</w:t>
            </w:r>
          </w:p>
        </w:tc>
        <w:tc>
          <w:tcPr>
            <w:tcW w:w="2551" w:type="dxa"/>
            <w:vAlign w:val="center"/>
          </w:tcPr>
          <w:p>
            <w:pPr>
              <w:pStyle w:val="12"/>
            </w:pPr>
            <w:r>
              <w:t>12.77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组织铁路高铁护路工作，确保辖区铁路安全畅通.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lang w:eastAsia="zh-CN"/>
              </w:rPr>
            </w:pPr>
            <w:r>
              <w:rPr>
                <w:rFonts w:hint="eastAsia"/>
                <w:lang w:eastAsia="zh-CN"/>
              </w:rPr>
              <w:t>25%</w:t>
            </w:r>
          </w:p>
        </w:tc>
        <w:tc>
          <w:tcPr>
            <w:tcW w:w="2835" w:type="dxa"/>
            <w:vAlign w:val="center"/>
          </w:tcPr>
          <w:p>
            <w:pPr>
              <w:pStyle w:val="13"/>
              <w:rPr>
                <w:lang w:eastAsia="zh-CN"/>
              </w:rPr>
            </w:pPr>
            <w:r>
              <w:rPr>
                <w:rFonts w:hint="eastAsia"/>
                <w:lang w:eastAsia="zh-CN"/>
              </w:rPr>
              <w:t>50%</w:t>
            </w:r>
          </w:p>
        </w:tc>
        <w:tc>
          <w:tcPr>
            <w:tcW w:w="2551" w:type="dxa"/>
            <w:vAlign w:val="center"/>
          </w:tcPr>
          <w:p>
            <w:pPr>
              <w:pStyle w:val="13"/>
              <w:rPr>
                <w:lang w:eastAsia="zh-CN"/>
              </w:rPr>
            </w:pPr>
            <w:r>
              <w:rPr>
                <w:rFonts w:hint="eastAsia"/>
                <w:lang w:eastAsia="zh-CN"/>
              </w:rPr>
              <w:t>75%</w:t>
            </w:r>
          </w:p>
        </w:tc>
        <w:tc>
          <w:tcPr>
            <w:tcW w:w="3543" w:type="dxa"/>
            <w:gridSpan w:val="2"/>
            <w:vAlign w:val="center"/>
          </w:tcPr>
          <w:p>
            <w:pPr>
              <w:pStyle w:val="13"/>
              <w:rPr>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1.组织铁路高铁护路工作，确保辖区铁路安全畅通.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重要时期专项护路任务次数（次）</w:t>
            </w:r>
          </w:p>
        </w:tc>
        <w:tc>
          <w:tcPr>
            <w:tcW w:w="5386" w:type="dxa"/>
            <w:vAlign w:val="center"/>
          </w:tcPr>
          <w:p>
            <w:pPr>
              <w:pStyle w:val="12"/>
            </w:pPr>
            <w:r>
              <w:t>重要时期完成省委省政府专项护路任务的次数</w:t>
            </w:r>
          </w:p>
        </w:tc>
        <w:tc>
          <w:tcPr>
            <w:tcW w:w="2268" w:type="dxa"/>
            <w:vAlign w:val="center"/>
          </w:tcPr>
          <w:p>
            <w:pPr>
              <w:pStyle w:val="12"/>
            </w:pPr>
            <w:r>
              <w:t>≥100%</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重大安保任务完成率(%)</w:t>
            </w:r>
          </w:p>
        </w:tc>
        <w:tc>
          <w:tcPr>
            <w:tcW w:w="5386" w:type="dxa"/>
            <w:vAlign w:val="center"/>
          </w:tcPr>
          <w:p>
            <w:pPr>
              <w:pStyle w:val="12"/>
            </w:pPr>
            <w:r>
              <w:t>完成的安保任务占任务总数的比率</w:t>
            </w:r>
          </w:p>
        </w:tc>
        <w:tc>
          <w:tcPr>
            <w:tcW w:w="2268" w:type="dxa"/>
            <w:vAlign w:val="center"/>
          </w:tcPr>
          <w:p>
            <w:pPr>
              <w:pStyle w:val="12"/>
            </w:pPr>
            <w:r>
              <w:t>≥100%</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100%</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完成工作需要资金</w:t>
            </w:r>
          </w:p>
        </w:tc>
        <w:tc>
          <w:tcPr>
            <w:tcW w:w="5386" w:type="dxa"/>
            <w:vAlign w:val="center"/>
          </w:tcPr>
          <w:p>
            <w:pPr>
              <w:pStyle w:val="12"/>
            </w:pPr>
            <w:r>
              <w:t>完成工作需要资金</w:t>
            </w:r>
          </w:p>
        </w:tc>
        <w:tc>
          <w:tcPr>
            <w:tcW w:w="2268" w:type="dxa"/>
            <w:vAlign w:val="center"/>
          </w:tcPr>
          <w:p>
            <w:pPr>
              <w:pStyle w:val="12"/>
            </w:pPr>
            <w:r>
              <w:t>12.76万元</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通过开展信息宣传工作，创造良好的舆论氛围，使我厅工作得到广大受众的充分认可。</w:t>
            </w:r>
          </w:p>
        </w:tc>
        <w:tc>
          <w:tcPr>
            <w:tcW w:w="2268" w:type="dxa"/>
            <w:vAlign w:val="center"/>
          </w:tcPr>
          <w:p>
            <w:pPr>
              <w:pStyle w:val="12"/>
            </w:pPr>
            <w:r>
              <w:t>有效提高</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满意</w:t>
            </w:r>
          </w:p>
        </w:tc>
        <w:tc>
          <w:tcPr>
            <w:tcW w:w="1276" w:type="dxa"/>
            <w:vAlign w:val="center"/>
          </w:tcPr>
          <w:p>
            <w:pPr>
              <w:pStyle w:val="12"/>
            </w:pPr>
            <w:r>
              <w:t>冀综治办（2016）12号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4、政法网经费绩效目标表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13052524P00001010259G</w:t>
            </w:r>
          </w:p>
        </w:tc>
        <w:tc>
          <w:tcPr>
            <w:tcW w:w="2835" w:type="dxa"/>
            <w:vAlign w:val="center"/>
          </w:tcPr>
          <w:p>
            <w:pPr>
              <w:pStyle w:val="10"/>
            </w:pPr>
            <w:r>
              <w:t>项目名称</w:t>
            </w:r>
          </w:p>
        </w:tc>
        <w:tc>
          <w:tcPr>
            <w:tcW w:w="6094" w:type="dxa"/>
            <w:gridSpan w:val="3"/>
            <w:vAlign w:val="center"/>
          </w:tcPr>
          <w:p>
            <w:pPr>
              <w:pStyle w:val="12"/>
            </w:pPr>
            <w:r>
              <w:t>政法网经费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56.00</w:t>
            </w:r>
          </w:p>
        </w:tc>
        <w:tc>
          <w:tcPr>
            <w:tcW w:w="2835" w:type="dxa"/>
            <w:vAlign w:val="center"/>
          </w:tcPr>
          <w:p>
            <w:pPr>
              <w:pStyle w:val="10"/>
            </w:pPr>
            <w:r>
              <w:t>其中：财政    资金</w:t>
            </w:r>
          </w:p>
        </w:tc>
        <w:tc>
          <w:tcPr>
            <w:tcW w:w="2551" w:type="dxa"/>
            <w:vAlign w:val="center"/>
          </w:tcPr>
          <w:p>
            <w:pPr>
              <w:pStyle w:val="12"/>
            </w:pPr>
            <w:r>
              <w:t>56.00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确保政法网安全运行，促进政法工作上台阶。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lang w:eastAsia="zh-CN"/>
              </w:rPr>
            </w:pPr>
            <w:r>
              <w:rPr>
                <w:rFonts w:hint="eastAsia"/>
                <w:lang w:eastAsia="zh-CN"/>
              </w:rPr>
              <w:t>25%</w:t>
            </w:r>
          </w:p>
        </w:tc>
        <w:tc>
          <w:tcPr>
            <w:tcW w:w="2835" w:type="dxa"/>
            <w:vAlign w:val="center"/>
          </w:tcPr>
          <w:p>
            <w:pPr>
              <w:pStyle w:val="13"/>
              <w:rPr>
                <w:lang w:eastAsia="zh-CN"/>
              </w:rPr>
            </w:pPr>
            <w:r>
              <w:rPr>
                <w:rFonts w:hint="eastAsia"/>
                <w:lang w:eastAsia="zh-CN"/>
              </w:rPr>
              <w:t>100%</w:t>
            </w:r>
          </w:p>
        </w:tc>
        <w:tc>
          <w:tcPr>
            <w:tcW w:w="2551" w:type="dxa"/>
            <w:vAlign w:val="center"/>
          </w:tcPr>
          <w:p>
            <w:pPr>
              <w:pStyle w:val="13"/>
              <w:rPr>
                <w:lang w:eastAsia="zh-CN"/>
              </w:rPr>
            </w:pPr>
            <w:r>
              <w:rPr>
                <w:rFonts w:hint="eastAsia"/>
                <w:lang w:eastAsia="zh-CN"/>
              </w:rPr>
              <w:t>100%</w:t>
            </w:r>
          </w:p>
        </w:tc>
        <w:tc>
          <w:tcPr>
            <w:tcW w:w="3543" w:type="dxa"/>
            <w:gridSpan w:val="2"/>
            <w:vAlign w:val="center"/>
          </w:tcPr>
          <w:p>
            <w:pPr>
              <w:pStyle w:val="13"/>
              <w:rPr>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1.确保政法网安全运行，促进政法工作上台阶。</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设备检修维护次数</w:t>
            </w:r>
          </w:p>
        </w:tc>
        <w:tc>
          <w:tcPr>
            <w:tcW w:w="5386" w:type="dxa"/>
            <w:vAlign w:val="center"/>
          </w:tcPr>
          <w:p>
            <w:pPr>
              <w:pStyle w:val="12"/>
            </w:pPr>
            <w:r>
              <w:t>设备检修维护次数</w:t>
            </w:r>
          </w:p>
        </w:tc>
        <w:tc>
          <w:tcPr>
            <w:tcW w:w="2268" w:type="dxa"/>
            <w:vAlign w:val="center"/>
          </w:tcPr>
          <w:p>
            <w:pPr>
              <w:pStyle w:val="12"/>
            </w:pPr>
            <w:r>
              <w:t>≥12次</w:t>
            </w:r>
          </w:p>
        </w:tc>
        <w:tc>
          <w:tcPr>
            <w:tcW w:w="1276" w:type="dxa"/>
            <w:vAlign w:val="center"/>
          </w:tcPr>
          <w:p>
            <w:pPr>
              <w:pStyle w:val="12"/>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设施运转完好率</w:t>
            </w:r>
          </w:p>
        </w:tc>
        <w:tc>
          <w:tcPr>
            <w:tcW w:w="5386" w:type="dxa"/>
            <w:vAlign w:val="center"/>
          </w:tcPr>
          <w:p>
            <w:pPr>
              <w:pStyle w:val="12"/>
            </w:pPr>
            <w:r>
              <w:t>设施运转完好率</w:t>
            </w:r>
          </w:p>
        </w:tc>
        <w:tc>
          <w:tcPr>
            <w:tcW w:w="2268" w:type="dxa"/>
            <w:vAlign w:val="center"/>
          </w:tcPr>
          <w:p>
            <w:pPr>
              <w:pStyle w:val="12"/>
            </w:pPr>
            <w:r>
              <w:t>≥95%</w:t>
            </w:r>
          </w:p>
        </w:tc>
        <w:tc>
          <w:tcPr>
            <w:tcW w:w="1276" w:type="dxa"/>
            <w:vAlign w:val="center"/>
          </w:tcPr>
          <w:p>
            <w:pPr>
              <w:pStyle w:val="12"/>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≥100%</w:t>
            </w:r>
          </w:p>
        </w:tc>
        <w:tc>
          <w:tcPr>
            <w:tcW w:w="1276" w:type="dxa"/>
            <w:vAlign w:val="center"/>
          </w:tcPr>
          <w:p>
            <w:pPr>
              <w:pStyle w:val="12"/>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56万元</w:t>
            </w:r>
          </w:p>
        </w:tc>
        <w:tc>
          <w:tcPr>
            <w:tcW w:w="1276" w:type="dxa"/>
            <w:vAlign w:val="center"/>
          </w:tcPr>
          <w:p>
            <w:pPr>
              <w:pStyle w:val="12"/>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顺利开展</w:t>
            </w:r>
          </w:p>
        </w:tc>
        <w:tc>
          <w:tcPr>
            <w:tcW w:w="1276" w:type="dxa"/>
            <w:vAlign w:val="center"/>
          </w:tcPr>
          <w:p>
            <w:pPr>
              <w:pStyle w:val="12"/>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冀政法字（2015）12号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5、综治经费绩效目标表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13052524P000010102623</w:t>
            </w:r>
          </w:p>
        </w:tc>
        <w:tc>
          <w:tcPr>
            <w:tcW w:w="2835" w:type="dxa"/>
            <w:vAlign w:val="center"/>
          </w:tcPr>
          <w:p>
            <w:pPr>
              <w:pStyle w:val="10"/>
            </w:pPr>
            <w:r>
              <w:t>项目名称</w:t>
            </w:r>
          </w:p>
        </w:tc>
        <w:tc>
          <w:tcPr>
            <w:tcW w:w="6094" w:type="dxa"/>
            <w:gridSpan w:val="3"/>
            <w:vAlign w:val="center"/>
          </w:tcPr>
          <w:p>
            <w:pPr>
              <w:pStyle w:val="12"/>
            </w:pPr>
            <w:r>
              <w:t>综治经费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52.00</w:t>
            </w:r>
          </w:p>
        </w:tc>
        <w:tc>
          <w:tcPr>
            <w:tcW w:w="2835" w:type="dxa"/>
            <w:vAlign w:val="center"/>
          </w:tcPr>
          <w:p>
            <w:pPr>
              <w:pStyle w:val="10"/>
            </w:pPr>
            <w:r>
              <w:t>其中：财政    资金</w:t>
            </w:r>
          </w:p>
        </w:tc>
        <w:tc>
          <w:tcPr>
            <w:tcW w:w="2551" w:type="dxa"/>
            <w:vAlign w:val="center"/>
          </w:tcPr>
          <w:p>
            <w:pPr>
              <w:pStyle w:val="12"/>
            </w:pPr>
            <w:r>
              <w:t>52.00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开展社会治安综合治理活动，确保全县社会政治稳定。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lang w:eastAsia="zh-CN"/>
              </w:rPr>
            </w:pPr>
            <w:r>
              <w:rPr>
                <w:rFonts w:hint="eastAsia"/>
                <w:lang w:eastAsia="zh-CN"/>
              </w:rPr>
              <w:t>25%</w:t>
            </w:r>
          </w:p>
        </w:tc>
        <w:tc>
          <w:tcPr>
            <w:tcW w:w="2835" w:type="dxa"/>
            <w:vAlign w:val="center"/>
          </w:tcPr>
          <w:p>
            <w:pPr>
              <w:pStyle w:val="13"/>
              <w:rPr>
                <w:lang w:eastAsia="zh-CN"/>
              </w:rPr>
            </w:pPr>
            <w:r>
              <w:rPr>
                <w:rFonts w:hint="eastAsia"/>
                <w:lang w:eastAsia="zh-CN"/>
              </w:rPr>
              <w:t>50%</w:t>
            </w:r>
          </w:p>
        </w:tc>
        <w:tc>
          <w:tcPr>
            <w:tcW w:w="2551" w:type="dxa"/>
            <w:vAlign w:val="center"/>
          </w:tcPr>
          <w:p>
            <w:pPr>
              <w:pStyle w:val="13"/>
              <w:rPr>
                <w:lang w:eastAsia="zh-CN"/>
              </w:rPr>
            </w:pPr>
            <w:r>
              <w:rPr>
                <w:rFonts w:hint="eastAsia"/>
                <w:lang w:eastAsia="zh-CN"/>
              </w:rPr>
              <w:t>75%</w:t>
            </w:r>
          </w:p>
        </w:tc>
        <w:tc>
          <w:tcPr>
            <w:tcW w:w="3543" w:type="dxa"/>
            <w:gridSpan w:val="2"/>
            <w:vAlign w:val="center"/>
          </w:tcPr>
          <w:p>
            <w:pPr>
              <w:pStyle w:val="13"/>
              <w:rPr>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1.开展社会治安综合治理活动，确保全县社会政治稳定。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培树治安防控工作先进典型乡镇</w:t>
            </w:r>
          </w:p>
        </w:tc>
        <w:tc>
          <w:tcPr>
            <w:tcW w:w="5386" w:type="dxa"/>
            <w:vAlign w:val="center"/>
          </w:tcPr>
          <w:p>
            <w:pPr>
              <w:pStyle w:val="12"/>
            </w:pPr>
            <w:r>
              <w:t>培树治安防控工作先进典型村数量（个）</w:t>
            </w:r>
          </w:p>
        </w:tc>
        <w:tc>
          <w:tcPr>
            <w:tcW w:w="2268" w:type="dxa"/>
            <w:vAlign w:val="center"/>
          </w:tcPr>
          <w:p>
            <w:pPr>
              <w:pStyle w:val="12"/>
            </w:pPr>
            <w:r>
              <w:t>≥12个</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5386" w:type="dxa"/>
            <w:vAlign w:val="center"/>
          </w:tcPr>
          <w:p>
            <w:pPr>
              <w:pStyle w:val="12"/>
            </w:pPr>
            <w:r>
              <w:t>其他各项综合实务工作完成率</w:t>
            </w:r>
          </w:p>
        </w:tc>
        <w:tc>
          <w:tcPr>
            <w:tcW w:w="2268" w:type="dxa"/>
            <w:vAlign w:val="center"/>
          </w:tcPr>
          <w:p>
            <w:pPr>
              <w:pStyle w:val="12"/>
            </w:pPr>
            <w:r>
              <w:t>≥95%</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合理安排</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立体化社会治安防控体系覆盖率(</w:t>
            </w:r>
          </w:p>
        </w:tc>
        <w:tc>
          <w:tcPr>
            <w:tcW w:w="5386" w:type="dxa"/>
            <w:vAlign w:val="center"/>
          </w:tcPr>
          <w:p>
            <w:pPr>
              <w:pStyle w:val="12"/>
            </w:pPr>
            <w:r>
              <w:t>立体化社会治安防控体系覆盖率(%)</w:t>
            </w:r>
          </w:p>
        </w:tc>
        <w:tc>
          <w:tcPr>
            <w:tcW w:w="2268" w:type="dxa"/>
            <w:vAlign w:val="center"/>
          </w:tcPr>
          <w:p>
            <w:pPr>
              <w:pStyle w:val="12"/>
            </w:pPr>
            <w:r>
              <w:t>≥95%</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冀综治办（2016）12号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6、综治视联网经费绩效目标表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13052524P00001010260U</w:t>
            </w:r>
          </w:p>
        </w:tc>
        <w:tc>
          <w:tcPr>
            <w:tcW w:w="2835" w:type="dxa"/>
            <w:vAlign w:val="center"/>
          </w:tcPr>
          <w:p>
            <w:pPr>
              <w:pStyle w:val="10"/>
            </w:pPr>
            <w:r>
              <w:t>项目名称</w:t>
            </w:r>
          </w:p>
        </w:tc>
        <w:tc>
          <w:tcPr>
            <w:tcW w:w="6094" w:type="dxa"/>
            <w:gridSpan w:val="3"/>
            <w:vAlign w:val="center"/>
          </w:tcPr>
          <w:p>
            <w:pPr>
              <w:pStyle w:val="12"/>
            </w:pPr>
            <w:r>
              <w:t>综治视联网经费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确保综治视联网安全运行，促进市域社会治理现代化各项工作。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lang w:eastAsia="zh-CN"/>
              </w:rPr>
            </w:pPr>
            <w:r>
              <w:rPr>
                <w:rFonts w:hint="eastAsia"/>
                <w:lang w:eastAsia="zh-CN"/>
              </w:rPr>
              <w:t>25%</w:t>
            </w:r>
          </w:p>
        </w:tc>
        <w:tc>
          <w:tcPr>
            <w:tcW w:w="2835" w:type="dxa"/>
            <w:vAlign w:val="center"/>
          </w:tcPr>
          <w:p>
            <w:pPr>
              <w:pStyle w:val="13"/>
              <w:rPr>
                <w:lang w:eastAsia="zh-CN"/>
              </w:rPr>
            </w:pPr>
            <w:r>
              <w:rPr>
                <w:rFonts w:hint="eastAsia"/>
                <w:lang w:eastAsia="zh-CN"/>
              </w:rPr>
              <w:t>100%</w:t>
            </w:r>
          </w:p>
        </w:tc>
        <w:tc>
          <w:tcPr>
            <w:tcW w:w="2551" w:type="dxa"/>
            <w:vAlign w:val="center"/>
          </w:tcPr>
          <w:p>
            <w:pPr>
              <w:pStyle w:val="13"/>
              <w:rPr>
                <w:lang w:eastAsia="zh-CN"/>
              </w:rPr>
            </w:pPr>
            <w:r>
              <w:rPr>
                <w:rFonts w:hint="eastAsia"/>
                <w:lang w:eastAsia="zh-CN"/>
              </w:rPr>
              <w:t>100%</w:t>
            </w:r>
          </w:p>
        </w:tc>
        <w:tc>
          <w:tcPr>
            <w:tcW w:w="3543" w:type="dxa"/>
            <w:gridSpan w:val="2"/>
            <w:vAlign w:val="center"/>
          </w:tcPr>
          <w:p>
            <w:pPr>
              <w:pStyle w:val="13"/>
              <w:rPr>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1.确保综治视联网安全运行，促进市域社会治理现代化各项工作。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系统故障率(％)</w:t>
            </w:r>
          </w:p>
        </w:tc>
        <w:tc>
          <w:tcPr>
            <w:tcW w:w="5386" w:type="dxa"/>
            <w:vAlign w:val="center"/>
          </w:tcPr>
          <w:p>
            <w:pPr>
              <w:pStyle w:val="12"/>
            </w:pPr>
            <w:r>
              <w:t>系统出故障时间占总运行时间的比率（反向指标）</w:t>
            </w:r>
          </w:p>
        </w:tc>
        <w:tc>
          <w:tcPr>
            <w:tcW w:w="2268" w:type="dxa"/>
            <w:vAlign w:val="center"/>
          </w:tcPr>
          <w:p>
            <w:pPr>
              <w:pStyle w:val="12"/>
            </w:pPr>
            <w:r>
              <w:t>≥1%</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系统故障修复响应时间（小时）</w:t>
            </w:r>
          </w:p>
        </w:tc>
        <w:tc>
          <w:tcPr>
            <w:tcW w:w="5386" w:type="dxa"/>
            <w:vAlign w:val="center"/>
          </w:tcPr>
          <w:p>
            <w:pPr>
              <w:pStyle w:val="12"/>
            </w:pPr>
            <w:r>
              <w:t>响应系统故障并修复的时间</w:t>
            </w:r>
          </w:p>
        </w:tc>
        <w:tc>
          <w:tcPr>
            <w:tcW w:w="2268" w:type="dxa"/>
            <w:vAlign w:val="center"/>
          </w:tcPr>
          <w:p>
            <w:pPr>
              <w:pStyle w:val="12"/>
            </w:pPr>
            <w:r>
              <w:t>≤24小时</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设备检修维护次数</w:t>
            </w:r>
          </w:p>
        </w:tc>
        <w:tc>
          <w:tcPr>
            <w:tcW w:w="5386" w:type="dxa"/>
            <w:vAlign w:val="center"/>
          </w:tcPr>
          <w:p>
            <w:pPr>
              <w:pStyle w:val="12"/>
            </w:pPr>
            <w:r>
              <w:t>设备检修维护次数</w:t>
            </w:r>
          </w:p>
        </w:tc>
        <w:tc>
          <w:tcPr>
            <w:tcW w:w="2268" w:type="dxa"/>
            <w:vAlign w:val="center"/>
          </w:tcPr>
          <w:p>
            <w:pPr>
              <w:pStyle w:val="12"/>
            </w:pPr>
            <w:r>
              <w:t>&gt;12次</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80万元</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非正常停机率（%）</w:t>
            </w:r>
          </w:p>
        </w:tc>
        <w:tc>
          <w:tcPr>
            <w:tcW w:w="5386" w:type="dxa"/>
            <w:vAlign w:val="center"/>
          </w:tcPr>
          <w:p>
            <w:pPr>
              <w:pStyle w:val="12"/>
            </w:pPr>
            <w:r>
              <w:t>非正常停机次数占总停机次数的比率（反向指标）</w:t>
            </w:r>
          </w:p>
        </w:tc>
        <w:tc>
          <w:tcPr>
            <w:tcW w:w="2268" w:type="dxa"/>
            <w:vAlign w:val="center"/>
          </w:tcPr>
          <w:p>
            <w:pPr>
              <w:pStyle w:val="12"/>
            </w:pPr>
            <w:r>
              <w:t>≥5%</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社会公众或服务对象的满意程度</w:t>
            </w:r>
          </w:p>
        </w:tc>
        <w:tc>
          <w:tcPr>
            <w:tcW w:w="5386" w:type="dxa"/>
            <w:vAlign w:val="center"/>
          </w:tcPr>
          <w:p>
            <w:pPr>
              <w:pStyle w:val="12"/>
            </w:pPr>
            <w:r>
              <w:t>服务对象的满意程度</w:t>
            </w:r>
          </w:p>
        </w:tc>
        <w:tc>
          <w:tcPr>
            <w:tcW w:w="2268" w:type="dxa"/>
            <w:vAlign w:val="center"/>
          </w:tcPr>
          <w:p>
            <w:pPr>
              <w:pStyle w:val="12"/>
            </w:pPr>
            <w:r>
              <w:t>≥95%</w:t>
            </w:r>
          </w:p>
        </w:tc>
        <w:tc>
          <w:tcPr>
            <w:tcW w:w="1276" w:type="dxa"/>
            <w:vAlign w:val="center"/>
          </w:tcPr>
          <w:p>
            <w:pPr>
              <w:pStyle w:val="12"/>
            </w:pPr>
            <w:r>
              <w:t>冀综治办（2018）39号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7、综治网格员经费绩效目标表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13052524P00001010261F</w:t>
            </w:r>
          </w:p>
        </w:tc>
        <w:tc>
          <w:tcPr>
            <w:tcW w:w="2835" w:type="dxa"/>
            <w:vAlign w:val="center"/>
          </w:tcPr>
          <w:p>
            <w:pPr>
              <w:pStyle w:val="10"/>
            </w:pPr>
            <w:r>
              <w:t>项目名称</w:t>
            </w:r>
          </w:p>
        </w:tc>
        <w:tc>
          <w:tcPr>
            <w:tcW w:w="6094" w:type="dxa"/>
            <w:gridSpan w:val="3"/>
            <w:vAlign w:val="center"/>
          </w:tcPr>
          <w:p>
            <w:pPr>
              <w:pStyle w:val="12"/>
            </w:pPr>
            <w:r>
              <w:t>综治网格员经费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确保综治信息系统安全运行，促进市域社会治理现代化工作。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lang w:eastAsia="zh-CN"/>
              </w:rPr>
            </w:pPr>
            <w:r>
              <w:rPr>
                <w:rFonts w:hint="eastAsia"/>
                <w:lang w:eastAsia="zh-CN"/>
              </w:rPr>
              <w:t>25%</w:t>
            </w:r>
          </w:p>
        </w:tc>
        <w:tc>
          <w:tcPr>
            <w:tcW w:w="2835" w:type="dxa"/>
            <w:vAlign w:val="center"/>
          </w:tcPr>
          <w:p>
            <w:pPr>
              <w:pStyle w:val="13"/>
              <w:rPr>
                <w:lang w:eastAsia="zh-CN"/>
              </w:rPr>
            </w:pPr>
            <w:r>
              <w:rPr>
                <w:rFonts w:hint="eastAsia"/>
                <w:lang w:eastAsia="zh-CN"/>
              </w:rPr>
              <w:t>50%</w:t>
            </w:r>
          </w:p>
        </w:tc>
        <w:tc>
          <w:tcPr>
            <w:tcW w:w="2551" w:type="dxa"/>
            <w:vAlign w:val="center"/>
          </w:tcPr>
          <w:p>
            <w:pPr>
              <w:pStyle w:val="13"/>
              <w:rPr>
                <w:lang w:eastAsia="zh-CN"/>
              </w:rPr>
            </w:pPr>
            <w:r>
              <w:rPr>
                <w:rFonts w:hint="eastAsia"/>
                <w:lang w:eastAsia="zh-CN"/>
              </w:rPr>
              <w:t>75%</w:t>
            </w:r>
          </w:p>
        </w:tc>
        <w:tc>
          <w:tcPr>
            <w:tcW w:w="3543" w:type="dxa"/>
            <w:gridSpan w:val="2"/>
            <w:vAlign w:val="center"/>
          </w:tcPr>
          <w:p>
            <w:pPr>
              <w:pStyle w:val="13"/>
              <w:rPr>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1.确保综治信息系统安全运行，促进市域社会治理现代化工作。</w:t>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培训人员人次</w:t>
            </w:r>
          </w:p>
        </w:tc>
        <w:tc>
          <w:tcPr>
            <w:tcW w:w="5386" w:type="dxa"/>
            <w:vAlign w:val="center"/>
          </w:tcPr>
          <w:p>
            <w:pPr>
              <w:pStyle w:val="12"/>
            </w:pPr>
            <w:r>
              <w:t>培训人员人次</w:t>
            </w:r>
          </w:p>
        </w:tc>
        <w:tc>
          <w:tcPr>
            <w:tcW w:w="2268" w:type="dxa"/>
            <w:vAlign w:val="center"/>
          </w:tcPr>
          <w:p>
            <w:pPr>
              <w:pStyle w:val="12"/>
            </w:pPr>
            <w:r>
              <w:t>≥500人次</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群众活动参与率</w:t>
            </w:r>
          </w:p>
        </w:tc>
        <w:tc>
          <w:tcPr>
            <w:tcW w:w="5386" w:type="dxa"/>
            <w:vAlign w:val="center"/>
          </w:tcPr>
          <w:p>
            <w:pPr>
              <w:pStyle w:val="12"/>
            </w:pPr>
            <w:r>
              <w:t>群众活动参与率</w:t>
            </w:r>
          </w:p>
        </w:tc>
        <w:tc>
          <w:tcPr>
            <w:tcW w:w="2268" w:type="dxa"/>
            <w:vAlign w:val="center"/>
          </w:tcPr>
          <w:p>
            <w:pPr>
              <w:pStyle w:val="12"/>
            </w:pPr>
            <w:r>
              <w:t>≥90%</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20万元</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创新工作情况</w:t>
            </w:r>
          </w:p>
        </w:tc>
        <w:tc>
          <w:tcPr>
            <w:tcW w:w="5386" w:type="dxa"/>
            <w:vAlign w:val="center"/>
          </w:tcPr>
          <w:p>
            <w:pPr>
              <w:pStyle w:val="12"/>
            </w:pPr>
            <w:r>
              <w:t>创新工作情况</w:t>
            </w:r>
          </w:p>
        </w:tc>
        <w:tc>
          <w:tcPr>
            <w:tcW w:w="2268" w:type="dxa"/>
            <w:vAlign w:val="center"/>
          </w:tcPr>
          <w:p>
            <w:pPr>
              <w:pStyle w:val="12"/>
            </w:pPr>
            <w:r>
              <w:t>工作开展良好</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≥90%</w:t>
            </w:r>
          </w:p>
        </w:tc>
        <w:tc>
          <w:tcPr>
            <w:tcW w:w="1276" w:type="dxa"/>
            <w:vAlign w:val="center"/>
          </w:tcPr>
          <w:p>
            <w:pPr>
              <w:pStyle w:val="12"/>
            </w:pPr>
            <w:r>
              <w:t>冀综治办（2018）39号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8、综治中心劳务派遣人员工资绩效目标表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13052524P000010102527</w:t>
            </w:r>
          </w:p>
        </w:tc>
        <w:tc>
          <w:tcPr>
            <w:tcW w:w="2835" w:type="dxa"/>
            <w:vAlign w:val="center"/>
          </w:tcPr>
          <w:p>
            <w:pPr>
              <w:pStyle w:val="10"/>
            </w:pPr>
            <w:r>
              <w:t>项目名称</w:t>
            </w:r>
          </w:p>
        </w:tc>
        <w:tc>
          <w:tcPr>
            <w:tcW w:w="6094" w:type="dxa"/>
            <w:gridSpan w:val="3"/>
            <w:vAlign w:val="center"/>
          </w:tcPr>
          <w:p>
            <w:pPr>
              <w:pStyle w:val="12"/>
            </w:pPr>
            <w:r>
              <w:t>综治中心劳务派遣人员工资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23.71</w:t>
            </w:r>
          </w:p>
        </w:tc>
        <w:tc>
          <w:tcPr>
            <w:tcW w:w="2835" w:type="dxa"/>
            <w:vAlign w:val="center"/>
          </w:tcPr>
          <w:p>
            <w:pPr>
              <w:pStyle w:val="10"/>
            </w:pPr>
            <w:r>
              <w:t>其中：财政    资金</w:t>
            </w:r>
          </w:p>
        </w:tc>
        <w:tc>
          <w:tcPr>
            <w:tcW w:w="2551" w:type="dxa"/>
            <w:vAlign w:val="center"/>
          </w:tcPr>
          <w:p>
            <w:pPr>
              <w:pStyle w:val="12"/>
            </w:pPr>
            <w:r>
              <w:t>23.71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 xml:space="preserve"> 及时发放综治中心劳务派遣人员工资，确保综治中心各项工作取得好成绩。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lang w:eastAsia="zh-CN"/>
              </w:rPr>
            </w:pPr>
            <w:r>
              <w:rPr>
                <w:rFonts w:hint="eastAsia"/>
                <w:lang w:eastAsia="zh-CN"/>
              </w:rPr>
              <w:t>25%</w:t>
            </w:r>
          </w:p>
        </w:tc>
        <w:tc>
          <w:tcPr>
            <w:tcW w:w="2835" w:type="dxa"/>
            <w:vAlign w:val="center"/>
          </w:tcPr>
          <w:p>
            <w:pPr>
              <w:pStyle w:val="13"/>
              <w:rPr>
                <w:lang w:eastAsia="zh-CN"/>
              </w:rPr>
            </w:pPr>
            <w:r>
              <w:rPr>
                <w:rFonts w:hint="eastAsia"/>
                <w:lang w:eastAsia="zh-CN"/>
              </w:rPr>
              <w:t>50%</w:t>
            </w:r>
          </w:p>
        </w:tc>
        <w:tc>
          <w:tcPr>
            <w:tcW w:w="2551" w:type="dxa"/>
            <w:vAlign w:val="center"/>
          </w:tcPr>
          <w:p>
            <w:pPr>
              <w:pStyle w:val="13"/>
              <w:rPr>
                <w:lang w:eastAsia="zh-CN"/>
              </w:rPr>
            </w:pPr>
            <w:r>
              <w:rPr>
                <w:rFonts w:hint="eastAsia"/>
                <w:lang w:eastAsia="zh-CN"/>
              </w:rPr>
              <w:t>75%</w:t>
            </w:r>
          </w:p>
        </w:tc>
        <w:tc>
          <w:tcPr>
            <w:tcW w:w="3543" w:type="dxa"/>
            <w:gridSpan w:val="2"/>
            <w:vAlign w:val="center"/>
          </w:tcPr>
          <w:p>
            <w:pPr>
              <w:pStyle w:val="13"/>
              <w:rPr>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1.及时发放综治中心劳务派遣人员工资，确保综治中心各项工作取得好成绩。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培训人员人次</w:t>
            </w:r>
          </w:p>
        </w:tc>
        <w:tc>
          <w:tcPr>
            <w:tcW w:w="5386" w:type="dxa"/>
            <w:vAlign w:val="center"/>
          </w:tcPr>
          <w:p>
            <w:pPr>
              <w:pStyle w:val="12"/>
            </w:pPr>
            <w:r>
              <w:t>培训人员人次</w:t>
            </w:r>
          </w:p>
        </w:tc>
        <w:tc>
          <w:tcPr>
            <w:tcW w:w="2268" w:type="dxa"/>
            <w:vAlign w:val="center"/>
          </w:tcPr>
          <w:p>
            <w:pPr>
              <w:pStyle w:val="12"/>
            </w:pPr>
            <w:r>
              <w:t>≥6次</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5386" w:type="dxa"/>
            <w:vAlign w:val="center"/>
          </w:tcPr>
          <w:p>
            <w:pPr>
              <w:pStyle w:val="12"/>
            </w:pPr>
            <w:r>
              <w:t>其他各项综合实务工作完成率</w:t>
            </w:r>
          </w:p>
        </w:tc>
        <w:tc>
          <w:tcPr>
            <w:tcW w:w="2268" w:type="dxa"/>
            <w:vAlign w:val="center"/>
          </w:tcPr>
          <w:p>
            <w:pPr>
              <w:pStyle w:val="12"/>
            </w:pPr>
            <w:r>
              <w:t>≥95%</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合理安排</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立体化社会治安防控体系覆盖率(</w:t>
            </w:r>
          </w:p>
        </w:tc>
        <w:tc>
          <w:tcPr>
            <w:tcW w:w="5386" w:type="dxa"/>
            <w:vAlign w:val="center"/>
          </w:tcPr>
          <w:p>
            <w:pPr>
              <w:pStyle w:val="12"/>
            </w:pPr>
            <w:r>
              <w:t>立体化社会治安防控体系覆盖率(%)</w:t>
            </w:r>
          </w:p>
        </w:tc>
        <w:tc>
          <w:tcPr>
            <w:tcW w:w="2268" w:type="dxa"/>
            <w:vAlign w:val="center"/>
          </w:tcPr>
          <w:p>
            <w:pPr>
              <w:pStyle w:val="12"/>
            </w:pPr>
            <w:r>
              <w:t>≥90%</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冀综治办（2018）39号</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2"/>
      </w:pPr>
      <w:bookmarkStart w:id="11" w:name="_Toc_3_3_0000000017"/>
      <w:r>
        <w:rPr>
          <w:rFonts w:hint="eastAsia" w:ascii="黑体" w:hAnsi="黑体" w:eastAsia="黑体" w:cs="黑体"/>
          <w:color w:val="000000"/>
          <w:sz w:val="32"/>
          <w:lang w:eastAsia="zh-CN"/>
        </w:rPr>
        <w:t>六</w:t>
      </w:r>
      <w:r>
        <w:rPr>
          <w:rFonts w:ascii="黑体" w:hAnsi="黑体" w:eastAsia="黑体" w:cs="黑体"/>
          <w:color w:val="000000"/>
          <w:sz w:val="32"/>
        </w:rPr>
        <w:t>、政府采购预算情况</w:t>
      </w:r>
      <w:bookmarkEnd w:id="11"/>
    </w:p>
    <w:p>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216中国共产党隆尧县委员会政法委员会</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4.38</w:t>
            </w:r>
          </w:p>
        </w:tc>
        <w:tc>
          <w:tcPr>
            <w:tcW w:w="964" w:type="dxa"/>
            <w:vAlign w:val="center"/>
          </w:tcPr>
          <w:p>
            <w:pPr>
              <w:pStyle w:val="15"/>
            </w:pPr>
            <w:r>
              <w:t>4.38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中国共产党隆尧县委员会政法委员会本级小计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4.38</w:t>
            </w:r>
          </w:p>
        </w:tc>
        <w:tc>
          <w:tcPr>
            <w:tcW w:w="964" w:type="dxa"/>
            <w:vAlign w:val="center"/>
          </w:tcPr>
          <w:p>
            <w:pPr>
              <w:pStyle w:val="15"/>
            </w:pPr>
            <w:r>
              <w:t>4.38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综治经费</w:t>
            </w:r>
          </w:p>
        </w:tc>
        <w:tc>
          <w:tcPr>
            <w:tcW w:w="964" w:type="dxa"/>
            <w:vAlign w:val="center"/>
          </w:tcPr>
          <w:p>
            <w:pPr>
              <w:pStyle w:val="11"/>
            </w:pPr>
            <w:r>
              <w:t>52.00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60</w:t>
            </w:r>
          </w:p>
        </w:tc>
        <w:tc>
          <w:tcPr>
            <w:tcW w:w="850" w:type="dxa"/>
            <w:vAlign w:val="center"/>
          </w:tcPr>
          <w:p>
            <w:pPr>
              <w:pStyle w:val="11"/>
            </w:pPr>
            <w:r>
              <w:t>0.02</w:t>
            </w:r>
          </w:p>
        </w:tc>
        <w:tc>
          <w:tcPr>
            <w:tcW w:w="964" w:type="dxa"/>
            <w:vAlign w:val="center"/>
          </w:tcPr>
          <w:p>
            <w:pPr>
              <w:pStyle w:val="11"/>
            </w:pPr>
            <w:r>
              <w:t>1.38</w:t>
            </w:r>
          </w:p>
        </w:tc>
        <w:tc>
          <w:tcPr>
            <w:tcW w:w="964" w:type="dxa"/>
            <w:vAlign w:val="center"/>
          </w:tcPr>
          <w:p>
            <w:pPr>
              <w:pStyle w:val="11"/>
            </w:pPr>
            <w:r>
              <w:t>1.38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综治经费</w:t>
            </w:r>
          </w:p>
        </w:tc>
        <w:tc>
          <w:tcPr>
            <w:tcW w:w="964" w:type="dxa"/>
            <w:vAlign w:val="center"/>
          </w:tcPr>
          <w:p>
            <w:pPr>
              <w:pStyle w:val="11"/>
            </w:pPr>
            <w:r>
              <w:t>52.00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bl>
    <w:p>
      <w:pPr>
        <w:spacing w:line="500" w:lineRule="exact"/>
        <w:ind w:firstLine="420"/>
        <w:rPr>
          <w:rFonts w:ascii="方正书宋_GBK" w:hAnsi="方正书宋_GBK" w:eastAsia="方正书宋_GBK" w:cs="方正书宋_GBK"/>
          <w:color w:val="000000"/>
          <w:sz w:val="21"/>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10" w:after="10"/>
        <w:ind w:firstLine="640"/>
        <w:outlineLvl w:val="2"/>
      </w:pPr>
      <w:bookmarkStart w:id="12" w:name="_Toc_3_3_0000000018"/>
      <w:r>
        <w:rPr>
          <w:rFonts w:hint="eastAsia" w:ascii="黑体" w:hAnsi="黑体" w:eastAsia="黑体" w:cs="黑体"/>
          <w:color w:val="000000"/>
          <w:sz w:val="32"/>
          <w:lang w:eastAsia="zh-CN"/>
        </w:rPr>
        <w:t>七</w:t>
      </w:r>
      <w:r>
        <w:rPr>
          <w:rFonts w:ascii="黑体" w:hAnsi="黑体" w:eastAsia="黑体" w:cs="黑体"/>
          <w:color w:val="000000"/>
          <w:sz w:val="32"/>
        </w:rPr>
        <w:t>、国有资产信息</w:t>
      </w:r>
      <w:bookmarkEnd w:id="12"/>
    </w:p>
    <w:p>
      <w:pPr>
        <w:ind w:firstLine="640" w:firstLineChars="200"/>
        <w:rPr>
          <w:rFonts w:eastAsia="仿宋"/>
          <w:color w:val="000000"/>
          <w:sz w:val="32"/>
          <w:szCs w:val="32"/>
        </w:rPr>
      </w:pPr>
      <w:r>
        <w:rPr>
          <w:rFonts w:hint="eastAsia" w:eastAsia="仿宋"/>
          <w:color w:val="000000"/>
          <w:sz w:val="32"/>
          <w:szCs w:val="32"/>
        </w:rPr>
        <w:t>中共隆尧县委政法委</w:t>
      </w:r>
      <w:r>
        <w:rPr>
          <w:rFonts w:eastAsia="仿宋"/>
          <w:color w:val="000000"/>
          <w:sz w:val="32"/>
          <w:szCs w:val="32"/>
        </w:rPr>
        <w:t>202</w:t>
      </w:r>
      <w:r>
        <w:rPr>
          <w:rFonts w:hint="eastAsia" w:eastAsia="仿宋"/>
          <w:color w:val="000000"/>
          <w:sz w:val="32"/>
          <w:szCs w:val="32"/>
        </w:rPr>
        <w:t>3年末固定资产金额为5.08万元（详见下表），本年度无拟购置固定资产详见政府采购预算表。</w:t>
      </w:r>
    </w:p>
    <w:tbl>
      <w:tblPr>
        <w:tblStyle w:val="4"/>
        <w:tblW w:w="8379" w:type="dxa"/>
        <w:tblInd w:w="93" w:type="dxa"/>
        <w:tblLayout w:type="fixed"/>
        <w:tblCellMar>
          <w:top w:w="0" w:type="dxa"/>
          <w:left w:w="108" w:type="dxa"/>
          <w:bottom w:w="0" w:type="dxa"/>
          <w:right w:w="108" w:type="dxa"/>
        </w:tblCellMar>
      </w:tblPr>
      <w:tblGrid>
        <w:gridCol w:w="3134"/>
        <w:gridCol w:w="1134"/>
        <w:gridCol w:w="4111"/>
      </w:tblGrid>
      <w:tr>
        <w:tblPrEx>
          <w:tblCellMar>
            <w:top w:w="0" w:type="dxa"/>
            <w:left w:w="108" w:type="dxa"/>
            <w:bottom w:w="0" w:type="dxa"/>
            <w:right w:w="108" w:type="dxa"/>
          </w:tblCellMar>
        </w:tblPrEx>
        <w:trPr>
          <w:trHeight w:val="705" w:hRule="atLeast"/>
        </w:trPr>
        <w:tc>
          <w:tcPr>
            <w:tcW w:w="8379" w:type="dxa"/>
            <w:gridSpan w:val="3"/>
            <w:tcBorders>
              <w:top w:val="nil"/>
              <w:left w:val="nil"/>
              <w:bottom w:val="nil"/>
              <w:right w:val="nil"/>
            </w:tcBorders>
            <w:vAlign w:val="center"/>
          </w:tcPr>
          <w:p>
            <w:pPr>
              <w:jc w:val="center"/>
              <w:rPr>
                <w:rFonts w:ascii="宋体" w:cs="宋体"/>
                <w:b/>
                <w:bCs/>
                <w:sz w:val="32"/>
                <w:szCs w:val="32"/>
              </w:rPr>
            </w:pPr>
            <w:r>
              <w:rPr>
                <w:rFonts w:hint="eastAsia" w:ascii="宋体" w:hAnsi="宋体" w:cs="宋体"/>
                <w:b/>
                <w:bCs/>
                <w:sz w:val="32"/>
                <w:szCs w:val="32"/>
              </w:rPr>
              <w:t>河北省隆尧县县直</w:t>
            </w:r>
            <w:r>
              <w:rPr>
                <w:rFonts w:hint="eastAsia" w:ascii="宋体" w:hAnsi="宋体" w:eastAsia="宋体" w:cs="宋体"/>
                <w:b/>
                <w:bCs/>
                <w:sz w:val="32"/>
                <w:szCs w:val="32"/>
                <w:lang w:eastAsia="zh-CN"/>
              </w:rPr>
              <w:t>单位</w:t>
            </w:r>
            <w:r>
              <w:rPr>
                <w:rFonts w:hint="eastAsia" w:ascii="宋体" w:hAnsi="宋体" w:cs="宋体"/>
                <w:b/>
                <w:bCs/>
                <w:sz w:val="32"/>
                <w:szCs w:val="32"/>
              </w:rPr>
              <w:t>固定资产占用情况表</w:t>
            </w:r>
          </w:p>
        </w:tc>
      </w:tr>
      <w:tr>
        <w:tblPrEx>
          <w:tblCellMar>
            <w:top w:w="0" w:type="dxa"/>
            <w:left w:w="108" w:type="dxa"/>
            <w:bottom w:w="0" w:type="dxa"/>
            <w:right w:w="108" w:type="dxa"/>
          </w:tblCellMar>
        </w:tblPrEx>
        <w:trPr>
          <w:trHeight w:val="510" w:hRule="atLeast"/>
        </w:trPr>
        <w:tc>
          <w:tcPr>
            <w:tcW w:w="4268" w:type="dxa"/>
            <w:gridSpan w:val="2"/>
            <w:tcBorders>
              <w:top w:val="nil"/>
              <w:left w:val="nil"/>
              <w:bottom w:val="nil"/>
              <w:right w:val="nil"/>
            </w:tcBorders>
            <w:vAlign w:val="center"/>
          </w:tcPr>
          <w:p>
            <w:pPr>
              <w:jc w:val="center"/>
              <w:rPr>
                <w:rFonts w:eastAsia="仿宋"/>
                <w:sz w:val="22"/>
              </w:rPr>
            </w:pPr>
            <w:r>
              <w:rPr>
                <w:rFonts w:hint="eastAsia" w:eastAsia="仿宋"/>
                <w:sz w:val="22"/>
              </w:rPr>
              <w:t>编制</w:t>
            </w:r>
            <w:r>
              <w:rPr>
                <w:rFonts w:hint="eastAsia" w:eastAsia="仿宋"/>
                <w:sz w:val="22"/>
                <w:lang w:eastAsia="zh-CN"/>
              </w:rPr>
              <w:t>单位</w:t>
            </w:r>
            <w:r>
              <w:rPr>
                <w:rFonts w:hint="eastAsia" w:eastAsia="仿宋"/>
                <w:sz w:val="22"/>
              </w:rPr>
              <w:t>：县委政法委</w:t>
            </w:r>
          </w:p>
        </w:tc>
        <w:tc>
          <w:tcPr>
            <w:tcW w:w="4111" w:type="dxa"/>
            <w:tcBorders>
              <w:top w:val="nil"/>
              <w:left w:val="nil"/>
              <w:bottom w:val="nil"/>
              <w:right w:val="nil"/>
            </w:tcBorders>
            <w:vAlign w:val="center"/>
          </w:tcPr>
          <w:p>
            <w:pPr>
              <w:rPr>
                <w:rFonts w:eastAsia="仿宋"/>
                <w:sz w:val="22"/>
              </w:rPr>
            </w:pPr>
            <w:r>
              <w:rPr>
                <w:rFonts w:hint="eastAsia" w:eastAsia="仿宋"/>
                <w:sz w:val="22"/>
              </w:rPr>
              <w:t>截止时间：</w:t>
            </w:r>
            <w:r>
              <w:rPr>
                <w:rFonts w:eastAsia="仿宋"/>
                <w:sz w:val="22"/>
              </w:rPr>
              <w:t>202</w:t>
            </w:r>
            <w:r>
              <w:rPr>
                <w:rFonts w:hint="eastAsia" w:eastAsia="仿宋"/>
                <w:sz w:val="22"/>
              </w:rPr>
              <w:t>3年</w:t>
            </w:r>
            <w:r>
              <w:rPr>
                <w:rFonts w:eastAsia="仿宋"/>
                <w:sz w:val="22"/>
              </w:rPr>
              <w:t>12</w:t>
            </w:r>
            <w:r>
              <w:rPr>
                <w:rFonts w:hint="eastAsia" w:eastAsia="仿宋"/>
                <w:sz w:val="22"/>
              </w:rPr>
              <w:t>月</w:t>
            </w:r>
            <w:r>
              <w:rPr>
                <w:rFonts w:eastAsia="仿宋"/>
                <w:sz w:val="22"/>
              </w:rPr>
              <w:t>31</w:t>
            </w:r>
            <w:r>
              <w:rPr>
                <w:rFonts w:hint="eastAsia" w:eastAsia="仿宋"/>
                <w:sz w:val="22"/>
              </w:rPr>
              <w:t>日</w:t>
            </w:r>
          </w:p>
        </w:tc>
      </w:tr>
      <w:tr>
        <w:tblPrEx>
          <w:tblCellMar>
            <w:top w:w="0" w:type="dxa"/>
            <w:left w:w="108" w:type="dxa"/>
            <w:bottom w:w="0" w:type="dxa"/>
            <w:right w:w="108" w:type="dxa"/>
          </w:tblCellMar>
        </w:tblPrEx>
        <w:trPr>
          <w:trHeight w:val="645" w:hRule="atLeast"/>
        </w:trPr>
        <w:tc>
          <w:tcPr>
            <w:tcW w:w="3134" w:type="dxa"/>
            <w:tcBorders>
              <w:top w:val="single" w:color="auto" w:sz="4" w:space="0"/>
              <w:left w:val="single" w:color="auto" w:sz="4" w:space="0"/>
              <w:bottom w:val="single" w:color="auto" w:sz="4" w:space="0"/>
              <w:right w:val="single" w:color="auto" w:sz="4" w:space="0"/>
            </w:tcBorders>
            <w:vAlign w:val="center"/>
          </w:tcPr>
          <w:p>
            <w:pPr>
              <w:rPr>
                <w:rFonts w:ascii="宋体" w:cs="宋体"/>
                <w:b/>
                <w:bCs/>
                <w:sz w:val="22"/>
              </w:rPr>
            </w:pPr>
            <w:r>
              <w:rPr>
                <w:rFonts w:hint="eastAsia" w:ascii="宋体" w:hAnsi="宋体" w:cs="宋体"/>
                <w:b/>
                <w:bCs/>
                <w:sz w:val="22"/>
              </w:rPr>
              <w:t>项目</w:t>
            </w:r>
          </w:p>
        </w:tc>
        <w:tc>
          <w:tcPr>
            <w:tcW w:w="1134" w:type="dxa"/>
            <w:tcBorders>
              <w:top w:val="single" w:color="auto" w:sz="4" w:space="0"/>
              <w:left w:val="nil"/>
              <w:bottom w:val="single" w:color="auto" w:sz="4" w:space="0"/>
              <w:right w:val="single" w:color="auto" w:sz="4" w:space="0"/>
            </w:tcBorders>
            <w:vAlign w:val="center"/>
          </w:tcPr>
          <w:p>
            <w:pPr>
              <w:rPr>
                <w:rFonts w:ascii="宋体" w:cs="宋体"/>
                <w:b/>
                <w:bCs/>
                <w:sz w:val="22"/>
              </w:rPr>
            </w:pPr>
            <w:r>
              <w:rPr>
                <w:rFonts w:hint="eastAsia" w:ascii="宋体" w:hAnsi="宋体" w:cs="宋体"/>
                <w:b/>
                <w:bCs/>
                <w:sz w:val="22"/>
              </w:rPr>
              <w:t>数量</w:t>
            </w:r>
          </w:p>
        </w:tc>
        <w:tc>
          <w:tcPr>
            <w:tcW w:w="4111" w:type="dxa"/>
            <w:tcBorders>
              <w:top w:val="single" w:color="auto" w:sz="4" w:space="0"/>
              <w:left w:val="nil"/>
              <w:bottom w:val="single" w:color="auto" w:sz="4" w:space="0"/>
              <w:right w:val="single" w:color="auto" w:sz="4" w:space="0"/>
            </w:tcBorders>
            <w:vAlign w:val="center"/>
          </w:tcPr>
          <w:p>
            <w:pPr>
              <w:rPr>
                <w:rFonts w:ascii="宋体" w:cs="宋体"/>
                <w:b/>
                <w:bCs/>
                <w:sz w:val="22"/>
              </w:rPr>
            </w:pPr>
            <w:r>
              <w:rPr>
                <w:rFonts w:hint="eastAsia" w:ascii="宋体" w:hAnsi="宋体" w:cs="宋体"/>
                <w:b/>
                <w:bCs/>
                <w:sz w:val="22"/>
              </w:rPr>
              <w:t>价值（金额单位：万元）</w:t>
            </w:r>
          </w:p>
        </w:tc>
      </w:tr>
      <w:tr>
        <w:tblPrEx>
          <w:tblCellMar>
            <w:top w:w="0" w:type="dxa"/>
            <w:left w:w="108" w:type="dxa"/>
            <w:bottom w:w="0" w:type="dxa"/>
            <w:right w:w="108" w:type="dxa"/>
          </w:tblCellMar>
        </w:tblPrEx>
        <w:trPr>
          <w:trHeight w:val="645" w:hRule="atLeast"/>
        </w:trPr>
        <w:tc>
          <w:tcPr>
            <w:tcW w:w="3134" w:type="dxa"/>
            <w:tcBorders>
              <w:top w:val="nil"/>
              <w:left w:val="single" w:color="auto" w:sz="4" w:space="0"/>
              <w:bottom w:val="single" w:color="auto" w:sz="4" w:space="0"/>
              <w:right w:val="single" w:color="auto" w:sz="4" w:space="0"/>
            </w:tcBorders>
            <w:vAlign w:val="center"/>
          </w:tcPr>
          <w:p>
            <w:pPr>
              <w:rPr>
                <w:rFonts w:eastAsia="仿宋"/>
                <w:sz w:val="22"/>
              </w:rPr>
            </w:pPr>
            <w:r>
              <w:rPr>
                <w:rFonts w:hint="eastAsia" w:eastAsia="仿宋"/>
                <w:sz w:val="22"/>
              </w:rPr>
              <w:t>资产总额</w:t>
            </w:r>
          </w:p>
        </w:tc>
        <w:tc>
          <w:tcPr>
            <w:tcW w:w="1134" w:type="dxa"/>
            <w:tcBorders>
              <w:top w:val="nil"/>
              <w:left w:val="nil"/>
              <w:bottom w:val="single" w:color="auto" w:sz="4" w:space="0"/>
              <w:right w:val="single" w:color="auto" w:sz="4" w:space="0"/>
            </w:tcBorders>
            <w:vAlign w:val="center"/>
          </w:tcPr>
          <w:p>
            <w:pPr>
              <w:rPr>
                <w:rFonts w:eastAsia="仿宋"/>
                <w:sz w:val="22"/>
              </w:rPr>
            </w:pPr>
            <w:r>
              <w:rPr>
                <w:rFonts w:eastAsia="仿宋"/>
                <w:sz w:val="22"/>
              </w:rPr>
              <w:t>——</w:t>
            </w:r>
          </w:p>
        </w:tc>
        <w:tc>
          <w:tcPr>
            <w:tcW w:w="4111" w:type="dxa"/>
            <w:tcBorders>
              <w:top w:val="nil"/>
              <w:left w:val="nil"/>
              <w:bottom w:val="single" w:color="auto" w:sz="4" w:space="0"/>
              <w:right w:val="single" w:color="auto" w:sz="4" w:space="0"/>
            </w:tcBorders>
            <w:vAlign w:val="center"/>
          </w:tcPr>
          <w:p>
            <w:pPr>
              <w:rPr>
                <w:rFonts w:eastAsia="仿宋"/>
                <w:color w:val="000000"/>
                <w:sz w:val="22"/>
              </w:rPr>
            </w:pPr>
            <w:r>
              <w:rPr>
                <w:rFonts w:hint="eastAsia" w:eastAsia="仿宋"/>
                <w:color w:val="000000"/>
                <w:sz w:val="22"/>
              </w:rPr>
              <w:t>5.08</w:t>
            </w:r>
          </w:p>
        </w:tc>
      </w:tr>
      <w:tr>
        <w:tblPrEx>
          <w:tblCellMar>
            <w:top w:w="0" w:type="dxa"/>
            <w:left w:w="108" w:type="dxa"/>
            <w:bottom w:w="0" w:type="dxa"/>
            <w:right w:w="108" w:type="dxa"/>
          </w:tblCellMar>
        </w:tblPrEx>
        <w:trPr>
          <w:trHeight w:val="645" w:hRule="atLeast"/>
        </w:trPr>
        <w:tc>
          <w:tcPr>
            <w:tcW w:w="313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1</w:t>
            </w:r>
            <w:r>
              <w:rPr>
                <w:rFonts w:hint="eastAsia" w:eastAsia="仿宋"/>
                <w:sz w:val="22"/>
              </w:rPr>
              <w:t>、房屋（平方米）</w:t>
            </w:r>
          </w:p>
        </w:tc>
        <w:tc>
          <w:tcPr>
            <w:tcW w:w="1134" w:type="dxa"/>
            <w:tcBorders>
              <w:top w:val="nil"/>
              <w:left w:val="nil"/>
              <w:bottom w:val="single" w:color="auto" w:sz="4" w:space="0"/>
              <w:right w:val="single" w:color="auto" w:sz="4" w:space="0"/>
            </w:tcBorders>
            <w:vAlign w:val="center"/>
          </w:tcPr>
          <w:p>
            <w:pPr>
              <w:rPr>
                <w:rFonts w:eastAsia="仿宋"/>
                <w:sz w:val="22"/>
              </w:rPr>
            </w:pPr>
          </w:p>
        </w:tc>
        <w:tc>
          <w:tcPr>
            <w:tcW w:w="4111" w:type="dxa"/>
            <w:tcBorders>
              <w:top w:val="nil"/>
              <w:left w:val="nil"/>
              <w:bottom w:val="single" w:color="auto" w:sz="4" w:space="0"/>
              <w:right w:val="single" w:color="auto" w:sz="4" w:space="0"/>
            </w:tcBorders>
            <w:vAlign w:val="center"/>
          </w:tcPr>
          <w:p>
            <w:pPr>
              <w:rPr>
                <w:rFonts w:eastAsia="仿宋"/>
                <w:sz w:val="22"/>
              </w:rPr>
            </w:pPr>
          </w:p>
        </w:tc>
      </w:tr>
      <w:tr>
        <w:tblPrEx>
          <w:tblCellMar>
            <w:top w:w="0" w:type="dxa"/>
            <w:left w:w="108" w:type="dxa"/>
            <w:bottom w:w="0" w:type="dxa"/>
            <w:right w:w="108" w:type="dxa"/>
          </w:tblCellMar>
        </w:tblPrEx>
        <w:trPr>
          <w:trHeight w:val="645" w:hRule="atLeast"/>
        </w:trPr>
        <w:tc>
          <w:tcPr>
            <w:tcW w:w="3134" w:type="dxa"/>
            <w:tcBorders>
              <w:top w:val="nil"/>
              <w:left w:val="single" w:color="auto" w:sz="4" w:space="0"/>
              <w:bottom w:val="single" w:color="auto" w:sz="4" w:space="0"/>
              <w:right w:val="single" w:color="auto" w:sz="4" w:space="0"/>
            </w:tcBorders>
            <w:vAlign w:val="center"/>
          </w:tcPr>
          <w:p>
            <w:pPr>
              <w:rPr>
                <w:rFonts w:eastAsia="仿宋"/>
                <w:sz w:val="22"/>
              </w:rPr>
            </w:pPr>
            <w:r>
              <w:rPr>
                <w:rFonts w:hint="eastAsia" w:eastAsia="仿宋"/>
                <w:sz w:val="22"/>
              </w:rPr>
              <w:t>其中：办公用房（平方米）</w:t>
            </w:r>
          </w:p>
        </w:tc>
        <w:tc>
          <w:tcPr>
            <w:tcW w:w="1134" w:type="dxa"/>
            <w:tcBorders>
              <w:top w:val="nil"/>
              <w:left w:val="nil"/>
              <w:bottom w:val="single" w:color="auto" w:sz="4" w:space="0"/>
              <w:right w:val="single" w:color="auto" w:sz="4" w:space="0"/>
            </w:tcBorders>
            <w:vAlign w:val="center"/>
          </w:tcPr>
          <w:p>
            <w:pPr>
              <w:rPr>
                <w:rFonts w:eastAsia="仿宋"/>
                <w:sz w:val="22"/>
              </w:rPr>
            </w:pPr>
          </w:p>
        </w:tc>
        <w:tc>
          <w:tcPr>
            <w:tcW w:w="4111" w:type="dxa"/>
            <w:tcBorders>
              <w:top w:val="nil"/>
              <w:left w:val="nil"/>
              <w:bottom w:val="single" w:color="auto" w:sz="4" w:space="0"/>
              <w:right w:val="single" w:color="auto" w:sz="4" w:space="0"/>
            </w:tcBorders>
            <w:vAlign w:val="center"/>
          </w:tcPr>
          <w:p>
            <w:pPr>
              <w:rPr>
                <w:rFonts w:eastAsia="仿宋"/>
                <w:sz w:val="22"/>
              </w:rPr>
            </w:pPr>
          </w:p>
        </w:tc>
      </w:tr>
      <w:tr>
        <w:tblPrEx>
          <w:tblCellMar>
            <w:top w:w="0" w:type="dxa"/>
            <w:left w:w="108" w:type="dxa"/>
            <w:bottom w:w="0" w:type="dxa"/>
            <w:right w:w="108" w:type="dxa"/>
          </w:tblCellMar>
        </w:tblPrEx>
        <w:trPr>
          <w:trHeight w:val="645" w:hRule="atLeast"/>
        </w:trPr>
        <w:tc>
          <w:tcPr>
            <w:tcW w:w="313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2</w:t>
            </w:r>
            <w:r>
              <w:rPr>
                <w:rFonts w:hint="eastAsia" w:eastAsia="仿宋"/>
                <w:sz w:val="22"/>
              </w:rPr>
              <w:t>、车辆（台、辆）</w:t>
            </w:r>
          </w:p>
        </w:tc>
        <w:tc>
          <w:tcPr>
            <w:tcW w:w="1134" w:type="dxa"/>
            <w:tcBorders>
              <w:top w:val="nil"/>
              <w:left w:val="nil"/>
              <w:bottom w:val="single" w:color="auto" w:sz="4" w:space="0"/>
              <w:right w:val="single" w:color="auto" w:sz="4" w:space="0"/>
            </w:tcBorders>
            <w:vAlign w:val="center"/>
          </w:tcPr>
          <w:p>
            <w:pPr>
              <w:rPr>
                <w:rFonts w:eastAsia="仿宋"/>
                <w:sz w:val="22"/>
              </w:rPr>
            </w:pPr>
          </w:p>
        </w:tc>
        <w:tc>
          <w:tcPr>
            <w:tcW w:w="4111" w:type="dxa"/>
            <w:tcBorders>
              <w:top w:val="nil"/>
              <w:left w:val="nil"/>
              <w:bottom w:val="single" w:color="auto" w:sz="4" w:space="0"/>
              <w:right w:val="single" w:color="auto" w:sz="4" w:space="0"/>
            </w:tcBorders>
            <w:vAlign w:val="center"/>
          </w:tcPr>
          <w:p>
            <w:pPr>
              <w:rPr>
                <w:rFonts w:eastAsia="仿宋"/>
                <w:sz w:val="22"/>
              </w:rPr>
            </w:pPr>
          </w:p>
        </w:tc>
      </w:tr>
      <w:tr>
        <w:tblPrEx>
          <w:tblCellMar>
            <w:top w:w="0" w:type="dxa"/>
            <w:left w:w="108" w:type="dxa"/>
            <w:bottom w:w="0" w:type="dxa"/>
            <w:right w:w="108" w:type="dxa"/>
          </w:tblCellMar>
        </w:tblPrEx>
        <w:trPr>
          <w:trHeight w:val="645" w:hRule="atLeast"/>
        </w:trPr>
        <w:tc>
          <w:tcPr>
            <w:tcW w:w="313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3</w:t>
            </w:r>
            <w:r>
              <w:rPr>
                <w:rFonts w:hint="eastAsia" w:eastAsia="仿宋"/>
                <w:sz w:val="22"/>
              </w:rPr>
              <w:t>、其他设备</w:t>
            </w:r>
          </w:p>
        </w:tc>
        <w:tc>
          <w:tcPr>
            <w:tcW w:w="1134" w:type="dxa"/>
            <w:tcBorders>
              <w:top w:val="nil"/>
              <w:left w:val="nil"/>
              <w:bottom w:val="single" w:color="auto" w:sz="4" w:space="0"/>
              <w:right w:val="single" w:color="auto" w:sz="4" w:space="0"/>
            </w:tcBorders>
            <w:vAlign w:val="center"/>
          </w:tcPr>
          <w:p>
            <w:pPr>
              <w:rPr>
                <w:rFonts w:eastAsia="仿宋"/>
                <w:sz w:val="22"/>
              </w:rPr>
            </w:pPr>
            <w:r>
              <w:rPr>
                <w:rFonts w:hint="eastAsia" w:eastAsia="仿宋"/>
                <w:sz w:val="22"/>
              </w:rPr>
              <w:t>35</w:t>
            </w:r>
          </w:p>
        </w:tc>
        <w:tc>
          <w:tcPr>
            <w:tcW w:w="4111" w:type="dxa"/>
            <w:tcBorders>
              <w:top w:val="nil"/>
              <w:left w:val="nil"/>
              <w:bottom w:val="single" w:color="auto" w:sz="4" w:space="0"/>
              <w:right w:val="single" w:color="auto" w:sz="4" w:space="0"/>
            </w:tcBorders>
            <w:vAlign w:val="center"/>
          </w:tcPr>
          <w:p>
            <w:pPr>
              <w:rPr>
                <w:rFonts w:eastAsia="仿宋"/>
                <w:sz w:val="22"/>
              </w:rPr>
            </w:pPr>
            <w:r>
              <w:rPr>
                <w:rFonts w:hint="eastAsia" w:eastAsia="仿宋"/>
                <w:sz w:val="22"/>
              </w:rPr>
              <w:t>5.08</w:t>
            </w:r>
          </w:p>
        </w:tc>
      </w:tr>
      <w:tr>
        <w:tblPrEx>
          <w:tblCellMar>
            <w:top w:w="0" w:type="dxa"/>
            <w:left w:w="108" w:type="dxa"/>
            <w:bottom w:w="0" w:type="dxa"/>
            <w:right w:w="108" w:type="dxa"/>
          </w:tblCellMar>
        </w:tblPrEx>
        <w:trPr>
          <w:trHeight w:val="645" w:hRule="atLeast"/>
        </w:trPr>
        <w:tc>
          <w:tcPr>
            <w:tcW w:w="313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4</w:t>
            </w:r>
            <w:r>
              <w:rPr>
                <w:rFonts w:hint="eastAsia" w:eastAsia="仿宋"/>
                <w:sz w:val="22"/>
              </w:rPr>
              <w:t>、其他固定资产</w:t>
            </w:r>
          </w:p>
        </w:tc>
        <w:tc>
          <w:tcPr>
            <w:tcW w:w="1134" w:type="dxa"/>
            <w:tcBorders>
              <w:top w:val="nil"/>
              <w:left w:val="nil"/>
              <w:bottom w:val="single" w:color="auto" w:sz="4" w:space="0"/>
              <w:right w:val="single" w:color="auto" w:sz="4" w:space="0"/>
            </w:tcBorders>
            <w:vAlign w:val="center"/>
          </w:tcPr>
          <w:p>
            <w:pPr>
              <w:rPr>
                <w:rFonts w:eastAsia="仿宋"/>
                <w:sz w:val="22"/>
              </w:rPr>
            </w:pPr>
          </w:p>
        </w:tc>
        <w:tc>
          <w:tcPr>
            <w:tcW w:w="4111" w:type="dxa"/>
            <w:tcBorders>
              <w:top w:val="nil"/>
              <w:left w:val="nil"/>
              <w:bottom w:val="single" w:color="auto" w:sz="4" w:space="0"/>
              <w:right w:val="single" w:color="auto" w:sz="4" w:space="0"/>
            </w:tcBorders>
            <w:vAlign w:val="center"/>
          </w:tcPr>
          <w:p>
            <w:pPr>
              <w:rPr>
                <w:rFonts w:eastAsia="仿宋"/>
                <w:sz w:val="22"/>
              </w:rPr>
            </w:pPr>
          </w:p>
        </w:tc>
      </w:tr>
    </w:tbl>
    <w:p>
      <w:pPr>
        <w:ind w:firstLine="640"/>
        <w:rPr>
          <w:rFonts w:eastAsiaTheme="minorEastAsia"/>
          <w:color w:val="000000"/>
          <w:sz w:val="28"/>
          <w:lang w:eastAsia="zh-CN"/>
        </w:rPr>
      </w:pPr>
    </w:p>
    <w:p>
      <w:pPr>
        <w:ind w:firstLine="640"/>
        <w:rPr>
          <w:rFonts w:eastAsiaTheme="minorEastAsia"/>
          <w:lang w:eastAsia="zh-CN"/>
        </w:rPr>
      </w:pPr>
    </w:p>
    <w:p>
      <w:pPr>
        <w:spacing w:before="10" w:after="10"/>
        <w:ind w:firstLine="640"/>
        <w:outlineLvl w:val="2"/>
      </w:pPr>
      <w:bookmarkStart w:id="13" w:name="_Toc_3_3_0000000019"/>
      <w:r>
        <w:rPr>
          <w:rFonts w:hint="eastAsia" w:ascii="黑体" w:hAnsi="黑体" w:eastAsia="黑体" w:cs="黑体"/>
          <w:color w:val="000000"/>
          <w:sz w:val="32"/>
          <w:lang w:eastAsia="zh-CN"/>
        </w:rPr>
        <w:t>八</w:t>
      </w:r>
      <w:r>
        <w:rPr>
          <w:rFonts w:ascii="黑体" w:hAnsi="黑体" w:eastAsia="黑体" w:cs="黑体"/>
          <w:color w:val="000000"/>
          <w:sz w:val="32"/>
        </w:rPr>
        <w:t>、名词解释</w:t>
      </w:r>
      <w:bookmarkEnd w:id="13"/>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hint="eastAsia" w:eastAsia="方正仿宋_GBK"/>
          <w:b/>
          <w:color w:val="000000"/>
          <w:sz w:val="28"/>
          <w:lang w:eastAsia="zh-CN"/>
        </w:rPr>
        <w:t>单位</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4" w:name="_Toc_3_3_0000000020"/>
      <w:r>
        <w:rPr>
          <w:rFonts w:hint="eastAsia" w:ascii="黑体" w:hAnsi="黑体" w:eastAsia="黑体" w:cs="黑体"/>
          <w:color w:val="000000"/>
          <w:sz w:val="32"/>
          <w:lang w:eastAsia="zh-CN"/>
        </w:rPr>
        <w:t>九</w:t>
      </w:r>
      <w:r>
        <w:rPr>
          <w:rFonts w:ascii="黑体" w:hAnsi="黑体" w:eastAsia="黑体" w:cs="黑体"/>
          <w:color w:val="000000"/>
          <w:sz w:val="32"/>
        </w:rPr>
        <w:t>、其他需要说明的事项</w:t>
      </w:r>
      <w:bookmarkEnd w:id="14"/>
    </w:p>
    <w:p>
      <w:pPr>
        <w:spacing w:line="500" w:lineRule="exact"/>
        <w:ind w:firstLine="560"/>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sectPr>
      <w:pgSz w:w="11900" w:h="16840"/>
      <w:pgMar w:top="1984" w:right="1417" w:bottom="1417" w:left="1417" w:header="720" w:footer="720" w:gutter="0"/>
      <w:pgNumType w:fmt="decimal"/>
      <w:cols w:space="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jc w:val="right"/>
                          </w:pPr>
                          <w:r>
                            <w:fldChar w:fldCharType="begin"/>
                          </w:r>
                          <w:r>
                            <w:instrText xml:space="preserve">PAGE "page number"</w:instrText>
                          </w:r>
                          <w:r>
                            <w:fldChar w:fldCharType="separate"/>
                          </w:r>
                          <w:r>
                            <w:t>27</w:t>
                          </w:r>
                          <w: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CziH4F5wEAAMcD&#10;AAAOAAAAAAAAAAEAIAAAAB4BAABkcnMvZTJvRG9jLnhtbFBLBQYAAAAABgAGAFkBAAB3BQAAAAA=&#10;">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27</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r>
                            <w:fldChar w:fldCharType="begin"/>
                          </w:r>
                          <w:r>
                            <w:instrText xml:space="preserve">PAGE "page number"</w:instrText>
                          </w:r>
                          <w:r>
                            <w:fldChar w:fldCharType="separate"/>
                          </w:r>
                          <w:r>
                            <w:t>26</w:t>
                          </w:r>
                          <w: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CtTvnA5wEAAMcD&#10;AAAOAAAAAAAAAAEAIAAAAB4BAABkcnMvZTJvRG9jLnhtbFBLBQYAAAAABgAGAFkBAAB3BQAAAAA=&#10;">
              <v:fill on="f" focussize="0,0"/>
              <v:stroke on="f"/>
              <v:imagedata o:title=""/>
              <o:lock v:ext="edit" aspectratio="f"/>
              <v:textbox inset="0mm,0mm,0mm,0mm" style="mso-fit-shape-to-text:t;">
                <w:txbxContent>
                  <w:p>
                    <w:r>
                      <w:fldChar w:fldCharType="begin"/>
                    </w:r>
                    <w:r>
                      <w:instrText xml:space="preserve">PAGE "page number"</w:instrText>
                    </w:r>
                    <w:r>
                      <w:fldChar w:fldCharType="separate"/>
                    </w:r>
                    <w:r>
                      <w:t>26</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5MTZhMjNkYzc3MTUyMDU2MzdkZjk5Zjk4MTEyYWEifQ=="/>
  </w:docVars>
  <w:rsids>
    <w:rsidRoot w:val="008853D1"/>
    <w:rsid w:val="000451A8"/>
    <w:rsid w:val="00156A1E"/>
    <w:rsid w:val="001B73CA"/>
    <w:rsid w:val="004646FF"/>
    <w:rsid w:val="004B0CD0"/>
    <w:rsid w:val="00730D63"/>
    <w:rsid w:val="008853D1"/>
    <w:rsid w:val="00981998"/>
    <w:rsid w:val="009A5333"/>
    <w:rsid w:val="00AF151D"/>
    <w:rsid w:val="00B46637"/>
    <w:rsid w:val="00CC1F05"/>
    <w:rsid w:val="00F85EB0"/>
    <w:rsid w:val="053C4CE5"/>
    <w:rsid w:val="2EDE4917"/>
    <w:rsid w:val="5C014EA7"/>
    <w:rsid w:val="6A5629A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TOC 2"/>
    <w:basedOn w:val="1"/>
    <w:autoRedefine/>
    <w:qFormat/>
    <w:uiPriority w:val="0"/>
    <w:pPr>
      <w:ind w:left="240"/>
    </w:pPr>
  </w:style>
  <w:style w:type="paragraph" w:customStyle="1" w:styleId="26">
    <w:name w:val="TOC 3"/>
    <w:basedOn w:val="1"/>
    <w:autoRedefine/>
    <w:qFormat/>
    <w:uiPriority w:val="0"/>
    <w:pPr>
      <w:ind w:left="480"/>
    </w:pPr>
  </w:style>
  <w:style w:type="paragraph" w:customStyle="1" w:styleId="27">
    <w:name w:val="TOC 1"/>
    <w:basedOn w:val="1"/>
    <w:autoRedefine/>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2024-01-31T16:30:45Z</dcterms:created>
  <dcterms:modified xsi:type="dcterms:W3CDTF">2024-01-31T08:30:45Z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2024-01-31T16:31:07Z</dcterms:created>
  <dcterms:modified xsi:type="dcterms:W3CDTF">2024-01-31T08:31:07Z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2024-01-31T16:31:09Z</dcterms:created>
  <dcterms:modified xsi:type="dcterms:W3CDTF">2024-01-31T08:31:09Z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2024-01-31T16:31:05Z</dcterms:created>
  <dcterms:modified xsi:type="dcterms:W3CDTF">2024-01-31T08:31:05Z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2024-01-31T16:31:12Z</dcterms:created>
  <dcterms:modified xsi:type="dcterms:W3CDTF">2024-01-31T08:31:11Z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2024-01-31T16:30:44Z</dcterms:created>
  <dcterms:modified xsi:type="dcterms:W3CDTF">2024-01-31T08:30:44Z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2024-01-31T16:30:41Z</dcterms:created>
  <dcterms:modified xsi:type="dcterms:W3CDTF">2024-01-31T08:30:41Z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2024-01-31T16:31:14Z</dcterms:created>
  <dcterms:modified xsi:type="dcterms:W3CDTF">2024-01-31T08:31:14Z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2024-01-31T16:30:41Z</dcterms:created>
  <dcterms:modified xsi:type="dcterms:W3CDTF">2024-01-31T08:30:40Z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2024-01-31T16:30:42Z</dcterms:created>
  <dcterms:modified xsi:type="dcterms:W3CDTF">2024-01-31T08:30:42Z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2024-01-31T16:31:27Z</dcterms:created>
  <dcterms:modified xsi:type="dcterms:W3CDTF">2024-01-31T08:31:27Z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2024-01-31T16:30:39Z</dcterms:created>
  <dcterms:modified xsi:type="dcterms:W3CDTF">2024-01-31T08:30:30Z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A596BD5-B442-4B18-88BD-BBD8C749FF0A}">
  <ds:schemaRefs/>
</ds:datastoreItem>
</file>

<file path=customXml/itemProps11.xml><?xml version="1.0" encoding="utf-8"?>
<ds:datastoreItem xmlns:ds="http://schemas.openxmlformats.org/officeDocument/2006/customXml" ds:itemID="{AC13528E-E823-411A-9BD3-F4956A7B954D}">
  <ds:schemaRefs/>
</ds:datastoreItem>
</file>

<file path=customXml/itemProps12.xml><?xml version="1.0" encoding="utf-8"?>
<ds:datastoreItem xmlns:ds="http://schemas.openxmlformats.org/officeDocument/2006/customXml" ds:itemID="{46655D6C-6394-4B3C-BAB8-7873153A5F38}">
  <ds:schemaRefs/>
</ds:datastoreItem>
</file>

<file path=customXml/itemProps13.xml><?xml version="1.0" encoding="utf-8"?>
<ds:datastoreItem xmlns:ds="http://schemas.openxmlformats.org/officeDocument/2006/customXml" ds:itemID="{198EFD44-CDF5-4A27-A101-CB1D9B7C5DDC}">
  <ds:schemaRefs/>
</ds:datastoreItem>
</file>

<file path=customXml/itemProps14.xml><?xml version="1.0" encoding="utf-8"?>
<ds:datastoreItem xmlns:ds="http://schemas.openxmlformats.org/officeDocument/2006/customXml" ds:itemID="{574240D1-FB4E-43C9-93AB-6B534D47BC98}">
  <ds:schemaRefs/>
</ds:datastoreItem>
</file>

<file path=customXml/itemProps15.xml><?xml version="1.0" encoding="utf-8"?>
<ds:datastoreItem xmlns:ds="http://schemas.openxmlformats.org/officeDocument/2006/customXml" ds:itemID="{3D6ED390-43E4-4818-B1F6-94E03ED69126}">
  <ds:schemaRefs/>
</ds:datastoreItem>
</file>

<file path=customXml/itemProps16.xml><?xml version="1.0" encoding="utf-8"?>
<ds:datastoreItem xmlns:ds="http://schemas.openxmlformats.org/officeDocument/2006/customXml" ds:itemID="{57432C42-22E1-4634-9EEC-7C43A218D1F6}">
  <ds:schemaRefs/>
</ds:datastoreItem>
</file>

<file path=customXml/itemProps17.xml><?xml version="1.0" encoding="utf-8"?>
<ds:datastoreItem xmlns:ds="http://schemas.openxmlformats.org/officeDocument/2006/customXml" ds:itemID="{CF171D6B-5D1E-4639-9CA8-DA6DF7F762AA}">
  <ds:schemaRefs/>
</ds:datastoreItem>
</file>

<file path=customXml/itemProps18.xml><?xml version="1.0" encoding="utf-8"?>
<ds:datastoreItem xmlns:ds="http://schemas.openxmlformats.org/officeDocument/2006/customXml" ds:itemID="{685504EF-7945-4CF9-BC45-F47AF4EB0433}">
  <ds:schemaRefs/>
</ds:datastoreItem>
</file>

<file path=customXml/itemProps19.xml><?xml version="1.0" encoding="utf-8"?>
<ds:datastoreItem xmlns:ds="http://schemas.openxmlformats.org/officeDocument/2006/customXml" ds:itemID="{81DE9C67-859A-4EC3-BC93-D6723F151EB4}">
  <ds:schemaRefs/>
</ds:datastoreItem>
</file>

<file path=customXml/itemProps2.xml><?xml version="1.0" encoding="utf-8"?>
<ds:datastoreItem xmlns:ds="http://schemas.openxmlformats.org/officeDocument/2006/customXml" ds:itemID="{109D76FB-E5AA-48A8-BE6B-0A05662855DE}">
  <ds:schemaRefs/>
</ds:datastoreItem>
</file>

<file path=customXml/itemProps20.xml><?xml version="1.0" encoding="utf-8"?>
<ds:datastoreItem xmlns:ds="http://schemas.openxmlformats.org/officeDocument/2006/customXml" ds:itemID="{DEE9C372-C545-4033-B4C7-E5FB46FBF139}">
  <ds:schemaRefs/>
</ds:datastoreItem>
</file>

<file path=customXml/itemProps21.xml><?xml version="1.0" encoding="utf-8"?>
<ds:datastoreItem xmlns:ds="http://schemas.openxmlformats.org/officeDocument/2006/customXml" ds:itemID="{73BA4A60-2607-4A18-A27F-4EAC178E4EA1}">
  <ds:schemaRefs/>
</ds:datastoreItem>
</file>

<file path=customXml/itemProps22.xml><?xml version="1.0" encoding="utf-8"?>
<ds:datastoreItem xmlns:ds="http://schemas.openxmlformats.org/officeDocument/2006/customXml" ds:itemID="{D974CBF2-204A-4CCD-AE97-DD6EED9A344E}">
  <ds:schemaRefs/>
</ds:datastoreItem>
</file>

<file path=customXml/itemProps23.xml><?xml version="1.0" encoding="utf-8"?>
<ds:datastoreItem xmlns:ds="http://schemas.openxmlformats.org/officeDocument/2006/customXml" ds:itemID="{8FBE40B4-9F32-4172-9A96-E422058A52A1}">
  <ds:schemaRefs/>
</ds:datastoreItem>
</file>

<file path=customXml/itemProps24.xml><?xml version="1.0" encoding="utf-8"?>
<ds:datastoreItem xmlns:ds="http://schemas.openxmlformats.org/officeDocument/2006/customXml" ds:itemID="{98447A52-C3C3-44D9-9F2F-DA9E9C364517}">
  <ds:schemaRefs/>
</ds:datastoreItem>
</file>

<file path=customXml/itemProps25.xml><?xml version="1.0" encoding="utf-8"?>
<ds:datastoreItem xmlns:ds="http://schemas.openxmlformats.org/officeDocument/2006/customXml" ds:itemID="{BB33C6E2-F4DE-4070-BB26-B898B6A21537}">
  <ds:schemaRefs/>
</ds:datastoreItem>
</file>

<file path=customXml/itemProps3.xml><?xml version="1.0" encoding="utf-8"?>
<ds:datastoreItem xmlns:ds="http://schemas.openxmlformats.org/officeDocument/2006/customXml" ds:itemID="{B866E444-BEA4-452B-8F7D-A333119402A5}">
  <ds:schemaRefs/>
</ds:datastoreItem>
</file>

<file path=customXml/itemProps4.xml><?xml version="1.0" encoding="utf-8"?>
<ds:datastoreItem xmlns:ds="http://schemas.openxmlformats.org/officeDocument/2006/customXml" ds:itemID="{CD493E30-324F-468D-88EB-C58D01F146F7}">
  <ds:schemaRefs/>
</ds:datastoreItem>
</file>

<file path=customXml/itemProps5.xml><?xml version="1.0" encoding="utf-8"?>
<ds:datastoreItem xmlns:ds="http://schemas.openxmlformats.org/officeDocument/2006/customXml" ds:itemID="{B2EB2D44-12D4-4F59-A007-085B79BFE3CB}">
  <ds:schemaRefs/>
</ds:datastoreItem>
</file>

<file path=customXml/itemProps6.xml><?xml version="1.0" encoding="utf-8"?>
<ds:datastoreItem xmlns:ds="http://schemas.openxmlformats.org/officeDocument/2006/customXml" ds:itemID="{233FC288-73D2-469E-82AD-20961001CDE4}">
  <ds:schemaRefs/>
</ds:datastoreItem>
</file>

<file path=customXml/itemProps7.xml><?xml version="1.0" encoding="utf-8"?>
<ds:datastoreItem xmlns:ds="http://schemas.openxmlformats.org/officeDocument/2006/customXml" ds:itemID="{B14B1684-E0D9-40A2-942B-F53E1D11996E}">
  <ds:schemaRefs/>
</ds:datastoreItem>
</file>

<file path=customXml/itemProps8.xml><?xml version="1.0" encoding="utf-8"?>
<ds:datastoreItem xmlns:ds="http://schemas.openxmlformats.org/officeDocument/2006/customXml" ds:itemID="{5EB43693-781C-4B5A-B06B-2361AD26D1E0}">
  <ds:schemaRefs/>
</ds:datastoreItem>
</file>

<file path=customXml/itemProps9.xml><?xml version="1.0" encoding="utf-8"?>
<ds:datastoreItem xmlns:ds="http://schemas.openxmlformats.org/officeDocument/2006/customXml" ds:itemID="{CF94856F-9BD8-4CA7-B440-7A1D956D5DB9}">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30</Pages>
  <Words>2168</Words>
  <Characters>12363</Characters>
  <Lines>103</Lines>
  <Paragraphs>29</Paragraphs>
  <TotalTime>0</TotalTime>
  <ScaleCrop>false</ScaleCrop>
  <LinksUpToDate>false</LinksUpToDate>
  <CharactersWithSpaces>14502</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2024-01-31T08:48:00Z</dcterms:created>
  <dc:creator>Administrator</dc:creator>
  <cp:lastModifiedBy>中华文印</cp:lastModifiedBy>
  <dcterms:modified xsi:type="dcterms:W3CDTF">2024-02-06T07:38:23Z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2FEE95B5C03B4595BAB8868B9CADACB8_13</vt:lpwstr>
  </property>
</Properties>
</file>