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p>
    <w:p>
      <w:r>
        <w:rPr>
          <w:rFonts w:ascii="方正楷体_GBK" w:hAns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27"/>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3</w:t>
      </w:r>
      <w:r>
        <w:fldChar w:fldCharType="end"/>
      </w:r>
    </w:p>
    <w:p>
      <w:pPr>
        <w:pStyle w:val="27"/>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4</w:t>
      </w:r>
      <w:r>
        <w:fldChar w:fldCharType="end"/>
      </w:r>
    </w:p>
    <w:p>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5</w:t>
      </w:r>
      <w:r>
        <w:fldChar w:fldCharType="end"/>
      </w:r>
    </w:p>
    <w:p>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7</w:t>
      </w:r>
      <w:r>
        <w:fldChar w:fldCharType="end"/>
      </w:r>
    </w:p>
    <w:p>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8</w:t>
      </w:r>
      <w:r>
        <w:fldChar w:fldCharType="end"/>
      </w:r>
    </w:p>
    <w:p>
      <w:pPr>
        <w:pStyle w:val="27"/>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0</w:t>
      </w:r>
    </w:p>
    <w:p>
      <w:pPr>
        <w:pStyle w:val="27"/>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1</w:t>
      </w:r>
    </w:p>
    <w:p>
      <w:pPr>
        <w:pStyle w:val="27"/>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2</w:t>
      </w:r>
    </w:p>
    <w:p>
      <w:r>
        <w:fldChar w:fldCharType="end"/>
      </w:r>
    </w:p>
    <w:p>
      <w:r>
        <w:rPr>
          <w:rFonts w:ascii="方正楷体_GBK" w:hAnsi="方正楷体_GBK" w:eastAsia="方正楷体_GBK" w:cs="方正楷体_GBK"/>
          <w:b/>
          <w:color w:val="000000"/>
          <w:sz w:val="28"/>
        </w:rPr>
        <w:t>部门预算信息公开情况说明</w:t>
      </w:r>
    </w:p>
    <w:p>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27"/>
        <w:tabs>
          <w:tab w:val="right" w:leader="dot" w:pos="14562"/>
        </w:tabs>
        <w:rPr>
          <w:rFonts w:hint="default" w:eastAsia="方正仿宋_GBK"/>
          <w:lang w:val="en-US" w:eastAsia="zh-CN"/>
        </w:rPr>
      </w:pPr>
      <w:r>
        <w:fldChar w:fldCharType="begin"/>
      </w:r>
      <w:r>
        <w:instrText xml:space="preserve"> HYPERLINK \l "_Toc_3_3_0000000011" </w:instrText>
      </w:r>
      <w:r>
        <w:fldChar w:fldCharType="separate"/>
      </w:r>
      <w:r>
        <w:t>二、部门预算安排的总体情况</w:t>
      </w:r>
      <w:r>
        <w:tab/>
      </w:r>
      <w:r>
        <w:fldChar w:fldCharType="end"/>
      </w:r>
      <w:r>
        <w:rPr>
          <w:rFonts w:hint="eastAsia"/>
          <w:lang w:val="en-US" w:eastAsia="zh-CN"/>
        </w:rPr>
        <w:t>14</w:t>
      </w:r>
    </w:p>
    <w:p>
      <w:pPr>
        <w:pStyle w:val="27"/>
        <w:tabs>
          <w:tab w:val="right" w:leader="dot" w:pos="14562"/>
        </w:tabs>
        <w:rPr>
          <w:rFonts w:hint="default" w:eastAsia="方正仿宋_GBK"/>
          <w:lang w:val="en-US" w:eastAsia="zh-CN"/>
        </w:rPr>
      </w:pPr>
      <w:r>
        <w:fldChar w:fldCharType="begin"/>
      </w:r>
      <w:r>
        <w:instrText xml:space="preserve"> HYPERLINK \l "_Toc_3_3_0000000012" </w:instrText>
      </w:r>
      <w:r>
        <w:fldChar w:fldCharType="separate"/>
      </w:r>
      <w:r>
        <w:t>三、机关运行经费安排情况</w:t>
      </w:r>
      <w:r>
        <w:tab/>
      </w:r>
      <w:r>
        <w:fldChar w:fldCharType="end"/>
      </w:r>
      <w:r>
        <w:rPr>
          <w:rFonts w:hint="eastAsia"/>
          <w:lang w:val="en-US" w:eastAsia="zh-CN"/>
        </w:rPr>
        <w:t>14</w:t>
      </w:r>
    </w:p>
    <w:p>
      <w:pPr>
        <w:pStyle w:val="27"/>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4</w:t>
      </w:r>
    </w:p>
    <w:p>
      <w:pPr>
        <w:pStyle w:val="27"/>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1</w:t>
      </w:r>
      <w:r>
        <w:fldChar w:fldCharType="end"/>
      </w:r>
      <w:r>
        <w:rPr>
          <w:rFonts w:hint="eastAsia"/>
          <w:lang w:val="en-US" w:eastAsia="zh-CN"/>
        </w:rPr>
        <w:t>4</w:t>
      </w:r>
    </w:p>
    <w:p>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pPr>
        <w:sectPr>
          <w:pgSz w:w="16840" w:h="11900" w:orient="landscape"/>
          <w:pgMar w:top="1587" w:right="1134" w:bottom="1361" w:left="1134" w:header="720" w:footer="720" w:gutter="0"/>
          <w:pgNumType w:fmt="decimal"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216中国共产党隆尧县委员会政法委员会</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466.02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r>
              <w:t>434.05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466.02</w:t>
            </w:r>
          </w:p>
        </w:tc>
        <w:tc>
          <w:tcPr>
            <w:tcW w:w="4535" w:type="dxa"/>
            <w:vAlign w:val="center"/>
          </w:tcPr>
          <w:p>
            <w:pPr>
              <w:pStyle w:val="14"/>
            </w:pPr>
            <w:r>
              <w:t>本年支出合计</w:t>
            </w:r>
          </w:p>
        </w:tc>
        <w:tc>
          <w:tcPr>
            <w:tcW w:w="2126" w:type="dxa"/>
            <w:vAlign w:val="center"/>
          </w:tcPr>
          <w:p>
            <w:pPr>
              <w:pStyle w:val="15"/>
            </w:pPr>
            <w:r>
              <w:t>466.02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466.02</w:t>
            </w:r>
          </w:p>
        </w:tc>
        <w:tc>
          <w:tcPr>
            <w:tcW w:w="4535" w:type="dxa"/>
            <w:vAlign w:val="center"/>
          </w:tcPr>
          <w:p>
            <w:pPr>
              <w:pStyle w:val="14"/>
            </w:pPr>
            <w:r>
              <w:t>支出总计</w:t>
            </w:r>
          </w:p>
        </w:tc>
        <w:tc>
          <w:tcPr>
            <w:tcW w:w="2126" w:type="dxa"/>
            <w:vAlign w:val="center"/>
          </w:tcPr>
          <w:p>
            <w:pPr>
              <w:pStyle w:val="15"/>
            </w:pPr>
            <w:r>
              <w:t>466.02</w:t>
            </w:r>
          </w:p>
        </w:tc>
      </w:tr>
    </w:tbl>
    <w:p>
      <w:pPr>
        <w:sectPr>
          <w:footerReference r:id="rId3" w:type="default"/>
          <w:footerReference r:id="rId4" w:type="even"/>
          <w:pgSz w:w="16840" w:h="11900" w:orient="landscape"/>
          <w:pgMar w:top="1361" w:right="1020" w:bottom="1134" w:left="1020" w:header="720" w:footer="720" w:gutter="0"/>
          <w:pgNumType w:fmt="decimal"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216中国共产党隆尧县委员会政法委员会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466.02</w:t>
            </w:r>
          </w:p>
        </w:tc>
        <w:tc>
          <w:tcPr>
            <w:tcW w:w="1134" w:type="dxa"/>
            <w:vAlign w:val="center"/>
          </w:tcPr>
          <w:p>
            <w:pPr>
              <w:pStyle w:val="15"/>
            </w:pPr>
            <w:r>
              <w:t>466.02</w:t>
            </w:r>
          </w:p>
        </w:tc>
        <w:tc>
          <w:tcPr>
            <w:tcW w:w="1134" w:type="dxa"/>
            <w:vAlign w:val="center"/>
          </w:tcPr>
          <w:p>
            <w:pPr>
              <w:pStyle w:val="15"/>
            </w:pPr>
            <w:r>
              <w:t>466.02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204</w:t>
            </w:r>
          </w:p>
        </w:tc>
        <w:tc>
          <w:tcPr>
            <w:tcW w:w="1559" w:type="dxa"/>
            <w:vAlign w:val="center"/>
          </w:tcPr>
          <w:p>
            <w:pPr>
              <w:pStyle w:val="12"/>
            </w:pPr>
            <w:r>
              <w:t>公共安全支出</w:t>
            </w:r>
          </w:p>
        </w:tc>
        <w:tc>
          <w:tcPr>
            <w:tcW w:w="1134" w:type="dxa"/>
            <w:vAlign w:val="center"/>
          </w:tcPr>
          <w:p>
            <w:pPr>
              <w:pStyle w:val="11"/>
            </w:pPr>
            <w:r>
              <w:t>434.05</w:t>
            </w:r>
          </w:p>
        </w:tc>
        <w:tc>
          <w:tcPr>
            <w:tcW w:w="1134" w:type="dxa"/>
            <w:vAlign w:val="center"/>
          </w:tcPr>
          <w:p>
            <w:pPr>
              <w:pStyle w:val="11"/>
            </w:pPr>
            <w:r>
              <w:t>434.05</w:t>
            </w:r>
          </w:p>
        </w:tc>
        <w:tc>
          <w:tcPr>
            <w:tcW w:w="1134" w:type="dxa"/>
            <w:vAlign w:val="center"/>
          </w:tcPr>
          <w:p>
            <w:pPr>
              <w:pStyle w:val="11"/>
            </w:pPr>
            <w:r>
              <w:t>434.05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20402</w:t>
            </w:r>
          </w:p>
        </w:tc>
        <w:tc>
          <w:tcPr>
            <w:tcW w:w="1559" w:type="dxa"/>
            <w:vAlign w:val="center"/>
          </w:tcPr>
          <w:p>
            <w:pPr>
              <w:pStyle w:val="12"/>
            </w:pPr>
            <w:r>
              <w:t>公安</w:t>
            </w:r>
          </w:p>
        </w:tc>
        <w:tc>
          <w:tcPr>
            <w:tcW w:w="1134" w:type="dxa"/>
            <w:vAlign w:val="center"/>
          </w:tcPr>
          <w:p>
            <w:pPr>
              <w:pStyle w:val="11"/>
            </w:pPr>
            <w:r>
              <w:t>434.05</w:t>
            </w:r>
          </w:p>
        </w:tc>
        <w:tc>
          <w:tcPr>
            <w:tcW w:w="1134" w:type="dxa"/>
            <w:vAlign w:val="center"/>
          </w:tcPr>
          <w:p>
            <w:pPr>
              <w:pStyle w:val="11"/>
            </w:pPr>
            <w:r>
              <w:t>434.05</w:t>
            </w:r>
          </w:p>
        </w:tc>
        <w:tc>
          <w:tcPr>
            <w:tcW w:w="1134" w:type="dxa"/>
            <w:vAlign w:val="center"/>
          </w:tcPr>
          <w:p>
            <w:pPr>
              <w:pStyle w:val="11"/>
            </w:pPr>
            <w:r>
              <w:t>434.05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2040299</w:t>
            </w:r>
          </w:p>
        </w:tc>
        <w:tc>
          <w:tcPr>
            <w:tcW w:w="1559" w:type="dxa"/>
            <w:vAlign w:val="center"/>
          </w:tcPr>
          <w:p>
            <w:pPr>
              <w:pStyle w:val="12"/>
            </w:pPr>
            <w:r>
              <w:t>其他公安支出</w:t>
            </w:r>
          </w:p>
        </w:tc>
        <w:tc>
          <w:tcPr>
            <w:tcW w:w="1134" w:type="dxa"/>
            <w:vAlign w:val="center"/>
          </w:tcPr>
          <w:p>
            <w:pPr>
              <w:pStyle w:val="11"/>
            </w:pPr>
            <w:r>
              <w:t>434.05</w:t>
            </w:r>
          </w:p>
        </w:tc>
        <w:tc>
          <w:tcPr>
            <w:tcW w:w="1134" w:type="dxa"/>
            <w:vAlign w:val="center"/>
          </w:tcPr>
          <w:p>
            <w:pPr>
              <w:pStyle w:val="11"/>
            </w:pPr>
            <w:r>
              <w:t>434.05</w:t>
            </w:r>
          </w:p>
        </w:tc>
        <w:tc>
          <w:tcPr>
            <w:tcW w:w="1134" w:type="dxa"/>
            <w:vAlign w:val="center"/>
          </w:tcPr>
          <w:p>
            <w:pPr>
              <w:pStyle w:val="11"/>
            </w:pPr>
            <w:r>
              <w:t>434.05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14.15</w:t>
            </w:r>
          </w:p>
        </w:tc>
        <w:tc>
          <w:tcPr>
            <w:tcW w:w="1134" w:type="dxa"/>
            <w:vAlign w:val="center"/>
          </w:tcPr>
          <w:p>
            <w:pPr>
              <w:pStyle w:val="11"/>
            </w:pPr>
            <w:r>
              <w:t>14.15</w:t>
            </w:r>
          </w:p>
        </w:tc>
        <w:tc>
          <w:tcPr>
            <w:tcW w:w="1134" w:type="dxa"/>
            <w:vAlign w:val="center"/>
          </w:tcPr>
          <w:p>
            <w:pPr>
              <w:pStyle w:val="11"/>
            </w:pPr>
            <w:r>
              <w:t>14.15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14.15</w:t>
            </w:r>
          </w:p>
        </w:tc>
        <w:tc>
          <w:tcPr>
            <w:tcW w:w="1134" w:type="dxa"/>
            <w:vAlign w:val="center"/>
          </w:tcPr>
          <w:p>
            <w:pPr>
              <w:pStyle w:val="11"/>
            </w:pPr>
            <w:r>
              <w:t>14.15</w:t>
            </w:r>
          </w:p>
        </w:tc>
        <w:tc>
          <w:tcPr>
            <w:tcW w:w="1134" w:type="dxa"/>
            <w:vAlign w:val="center"/>
          </w:tcPr>
          <w:p>
            <w:pPr>
              <w:pStyle w:val="11"/>
            </w:pPr>
            <w:r>
              <w:t>14.15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14.15</w:t>
            </w:r>
          </w:p>
        </w:tc>
        <w:tc>
          <w:tcPr>
            <w:tcW w:w="1134" w:type="dxa"/>
            <w:vAlign w:val="center"/>
          </w:tcPr>
          <w:p>
            <w:pPr>
              <w:pStyle w:val="11"/>
            </w:pPr>
            <w:r>
              <w:t>14.15</w:t>
            </w:r>
          </w:p>
        </w:tc>
        <w:tc>
          <w:tcPr>
            <w:tcW w:w="1134" w:type="dxa"/>
            <w:vAlign w:val="center"/>
          </w:tcPr>
          <w:p>
            <w:pPr>
              <w:pStyle w:val="11"/>
            </w:pPr>
            <w:r>
              <w:t>14.15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6.41</w:t>
            </w:r>
          </w:p>
        </w:tc>
        <w:tc>
          <w:tcPr>
            <w:tcW w:w="1134" w:type="dxa"/>
            <w:vAlign w:val="center"/>
          </w:tcPr>
          <w:p>
            <w:pPr>
              <w:pStyle w:val="11"/>
            </w:pPr>
            <w:r>
              <w:t>6.41</w:t>
            </w:r>
          </w:p>
        </w:tc>
        <w:tc>
          <w:tcPr>
            <w:tcW w:w="1134" w:type="dxa"/>
            <w:vAlign w:val="center"/>
          </w:tcPr>
          <w:p>
            <w:pPr>
              <w:pStyle w:val="11"/>
            </w:pPr>
            <w:r>
              <w:t>6.41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6.41</w:t>
            </w:r>
          </w:p>
        </w:tc>
        <w:tc>
          <w:tcPr>
            <w:tcW w:w="1134" w:type="dxa"/>
            <w:vAlign w:val="center"/>
          </w:tcPr>
          <w:p>
            <w:pPr>
              <w:pStyle w:val="11"/>
            </w:pPr>
            <w:r>
              <w:t>6.41</w:t>
            </w:r>
          </w:p>
        </w:tc>
        <w:tc>
          <w:tcPr>
            <w:tcW w:w="1134" w:type="dxa"/>
            <w:vAlign w:val="center"/>
          </w:tcPr>
          <w:p>
            <w:pPr>
              <w:pStyle w:val="11"/>
            </w:pPr>
            <w:r>
              <w:t>6.41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6.41</w:t>
            </w:r>
          </w:p>
        </w:tc>
        <w:tc>
          <w:tcPr>
            <w:tcW w:w="1134" w:type="dxa"/>
            <w:vAlign w:val="center"/>
          </w:tcPr>
          <w:p>
            <w:pPr>
              <w:pStyle w:val="11"/>
            </w:pPr>
            <w:r>
              <w:t>6.41</w:t>
            </w:r>
          </w:p>
        </w:tc>
        <w:tc>
          <w:tcPr>
            <w:tcW w:w="1134" w:type="dxa"/>
            <w:vAlign w:val="center"/>
          </w:tcPr>
          <w:p>
            <w:pPr>
              <w:pStyle w:val="11"/>
            </w:pPr>
            <w:r>
              <w:t>6.41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11.41</w:t>
            </w:r>
          </w:p>
        </w:tc>
        <w:tc>
          <w:tcPr>
            <w:tcW w:w="1134" w:type="dxa"/>
            <w:vAlign w:val="center"/>
          </w:tcPr>
          <w:p>
            <w:pPr>
              <w:pStyle w:val="11"/>
            </w:pPr>
            <w:r>
              <w:t>11.41</w:t>
            </w:r>
          </w:p>
        </w:tc>
        <w:tc>
          <w:tcPr>
            <w:tcW w:w="1134" w:type="dxa"/>
            <w:vAlign w:val="center"/>
          </w:tcPr>
          <w:p>
            <w:pPr>
              <w:pStyle w:val="11"/>
            </w:pPr>
            <w:r>
              <w:t>11.41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11.41</w:t>
            </w:r>
          </w:p>
        </w:tc>
        <w:tc>
          <w:tcPr>
            <w:tcW w:w="1134" w:type="dxa"/>
            <w:vAlign w:val="center"/>
          </w:tcPr>
          <w:p>
            <w:pPr>
              <w:pStyle w:val="11"/>
            </w:pPr>
            <w:r>
              <w:t>11.41</w:t>
            </w:r>
          </w:p>
        </w:tc>
        <w:tc>
          <w:tcPr>
            <w:tcW w:w="1134" w:type="dxa"/>
            <w:vAlign w:val="center"/>
          </w:tcPr>
          <w:p>
            <w:pPr>
              <w:pStyle w:val="11"/>
            </w:pPr>
            <w:r>
              <w:t>11.41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11.41</w:t>
            </w:r>
          </w:p>
        </w:tc>
        <w:tc>
          <w:tcPr>
            <w:tcW w:w="1134" w:type="dxa"/>
            <w:vAlign w:val="center"/>
          </w:tcPr>
          <w:p>
            <w:pPr>
              <w:pStyle w:val="11"/>
            </w:pPr>
            <w:r>
              <w:t>11.41</w:t>
            </w:r>
          </w:p>
        </w:tc>
        <w:tc>
          <w:tcPr>
            <w:tcW w:w="1134" w:type="dxa"/>
            <w:vAlign w:val="center"/>
          </w:tcPr>
          <w:p>
            <w:pPr>
              <w:pStyle w:val="11"/>
            </w:pPr>
            <w:r>
              <w:t>11.41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216中国共产党隆尧县委员会政法委员会</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466.02</w:t>
            </w:r>
          </w:p>
        </w:tc>
        <w:tc>
          <w:tcPr>
            <w:tcW w:w="1361" w:type="dxa"/>
            <w:vAlign w:val="center"/>
          </w:tcPr>
          <w:p>
            <w:pPr>
              <w:pStyle w:val="15"/>
            </w:pPr>
            <w:r>
              <w:t>169.89</w:t>
            </w:r>
          </w:p>
        </w:tc>
        <w:tc>
          <w:tcPr>
            <w:tcW w:w="1361" w:type="dxa"/>
            <w:vAlign w:val="center"/>
          </w:tcPr>
          <w:p>
            <w:pPr>
              <w:pStyle w:val="15"/>
            </w:pPr>
            <w:r>
              <w:t>296.13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pPr>
            <w:r>
              <w:t>434.05</w:t>
            </w:r>
          </w:p>
        </w:tc>
        <w:tc>
          <w:tcPr>
            <w:tcW w:w="1361" w:type="dxa"/>
            <w:vAlign w:val="center"/>
          </w:tcPr>
          <w:p>
            <w:pPr>
              <w:pStyle w:val="11"/>
            </w:pPr>
            <w:r>
              <w:t>137.92</w:t>
            </w:r>
          </w:p>
        </w:tc>
        <w:tc>
          <w:tcPr>
            <w:tcW w:w="1361" w:type="dxa"/>
            <w:vAlign w:val="center"/>
          </w:tcPr>
          <w:p>
            <w:pPr>
              <w:pStyle w:val="11"/>
            </w:pPr>
            <w:r>
              <w:t>296.13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20402</w:t>
            </w:r>
          </w:p>
        </w:tc>
        <w:tc>
          <w:tcPr>
            <w:tcW w:w="4535" w:type="dxa"/>
            <w:vAlign w:val="center"/>
          </w:tcPr>
          <w:p>
            <w:pPr>
              <w:pStyle w:val="12"/>
            </w:pPr>
            <w:r>
              <w:t>公安</w:t>
            </w:r>
          </w:p>
        </w:tc>
        <w:tc>
          <w:tcPr>
            <w:tcW w:w="1361" w:type="dxa"/>
            <w:vAlign w:val="center"/>
          </w:tcPr>
          <w:p>
            <w:pPr>
              <w:pStyle w:val="11"/>
            </w:pPr>
            <w:r>
              <w:t>434.05</w:t>
            </w:r>
          </w:p>
        </w:tc>
        <w:tc>
          <w:tcPr>
            <w:tcW w:w="1361" w:type="dxa"/>
            <w:vAlign w:val="center"/>
          </w:tcPr>
          <w:p>
            <w:pPr>
              <w:pStyle w:val="11"/>
            </w:pPr>
            <w:r>
              <w:t>137.92</w:t>
            </w:r>
          </w:p>
        </w:tc>
        <w:tc>
          <w:tcPr>
            <w:tcW w:w="1361" w:type="dxa"/>
            <w:vAlign w:val="center"/>
          </w:tcPr>
          <w:p>
            <w:pPr>
              <w:pStyle w:val="11"/>
            </w:pPr>
            <w:r>
              <w:t>296.13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2040299</w:t>
            </w:r>
          </w:p>
        </w:tc>
        <w:tc>
          <w:tcPr>
            <w:tcW w:w="4535" w:type="dxa"/>
            <w:vAlign w:val="center"/>
          </w:tcPr>
          <w:p>
            <w:pPr>
              <w:pStyle w:val="12"/>
            </w:pPr>
            <w:r>
              <w:t>其他公安支出</w:t>
            </w:r>
          </w:p>
        </w:tc>
        <w:tc>
          <w:tcPr>
            <w:tcW w:w="1361" w:type="dxa"/>
            <w:vAlign w:val="center"/>
          </w:tcPr>
          <w:p>
            <w:pPr>
              <w:pStyle w:val="11"/>
            </w:pPr>
            <w:r>
              <w:t>434.05</w:t>
            </w:r>
          </w:p>
        </w:tc>
        <w:tc>
          <w:tcPr>
            <w:tcW w:w="1361" w:type="dxa"/>
            <w:vAlign w:val="center"/>
          </w:tcPr>
          <w:p>
            <w:pPr>
              <w:pStyle w:val="11"/>
            </w:pPr>
            <w:r>
              <w:t>137.92</w:t>
            </w:r>
          </w:p>
        </w:tc>
        <w:tc>
          <w:tcPr>
            <w:tcW w:w="1361" w:type="dxa"/>
            <w:vAlign w:val="center"/>
          </w:tcPr>
          <w:p>
            <w:pPr>
              <w:pStyle w:val="11"/>
            </w:pPr>
            <w:r>
              <w:t>296.13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14.15</w:t>
            </w:r>
          </w:p>
        </w:tc>
        <w:tc>
          <w:tcPr>
            <w:tcW w:w="1361" w:type="dxa"/>
            <w:vAlign w:val="center"/>
          </w:tcPr>
          <w:p>
            <w:pPr>
              <w:pStyle w:val="11"/>
            </w:pPr>
            <w:r>
              <w:t>14.15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14.15</w:t>
            </w:r>
          </w:p>
        </w:tc>
        <w:tc>
          <w:tcPr>
            <w:tcW w:w="1361" w:type="dxa"/>
            <w:vAlign w:val="center"/>
          </w:tcPr>
          <w:p>
            <w:pPr>
              <w:pStyle w:val="11"/>
            </w:pPr>
            <w:r>
              <w:t>14.15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14.15</w:t>
            </w:r>
          </w:p>
        </w:tc>
        <w:tc>
          <w:tcPr>
            <w:tcW w:w="1361" w:type="dxa"/>
            <w:vAlign w:val="center"/>
          </w:tcPr>
          <w:p>
            <w:pPr>
              <w:pStyle w:val="11"/>
            </w:pPr>
            <w:r>
              <w:t>14.15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6.41</w:t>
            </w:r>
          </w:p>
        </w:tc>
        <w:tc>
          <w:tcPr>
            <w:tcW w:w="1361" w:type="dxa"/>
            <w:vAlign w:val="center"/>
          </w:tcPr>
          <w:p>
            <w:pPr>
              <w:pStyle w:val="11"/>
            </w:pPr>
            <w:r>
              <w:t>6.41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6.41</w:t>
            </w:r>
          </w:p>
        </w:tc>
        <w:tc>
          <w:tcPr>
            <w:tcW w:w="1361" w:type="dxa"/>
            <w:vAlign w:val="center"/>
          </w:tcPr>
          <w:p>
            <w:pPr>
              <w:pStyle w:val="11"/>
            </w:pPr>
            <w:r>
              <w:t>6.41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6.41</w:t>
            </w:r>
          </w:p>
        </w:tc>
        <w:tc>
          <w:tcPr>
            <w:tcW w:w="1361" w:type="dxa"/>
            <w:vAlign w:val="center"/>
          </w:tcPr>
          <w:p>
            <w:pPr>
              <w:pStyle w:val="11"/>
            </w:pPr>
            <w:r>
              <w:t>6.41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11.41</w:t>
            </w:r>
          </w:p>
        </w:tc>
        <w:tc>
          <w:tcPr>
            <w:tcW w:w="1361" w:type="dxa"/>
            <w:vAlign w:val="center"/>
          </w:tcPr>
          <w:p>
            <w:pPr>
              <w:pStyle w:val="11"/>
            </w:pPr>
            <w:r>
              <w:t>11.41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11.41</w:t>
            </w:r>
          </w:p>
        </w:tc>
        <w:tc>
          <w:tcPr>
            <w:tcW w:w="1361" w:type="dxa"/>
            <w:vAlign w:val="center"/>
          </w:tcPr>
          <w:p>
            <w:pPr>
              <w:pStyle w:val="11"/>
            </w:pPr>
            <w:r>
              <w:t>11.41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11.41</w:t>
            </w:r>
          </w:p>
        </w:tc>
        <w:tc>
          <w:tcPr>
            <w:tcW w:w="1361" w:type="dxa"/>
            <w:vAlign w:val="center"/>
          </w:tcPr>
          <w:p>
            <w:pPr>
              <w:pStyle w:val="11"/>
            </w:pPr>
            <w:r>
              <w:t>11.41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216中国共产党隆尧县委员会政法委员会</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466.02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r>
              <w:t>434.05</w:t>
            </w:r>
          </w:p>
        </w:tc>
        <w:tc>
          <w:tcPr>
            <w:tcW w:w="1474" w:type="dxa"/>
            <w:vAlign w:val="center"/>
          </w:tcPr>
          <w:p>
            <w:pPr>
              <w:pStyle w:val="11"/>
            </w:pPr>
            <w:r>
              <w:t>434.05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14.15</w:t>
            </w:r>
          </w:p>
        </w:tc>
        <w:tc>
          <w:tcPr>
            <w:tcW w:w="1474" w:type="dxa"/>
            <w:vAlign w:val="center"/>
          </w:tcPr>
          <w:p>
            <w:pPr>
              <w:pStyle w:val="11"/>
            </w:pPr>
            <w:r>
              <w:t>14.15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6.41</w:t>
            </w:r>
          </w:p>
        </w:tc>
        <w:tc>
          <w:tcPr>
            <w:tcW w:w="1474" w:type="dxa"/>
            <w:vAlign w:val="center"/>
          </w:tcPr>
          <w:p>
            <w:pPr>
              <w:pStyle w:val="11"/>
            </w:pPr>
            <w:r>
              <w:t>6.41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11.41</w:t>
            </w:r>
          </w:p>
        </w:tc>
        <w:tc>
          <w:tcPr>
            <w:tcW w:w="1474" w:type="dxa"/>
            <w:vAlign w:val="center"/>
          </w:tcPr>
          <w:p>
            <w:pPr>
              <w:pStyle w:val="11"/>
            </w:pPr>
            <w:r>
              <w:t>11.41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466.02</w:t>
            </w:r>
          </w:p>
        </w:tc>
        <w:tc>
          <w:tcPr>
            <w:tcW w:w="3402" w:type="dxa"/>
            <w:vAlign w:val="center"/>
          </w:tcPr>
          <w:p>
            <w:pPr>
              <w:pStyle w:val="14"/>
            </w:pPr>
            <w:r>
              <w:t>本年支出合计</w:t>
            </w:r>
          </w:p>
        </w:tc>
        <w:tc>
          <w:tcPr>
            <w:tcW w:w="1474" w:type="dxa"/>
            <w:vAlign w:val="center"/>
          </w:tcPr>
          <w:p>
            <w:pPr>
              <w:pStyle w:val="15"/>
            </w:pPr>
            <w:r>
              <w:t>466.02</w:t>
            </w:r>
          </w:p>
        </w:tc>
        <w:tc>
          <w:tcPr>
            <w:tcW w:w="1474" w:type="dxa"/>
            <w:vAlign w:val="center"/>
          </w:tcPr>
          <w:p>
            <w:pPr>
              <w:pStyle w:val="15"/>
            </w:pPr>
            <w:r>
              <w:t>466.02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466.02</w:t>
            </w:r>
          </w:p>
        </w:tc>
        <w:tc>
          <w:tcPr>
            <w:tcW w:w="3402" w:type="dxa"/>
            <w:vAlign w:val="center"/>
          </w:tcPr>
          <w:p>
            <w:pPr>
              <w:pStyle w:val="14"/>
            </w:pPr>
            <w:r>
              <w:t>支出总计</w:t>
            </w:r>
          </w:p>
        </w:tc>
        <w:tc>
          <w:tcPr>
            <w:tcW w:w="1474" w:type="dxa"/>
            <w:vAlign w:val="center"/>
          </w:tcPr>
          <w:p>
            <w:pPr>
              <w:pStyle w:val="15"/>
            </w:pPr>
            <w:r>
              <w:t>466.02</w:t>
            </w:r>
          </w:p>
        </w:tc>
        <w:tc>
          <w:tcPr>
            <w:tcW w:w="1474" w:type="dxa"/>
            <w:vAlign w:val="center"/>
          </w:tcPr>
          <w:p>
            <w:pPr>
              <w:pStyle w:val="15"/>
            </w:pPr>
            <w:r>
              <w:t>466.02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466.02</w:t>
            </w:r>
          </w:p>
        </w:tc>
        <w:tc>
          <w:tcPr>
            <w:tcW w:w="2551" w:type="dxa"/>
            <w:vAlign w:val="center"/>
          </w:tcPr>
          <w:p>
            <w:pPr>
              <w:pStyle w:val="15"/>
            </w:pPr>
            <w:r>
              <w:t>169.89</w:t>
            </w:r>
          </w:p>
        </w:tc>
        <w:tc>
          <w:tcPr>
            <w:tcW w:w="2551" w:type="dxa"/>
            <w:vAlign w:val="center"/>
          </w:tcPr>
          <w:p>
            <w:pPr>
              <w:pStyle w:val="15"/>
            </w:pPr>
            <w:r>
              <w:t>296.13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pPr>
            <w:r>
              <w:t>434.05</w:t>
            </w:r>
          </w:p>
        </w:tc>
        <w:tc>
          <w:tcPr>
            <w:tcW w:w="2551" w:type="dxa"/>
            <w:vAlign w:val="center"/>
          </w:tcPr>
          <w:p>
            <w:pPr>
              <w:pStyle w:val="11"/>
            </w:pPr>
            <w:r>
              <w:t>137.92</w:t>
            </w:r>
          </w:p>
        </w:tc>
        <w:tc>
          <w:tcPr>
            <w:tcW w:w="2551" w:type="dxa"/>
            <w:vAlign w:val="center"/>
          </w:tcPr>
          <w:p>
            <w:pPr>
              <w:pStyle w:val="11"/>
            </w:pPr>
            <w:r>
              <w:t>296.13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20402</w:t>
            </w:r>
          </w:p>
        </w:tc>
        <w:tc>
          <w:tcPr>
            <w:tcW w:w="4535" w:type="dxa"/>
            <w:vAlign w:val="center"/>
          </w:tcPr>
          <w:p>
            <w:pPr>
              <w:pStyle w:val="12"/>
            </w:pPr>
            <w:r>
              <w:t>公安</w:t>
            </w:r>
          </w:p>
        </w:tc>
        <w:tc>
          <w:tcPr>
            <w:tcW w:w="2551" w:type="dxa"/>
            <w:vAlign w:val="center"/>
          </w:tcPr>
          <w:p>
            <w:pPr>
              <w:pStyle w:val="11"/>
            </w:pPr>
            <w:r>
              <w:t>434.05</w:t>
            </w:r>
          </w:p>
        </w:tc>
        <w:tc>
          <w:tcPr>
            <w:tcW w:w="2551" w:type="dxa"/>
            <w:vAlign w:val="center"/>
          </w:tcPr>
          <w:p>
            <w:pPr>
              <w:pStyle w:val="11"/>
            </w:pPr>
            <w:r>
              <w:t>137.92</w:t>
            </w:r>
          </w:p>
        </w:tc>
        <w:tc>
          <w:tcPr>
            <w:tcW w:w="2551" w:type="dxa"/>
            <w:vAlign w:val="center"/>
          </w:tcPr>
          <w:p>
            <w:pPr>
              <w:pStyle w:val="11"/>
            </w:pPr>
            <w:r>
              <w:t>296.13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2040299</w:t>
            </w:r>
          </w:p>
        </w:tc>
        <w:tc>
          <w:tcPr>
            <w:tcW w:w="4535" w:type="dxa"/>
            <w:vAlign w:val="center"/>
          </w:tcPr>
          <w:p>
            <w:pPr>
              <w:pStyle w:val="12"/>
            </w:pPr>
            <w:r>
              <w:t>其他公安支出</w:t>
            </w:r>
          </w:p>
        </w:tc>
        <w:tc>
          <w:tcPr>
            <w:tcW w:w="2551" w:type="dxa"/>
            <w:vAlign w:val="center"/>
          </w:tcPr>
          <w:p>
            <w:pPr>
              <w:pStyle w:val="11"/>
            </w:pPr>
            <w:r>
              <w:t>434.05</w:t>
            </w:r>
          </w:p>
        </w:tc>
        <w:tc>
          <w:tcPr>
            <w:tcW w:w="2551" w:type="dxa"/>
            <w:vAlign w:val="center"/>
          </w:tcPr>
          <w:p>
            <w:pPr>
              <w:pStyle w:val="11"/>
            </w:pPr>
            <w:r>
              <w:t>137.92</w:t>
            </w:r>
          </w:p>
        </w:tc>
        <w:tc>
          <w:tcPr>
            <w:tcW w:w="2551" w:type="dxa"/>
            <w:vAlign w:val="center"/>
          </w:tcPr>
          <w:p>
            <w:pPr>
              <w:pStyle w:val="11"/>
            </w:pPr>
            <w:r>
              <w:t>296.13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14.15</w:t>
            </w:r>
          </w:p>
        </w:tc>
        <w:tc>
          <w:tcPr>
            <w:tcW w:w="2551" w:type="dxa"/>
            <w:vAlign w:val="center"/>
          </w:tcPr>
          <w:p>
            <w:pPr>
              <w:pStyle w:val="11"/>
            </w:pPr>
            <w:r>
              <w:t>14.15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14.15</w:t>
            </w:r>
          </w:p>
        </w:tc>
        <w:tc>
          <w:tcPr>
            <w:tcW w:w="2551" w:type="dxa"/>
            <w:vAlign w:val="center"/>
          </w:tcPr>
          <w:p>
            <w:pPr>
              <w:pStyle w:val="11"/>
            </w:pPr>
            <w:r>
              <w:t>14.15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14.15</w:t>
            </w:r>
          </w:p>
        </w:tc>
        <w:tc>
          <w:tcPr>
            <w:tcW w:w="2551" w:type="dxa"/>
            <w:vAlign w:val="center"/>
          </w:tcPr>
          <w:p>
            <w:pPr>
              <w:pStyle w:val="11"/>
            </w:pPr>
            <w:r>
              <w:t>14.15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6.41</w:t>
            </w:r>
          </w:p>
        </w:tc>
        <w:tc>
          <w:tcPr>
            <w:tcW w:w="2551" w:type="dxa"/>
            <w:vAlign w:val="center"/>
          </w:tcPr>
          <w:p>
            <w:pPr>
              <w:pStyle w:val="11"/>
            </w:pPr>
            <w:r>
              <w:t>6.41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6.41</w:t>
            </w:r>
          </w:p>
        </w:tc>
        <w:tc>
          <w:tcPr>
            <w:tcW w:w="2551" w:type="dxa"/>
            <w:vAlign w:val="center"/>
          </w:tcPr>
          <w:p>
            <w:pPr>
              <w:pStyle w:val="11"/>
            </w:pPr>
            <w:r>
              <w:t>6.41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6.41</w:t>
            </w:r>
          </w:p>
        </w:tc>
        <w:tc>
          <w:tcPr>
            <w:tcW w:w="2551" w:type="dxa"/>
            <w:vAlign w:val="center"/>
          </w:tcPr>
          <w:p>
            <w:pPr>
              <w:pStyle w:val="11"/>
            </w:pPr>
            <w:r>
              <w:t>6.41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11.41</w:t>
            </w:r>
          </w:p>
        </w:tc>
        <w:tc>
          <w:tcPr>
            <w:tcW w:w="2551" w:type="dxa"/>
            <w:vAlign w:val="center"/>
          </w:tcPr>
          <w:p>
            <w:pPr>
              <w:pStyle w:val="11"/>
            </w:pPr>
            <w:r>
              <w:t>11.41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11.41</w:t>
            </w:r>
          </w:p>
        </w:tc>
        <w:tc>
          <w:tcPr>
            <w:tcW w:w="2551" w:type="dxa"/>
            <w:vAlign w:val="center"/>
          </w:tcPr>
          <w:p>
            <w:pPr>
              <w:pStyle w:val="11"/>
            </w:pPr>
            <w:r>
              <w:t>11.41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11.41</w:t>
            </w:r>
          </w:p>
        </w:tc>
        <w:tc>
          <w:tcPr>
            <w:tcW w:w="2551" w:type="dxa"/>
            <w:vAlign w:val="center"/>
          </w:tcPr>
          <w:p>
            <w:pPr>
              <w:pStyle w:val="11"/>
            </w:pPr>
            <w:r>
              <w:t>11.41</w:t>
            </w:r>
          </w:p>
        </w:tc>
        <w:tc>
          <w:tcPr>
            <w:tcW w:w="255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169.89</w:t>
            </w:r>
          </w:p>
        </w:tc>
        <w:tc>
          <w:tcPr>
            <w:tcW w:w="2551" w:type="dxa"/>
            <w:vAlign w:val="center"/>
          </w:tcPr>
          <w:p>
            <w:pPr>
              <w:pStyle w:val="15"/>
            </w:pPr>
            <w:r>
              <w:t>155.61</w:t>
            </w:r>
          </w:p>
        </w:tc>
        <w:tc>
          <w:tcPr>
            <w:tcW w:w="2551" w:type="dxa"/>
            <w:vAlign w:val="center"/>
          </w:tcPr>
          <w:p>
            <w:pPr>
              <w:pStyle w:val="15"/>
            </w:pPr>
            <w:r>
              <w:t>14.28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148.29</w:t>
            </w:r>
          </w:p>
        </w:tc>
        <w:tc>
          <w:tcPr>
            <w:tcW w:w="2551" w:type="dxa"/>
            <w:vAlign w:val="center"/>
          </w:tcPr>
          <w:p>
            <w:pPr>
              <w:pStyle w:val="11"/>
            </w:pPr>
            <w:r>
              <w:t>148.29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56.58</w:t>
            </w:r>
          </w:p>
        </w:tc>
        <w:tc>
          <w:tcPr>
            <w:tcW w:w="2551" w:type="dxa"/>
            <w:vAlign w:val="center"/>
          </w:tcPr>
          <w:p>
            <w:pPr>
              <w:pStyle w:val="11"/>
            </w:pPr>
            <w:r>
              <w:t>56.58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37.11</w:t>
            </w:r>
          </w:p>
        </w:tc>
        <w:tc>
          <w:tcPr>
            <w:tcW w:w="2551" w:type="dxa"/>
            <w:vAlign w:val="center"/>
          </w:tcPr>
          <w:p>
            <w:pPr>
              <w:pStyle w:val="11"/>
            </w:pPr>
            <w:r>
              <w:t>37.11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22.23</w:t>
            </w:r>
          </w:p>
        </w:tc>
        <w:tc>
          <w:tcPr>
            <w:tcW w:w="2551" w:type="dxa"/>
            <w:vAlign w:val="center"/>
          </w:tcPr>
          <w:p>
            <w:pPr>
              <w:pStyle w:val="11"/>
            </w:pPr>
            <w:r>
              <w:t>22.23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14.15</w:t>
            </w:r>
          </w:p>
        </w:tc>
        <w:tc>
          <w:tcPr>
            <w:tcW w:w="2551" w:type="dxa"/>
            <w:vAlign w:val="center"/>
          </w:tcPr>
          <w:p>
            <w:pPr>
              <w:pStyle w:val="11"/>
            </w:pPr>
            <w:r>
              <w:t>14.15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6.41</w:t>
            </w:r>
          </w:p>
        </w:tc>
        <w:tc>
          <w:tcPr>
            <w:tcW w:w="2551" w:type="dxa"/>
            <w:vAlign w:val="center"/>
          </w:tcPr>
          <w:p>
            <w:pPr>
              <w:pStyle w:val="11"/>
            </w:pPr>
            <w:r>
              <w:t>6.41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0.39</w:t>
            </w:r>
          </w:p>
        </w:tc>
        <w:tc>
          <w:tcPr>
            <w:tcW w:w="2551" w:type="dxa"/>
            <w:vAlign w:val="center"/>
          </w:tcPr>
          <w:p>
            <w:pPr>
              <w:pStyle w:val="11"/>
            </w:pPr>
            <w:r>
              <w:t>0.39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11.41</w:t>
            </w:r>
          </w:p>
        </w:tc>
        <w:tc>
          <w:tcPr>
            <w:tcW w:w="2551" w:type="dxa"/>
            <w:vAlign w:val="center"/>
          </w:tcPr>
          <w:p>
            <w:pPr>
              <w:pStyle w:val="11"/>
            </w:pPr>
            <w:r>
              <w:t>11.41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14.28</w:t>
            </w:r>
          </w:p>
        </w:tc>
        <w:tc>
          <w:tcPr>
            <w:tcW w:w="2551" w:type="dxa"/>
            <w:vAlign w:val="center"/>
          </w:tcPr>
          <w:p>
            <w:pPr>
              <w:pStyle w:val="11"/>
            </w:pPr>
          </w:p>
        </w:tc>
        <w:tc>
          <w:tcPr>
            <w:tcW w:w="2551" w:type="dxa"/>
            <w:vAlign w:val="center"/>
          </w:tcPr>
          <w:p>
            <w:pPr>
              <w:pStyle w:val="11"/>
            </w:pPr>
            <w:r>
              <w:t>14.28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0.11</w:t>
            </w:r>
          </w:p>
        </w:tc>
        <w:tc>
          <w:tcPr>
            <w:tcW w:w="2551" w:type="dxa"/>
            <w:vAlign w:val="center"/>
          </w:tcPr>
          <w:p>
            <w:pPr>
              <w:pStyle w:val="11"/>
            </w:pPr>
          </w:p>
        </w:tc>
        <w:tc>
          <w:tcPr>
            <w:tcW w:w="2551" w:type="dxa"/>
            <w:vAlign w:val="center"/>
          </w:tcPr>
          <w:p>
            <w:pPr>
              <w:pStyle w:val="11"/>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0.11</w:t>
            </w:r>
          </w:p>
        </w:tc>
        <w:tc>
          <w:tcPr>
            <w:tcW w:w="2551" w:type="dxa"/>
            <w:vAlign w:val="center"/>
          </w:tcPr>
          <w:p>
            <w:pPr>
              <w:pStyle w:val="11"/>
            </w:pPr>
          </w:p>
        </w:tc>
        <w:tc>
          <w:tcPr>
            <w:tcW w:w="2551" w:type="dxa"/>
            <w:vAlign w:val="center"/>
          </w:tcPr>
          <w:p>
            <w:pPr>
              <w:pStyle w:val="11"/>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1.20</w:t>
            </w:r>
          </w:p>
        </w:tc>
        <w:tc>
          <w:tcPr>
            <w:tcW w:w="2551" w:type="dxa"/>
            <w:vAlign w:val="center"/>
          </w:tcPr>
          <w:p>
            <w:pPr>
              <w:pStyle w:val="11"/>
            </w:pPr>
          </w:p>
        </w:tc>
        <w:tc>
          <w:tcPr>
            <w:tcW w:w="2551" w:type="dxa"/>
            <w:vAlign w:val="center"/>
          </w:tcPr>
          <w:p>
            <w:pPr>
              <w:pStyle w:val="11"/>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0.36</w:t>
            </w:r>
          </w:p>
        </w:tc>
        <w:tc>
          <w:tcPr>
            <w:tcW w:w="2551" w:type="dxa"/>
            <w:vAlign w:val="center"/>
          </w:tcPr>
          <w:p>
            <w:pPr>
              <w:pStyle w:val="11"/>
            </w:pPr>
          </w:p>
        </w:tc>
        <w:tc>
          <w:tcPr>
            <w:tcW w:w="2551" w:type="dxa"/>
            <w:vAlign w:val="center"/>
          </w:tcPr>
          <w:p>
            <w:pPr>
              <w:pStyle w:val="11"/>
            </w:pPr>
            <w:r>
              <w:t>0.36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0.66</w:t>
            </w:r>
          </w:p>
        </w:tc>
        <w:tc>
          <w:tcPr>
            <w:tcW w:w="2551" w:type="dxa"/>
            <w:vAlign w:val="center"/>
          </w:tcPr>
          <w:p>
            <w:pPr>
              <w:pStyle w:val="11"/>
            </w:pPr>
          </w:p>
        </w:tc>
        <w:tc>
          <w:tcPr>
            <w:tcW w:w="2551" w:type="dxa"/>
            <w:vAlign w:val="center"/>
          </w:tcPr>
          <w:p>
            <w:pPr>
              <w:pStyle w:val="11"/>
            </w:pPr>
            <w:r>
              <w:t>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0.52</w:t>
            </w:r>
          </w:p>
        </w:tc>
        <w:tc>
          <w:tcPr>
            <w:tcW w:w="2551" w:type="dxa"/>
            <w:vAlign w:val="center"/>
          </w:tcPr>
          <w:p>
            <w:pPr>
              <w:pStyle w:val="11"/>
            </w:pPr>
          </w:p>
        </w:tc>
        <w:tc>
          <w:tcPr>
            <w:tcW w:w="2551" w:type="dxa"/>
            <w:vAlign w:val="center"/>
          </w:tcPr>
          <w:p>
            <w:pPr>
              <w:pStyle w:val="11"/>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0.80</w:t>
            </w:r>
          </w:p>
        </w:tc>
        <w:tc>
          <w:tcPr>
            <w:tcW w:w="2551" w:type="dxa"/>
            <w:vAlign w:val="center"/>
          </w:tcPr>
          <w:p>
            <w:pPr>
              <w:pStyle w:val="11"/>
            </w:pPr>
          </w:p>
        </w:tc>
        <w:tc>
          <w:tcPr>
            <w:tcW w:w="2551" w:type="dxa"/>
            <w:vAlign w:val="center"/>
          </w:tcPr>
          <w:p>
            <w:pPr>
              <w:pStyle w:val="11"/>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8.28</w:t>
            </w:r>
          </w:p>
        </w:tc>
        <w:tc>
          <w:tcPr>
            <w:tcW w:w="2551" w:type="dxa"/>
            <w:vAlign w:val="center"/>
          </w:tcPr>
          <w:p>
            <w:pPr>
              <w:pStyle w:val="11"/>
            </w:pPr>
          </w:p>
        </w:tc>
        <w:tc>
          <w:tcPr>
            <w:tcW w:w="2551" w:type="dxa"/>
            <w:vAlign w:val="center"/>
          </w:tcPr>
          <w:p>
            <w:pPr>
              <w:pStyle w:val="11"/>
            </w:pPr>
            <w:r>
              <w:t>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0.24</w:t>
            </w:r>
          </w:p>
        </w:tc>
        <w:tc>
          <w:tcPr>
            <w:tcW w:w="2551" w:type="dxa"/>
            <w:vAlign w:val="center"/>
          </w:tcPr>
          <w:p>
            <w:pPr>
              <w:pStyle w:val="11"/>
            </w:pPr>
          </w:p>
        </w:tc>
        <w:tc>
          <w:tcPr>
            <w:tcW w:w="2551" w:type="dxa"/>
            <w:vAlign w:val="center"/>
          </w:tcPr>
          <w:p>
            <w:pPr>
              <w:pStyle w:val="11"/>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7.32</w:t>
            </w:r>
          </w:p>
        </w:tc>
        <w:tc>
          <w:tcPr>
            <w:tcW w:w="2551" w:type="dxa"/>
            <w:vAlign w:val="center"/>
          </w:tcPr>
          <w:p>
            <w:pPr>
              <w:pStyle w:val="11"/>
            </w:pPr>
            <w:r>
              <w:t>7.32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7.32</w:t>
            </w:r>
          </w:p>
        </w:tc>
        <w:tc>
          <w:tcPr>
            <w:tcW w:w="2551" w:type="dxa"/>
            <w:vAlign w:val="center"/>
          </w:tcPr>
          <w:p>
            <w:pPr>
              <w:pStyle w:val="11"/>
            </w:pPr>
            <w:r>
              <w:t>7.32</w:t>
            </w:r>
          </w:p>
        </w:tc>
        <w:tc>
          <w:tcPr>
            <w:tcW w:w="2551" w:type="dxa"/>
            <w:vAlign w:val="center"/>
          </w:tcPr>
          <w:p>
            <w:pPr>
              <w:pStyle w:val="11"/>
            </w:pPr>
          </w:p>
        </w:tc>
      </w:tr>
    </w:tbl>
    <w:p>
      <w:pPr>
        <w:sectPr>
          <w:pgSz w:w="16840" w:h="11900" w:orient="landscape"/>
          <w:pgMar w:top="1361" w:right="1020" w:bottom="1134" w:left="1020" w:header="720" w:footer="720" w:gutter="0"/>
          <w:pgNumType w:fmt="decimal"/>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216中国共产党隆尧县委员会政法委员会</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2.00</w:t>
            </w:r>
          </w:p>
        </w:tc>
        <w:tc>
          <w:tcPr>
            <w:tcW w:w="2381" w:type="dxa"/>
            <w:vAlign w:val="center"/>
          </w:tcPr>
          <w:p>
            <w:pPr>
              <w:pStyle w:val="15"/>
            </w:pPr>
            <w:r>
              <w:t>2.00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bl>
    <w:p>
      <w:pPr>
        <w:jc w:val="center"/>
        <w:outlineLvl w:val="0"/>
        <w:rPr>
          <w:rFonts w:ascii="方正书宋_GBK" w:hAnsi="方正书宋_GBK" w:eastAsia="方正书宋_GBK" w:cs="方正书宋_GBK"/>
          <w:color w:val="FFFFFF"/>
          <w:sz w:val="21"/>
        </w:rPr>
        <w:sectPr>
          <w:pgSz w:w="16840" w:h="11900" w:orient="landscape"/>
          <w:pgMar w:top="1361" w:right="1020" w:bottom="1361" w:left="1020" w:header="720" w:footer="720" w:gutter="0"/>
          <w:pgNumType w:fmt="decimal"/>
          <w:cols w:space="720" w:num="1"/>
        </w:sectPr>
      </w:pPr>
    </w:p>
    <w:p>
      <w:pPr>
        <w:jc w:val="center"/>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中国共产党隆尧县委员会政法委员会</w:t>
      </w:r>
    </w:p>
    <w:p>
      <w:pPr>
        <w:jc w:val="center"/>
      </w:pPr>
      <w:r>
        <w:rPr>
          <w:rFonts w:ascii="方正小标宋_GBK" w:hAnsi="方正小标宋_GBK" w:eastAsia="方正小标宋_GBK" w:cs="方正小标宋_GBK"/>
          <w:color w:val="000000"/>
          <w:sz w:val="44"/>
        </w:rPr>
        <w:t>2024年部门预算信息公开情况说明</w:t>
      </w:r>
    </w:p>
    <w:p>
      <w:pPr>
        <w:spacing w:line="500" w:lineRule="exact"/>
        <w:ind w:firstLine="560"/>
        <w:rPr>
          <w:rFonts w:ascii="仿宋" w:hAnsi="仿宋" w:eastAsia="仿宋"/>
          <w:color w:val="000000"/>
          <w:sz w:val="32"/>
          <w:szCs w:val="32"/>
        </w:rPr>
      </w:pPr>
    </w:p>
    <w:p>
      <w:pPr>
        <w:keepNext w:val="0"/>
        <w:keepLines w:val="0"/>
        <w:pageBreakBefore w:val="0"/>
        <w:kinsoku/>
        <w:wordWrap/>
        <w:overflowPunct/>
        <w:topLinePunct w:val="0"/>
        <w:bidi w:val="0"/>
        <w:snapToGrid w:val="0"/>
        <w:spacing w:line="600" w:lineRule="atLeast"/>
        <w:ind w:firstLine="560"/>
        <w:jc w:val="both"/>
        <w:textAlignment w:val="auto"/>
        <w:rPr>
          <w:rFonts w:ascii="仿宋" w:hAnsi="仿宋" w:eastAsia="仿宋"/>
          <w:color w:val="000000"/>
          <w:sz w:val="32"/>
          <w:szCs w:val="32"/>
        </w:rPr>
      </w:pPr>
      <w:r>
        <w:rPr>
          <w:rFonts w:ascii="仿宋" w:hAnsi="仿宋" w:eastAsia="仿宋"/>
          <w:color w:val="000000"/>
          <w:sz w:val="32"/>
          <w:szCs w:val="32"/>
        </w:rPr>
        <w:t>按照《中华人民共和国预算法》《地方预决算公开操作规程》和《关于进一步推进预算公开工作的实施意见》规定，现将中国共产党隆尧县委员会政法委员会2024年部门预算公开如下：</w:t>
      </w:r>
      <w:bookmarkStart w:id="9" w:name="_Toc_3_3_0000000010"/>
    </w:p>
    <w:p>
      <w:pPr>
        <w:keepNext w:val="0"/>
        <w:keepLines w:val="0"/>
        <w:pageBreakBefore w:val="0"/>
        <w:kinsoku/>
        <w:wordWrap/>
        <w:overflowPunct/>
        <w:topLinePunct w:val="0"/>
        <w:bidi w:val="0"/>
        <w:snapToGrid w:val="0"/>
        <w:spacing w:line="600" w:lineRule="atLeast"/>
        <w:ind w:firstLine="640" w:firstLineChars="200"/>
        <w:textAlignment w:val="auto"/>
        <w:rPr>
          <w:rFonts w:ascii="仿宋" w:hAnsi="仿宋" w:eastAsia="仿宋"/>
          <w:sz w:val="32"/>
          <w:szCs w:val="32"/>
        </w:rPr>
      </w:pPr>
      <w:r>
        <w:rPr>
          <w:rFonts w:hint="eastAsia" w:ascii="黑体" w:hAnsi="黑体" w:eastAsia="黑体"/>
          <w:sz w:val="32"/>
          <w:szCs w:val="32"/>
        </w:rPr>
        <w:t>一、部门职责及机构设置情况</w:t>
      </w:r>
    </w:p>
    <w:p>
      <w:pPr>
        <w:keepNext w:val="0"/>
        <w:keepLines w:val="0"/>
        <w:pageBreakBefore w:val="0"/>
        <w:kinsoku/>
        <w:wordWrap/>
        <w:overflowPunct/>
        <w:topLinePunct w:val="0"/>
        <w:autoSpaceDE w:val="0"/>
        <w:autoSpaceDN w:val="0"/>
        <w:bidi w:val="0"/>
        <w:adjustRightInd w:val="0"/>
        <w:snapToGrid w:val="0"/>
        <w:spacing w:line="600" w:lineRule="atLeast"/>
        <w:ind w:firstLine="643" w:firstLineChars="200"/>
        <w:textAlignment w:val="auto"/>
        <w:rPr>
          <w:rFonts w:ascii="仿宋" w:hAnsi="仿宋" w:eastAsia="仿宋" w:cs="宋体"/>
          <w:sz w:val="32"/>
          <w:szCs w:val="32"/>
        </w:rPr>
      </w:pPr>
      <w:r>
        <w:rPr>
          <w:rFonts w:hint="eastAsia" w:ascii="仿宋" w:hAnsi="仿宋" w:eastAsia="仿宋"/>
          <w:b/>
          <w:sz w:val="32"/>
          <w:szCs w:val="32"/>
        </w:rPr>
        <w:t>部门职责：</w:t>
      </w:r>
      <w:r>
        <w:rPr>
          <w:rFonts w:hint="eastAsia" w:ascii="仿宋" w:hAnsi="仿宋" w:eastAsia="仿宋" w:cs="仿宋_GB2312"/>
          <w:sz w:val="32"/>
          <w:szCs w:val="32"/>
          <w:lang w:val="zh-CN"/>
        </w:rPr>
        <w:t>县委政法委是县委主管政法方面工作的综合职能部门</w:t>
      </w:r>
      <w:r>
        <w:rPr>
          <w:rFonts w:ascii="仿宋" w:hAnsi="仿宋" w:eastAsia="仿宋" w:cs="仿宋_GB2312"/>
          <w:sz w:val="32"/>
          <w:szCs w:val="32"/>
          <w:lang w:val="zh-CN"/>
        </w:rPr>
        <w:t>;</w:t>
      </w:r>
      <w:r>
        <w:rPr>
          <w:rFonts w:hint="eastAsia" w:ascii="仿宋" w:hAnsi="仿宋" w:eastAsia="仿宋" w:cs="仿宋_GB2312"/>
          <w:sz w:val="32"/>
          <w:szCs w:val="32"/>
          <w:lang w:val="zh-CN"/>
        </w:rPr>
        <w:t>主要职责是</w:t>
      </w:r>
      <w:r>
        <w:rPr>
          <w:rFonts w:ascii="仿宋" w:hAnsi="仿宋" w:eastAsia="仿宋" w:cs="仿宋_GB2312"/>
          <w:sz w:val="32"/>
          <w:szCs w:val="32"/>
          <w:lang w:val="zh-CN"/>
        </w:rPr>
        <w:t>:</w:t>
      </w:r>
      <w:r>
        <w:rPr>
          <w:rFonts w:hint="eastAsia" w:ascii="仿宋" w:hAnsi="仿宋" w:eastAsia="仿宋" w:cs="宋体"/>
          <w:sz w:val="32"/>
          <w:szCs w:val="32"/>
        </w:rPr>
        <w:t>贯彻落实中央和省、市委有关政法工作、政法干部队伍建设和社会治安综合治理工作的方针、政策、指示，根据上级政法委员会、社会治安综合治理委员会和县委、县政府的部署，指导政法各部门和综合治理成员单位的工作。围绕县委、县政府改革和发展的中心工作，对一定时期内的政法工作和社会治安综合治理工作作出部署，并督促贯彻落实；参与依法治县方针的实施。组织、协调、指导维护社会稳定工作，督促有关部门抓好落实。组织开展政法工作和社会治安综合治理工作调查研究，提出政法工作改革和加强社会治安综合治理工作的意见。检查监督政法部门执行法律法规和党的方针政策的情况，研究制定严肃执法、落实党的方针政策的具体措施，督促纠正执法中存在的问题，协助有关部门查处执法中的违法违纪问题。支持、监督政法各部门依法行使职权，组织查处地方和部门保护主义及非法干涉、干预和影响政法干警依法执行公务的事件；督促、协调政法各部门密切配合查处大案要案，研究、协调有争议的重大、疑难案件；指导全县政法部门信访工作。组织协调社会治安综合治理工作，研究制定并督促落实社会治安综合治理的有关措施。研究制定加强政法干部队伍建设的措施；组织指导政法部门干部队伍的教育管理和培训工作。组织、指导有关部门开展政法、综治宣传工作，推广政法、综合治理工作的先进经验，表彰政法、综合治理工作的先进单位和先进个人。</w:t>
      </w:r>
    </w:p>
    <w:p>
      <w:pPr>
        <w:keepNext w:val="0"/>
        <w:keepLines w:val="0"/>
        <w:pageBreakBefore w:val="0"/>
        <w:kinsoku/>
        <w:wordWrap/>
        <w:overflowPunct/>
        <w:topLinePunct w:val="0"/>
        <w:autoSpaceDE w:val="0"/>
        <w:autoSpaceDN w:val="0"/>
        <w:bidi w:val="0"/>
        <w:adjustRightInd w:val="0"/>
        <w:snapToGrid w:val="0"/>
        <w:spacing w:line="600" w:lineRule="atLeast"/>
        <w:ind w:firstLine="643" w:firstLineChars="200"/>
        <w:textAlignment w:val="auto"/>
        <w:rPr>
          <w:rFonts w:ascii="仿宋" w:hAnsi="仿宋" w:eastAsia="仿宋" w:cs="宋体"/>
          <w:sz w:val="32"/>
          <w:szCs w:val="32"/>
        </w:rPr>
      </w:pPr>
      <w:r>
        <w:rPr>
          <w:rFonts w:hint="eastAsia" w:ascii="仿宋" w:hAnsi="仿宋" w:eastAsia="仿宋"/>
          <w:b/>
          <w:sz w:val="32"/>
          <w:szCs w:val="32"/>
        </w:rPr>
        <w:t>机构设置：</w:t>
      </w:r>
      <w:r>
        <w:rPr>
          <w:rFonts w:hint="eastAsia" w:ascii="仿宋" w:hAnsi="仿宋" w:eastAsia="仿宋" w:cs="宋体"/>
          <w:sz w:val="32"/>
          <w:szCs w:val="32"/>
        </w:rPr>
        <w:t>根据上述职责，政法委设</w:t>
      </w:r>
      <w:r>
        <w:rPr>
          <w:rFonts w:ascii="仿宋" w:hAnsi="仿宋" w:eastAsia="仿宋" w:cs="宋体"/>
          <w:sz w:val="32"/>
          <w:szCs w:val="32"/>
        </w:rPr>
        <w:t>5</w:t>
      </w:r>
      <w:r>
        <w:rPr>
          <w:rFonts w:hint="eastAsia" w:ascii="仿宋" w:hAnsi="仿宋" w:eastAsia="仿宋" w:cs="宋体"/>
          <w:sz w:val="32"/>
          <w:szCs w:val="32"/>
        </w:rPr>
        <w:t>个内设机构：分别是办公室、法治执法监督股、维稳指导股、综治督导股、反邪教协调股。</w:t>
      </w:r>
    </w:p>
    <w:p>
      <w:pPr>
        <w:keepNext w:val="0"/>
        <w:keepLines w:val="0"/>
        <w:pageBreakBefore w:val="0"/>
        <w:kinsoku/>
        <w:wordWrap/>
        <w:overflowPunct/>
        <w:topLinePunct w:val="0"/>
        <w:bidi w:val="0"/>
        <w:snapToGrid w:val="0"/>
        <w:spacing w:line="600" w:lineRule="atLeast"/>
        <w:textAlignment w:val="auto"/>
        <w:outlineLvl w:val="0"/>
        <w:rPr>
          <w:rFonts w:eastAsia="方正小标宋_GBK"/>
          <w:sz w:val="32"/>
        </w:rPr>
      </w:pPr>
      <w:r>
        <w:rPr>
          <w:rFonts w:hint="eastAsia" w:eastAsia="方正小标宋_GBK"/>
          <w:sz w:val="32"/>
        </w:rPr>
        <w:t>部门机构设置情况</w:t>
      </w:r>
    </w:p>
    <w:tbl>
      <w:tblPr>
        <w:tblStyle w:val="4"/>
        <w:tblW w:w="918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12"/>
        <w:gridCol w:w="2225"/>
        <w:gridCol w:w="1276"/>
        <w:gridCol w:w="26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012" w:type="dxa"/>
            <w:vMerge w:val="restart"/>
            <w:vAlign w:val="center"/>
          </w:tcPr>
          <w:p>
            <w:pPr>
              <w:keepNext w:val="0"/>
              <w:keepLines w:val="0"/>
              <w:pageBreakBefore w:val="0"/>
              <w:kinsoku/>
              <w:wordWrap/>
              <w:overflowPunct/>
              <w:topLinePunct w:val="0"/>
              <w:bidi w:val="0"/>
              <w:snapToGrid w:val="0"/>
              <w:spacing w:line="600" w:lineRule="atLeast"/>
              <w:textAlignment w:val="auto"/>
              <w:rPr>
                <w:rFonts w:eastAsia="方正书宋_GBK"/>
                <w:b/>
              </w:rPr>
            </w:pPr>
            <w:r>
              <w:rPr>
                <w:rFonts w:hint="eastAsia" w:eastAsia="方正书宋_GBK"/>
                <w:b/>
              </w:rPr>
              <w:t>单位名称</w:t>
            </w:r>
          </w:p>
        </w:tc>
        <w:tc>
          <w:tcPr>
            <w:tcW w:w="2225" w:type="dxa"/>
            <w:vMerge w:val="restart"/>
            <w:vAlign w:val="center"/>
          </w:tcPr>
          <w:p>
            <w:pPr>
              <w:keepNext w:val="0"/>
              <w:keepLines w:val="0"/>
              <w:pageBreakBefore w:val="0"/>
              <w:kinsoku/>
              <w:wordWrap/>
              <w:overflowPunct/>
              <w:topLinePunct w:val="0"/>
              <w:bidi w:val="0"/>
              <w:snapToGrid w:val="0"/>
              <w:spacing w:line="600" w:lineRule="atLeast"/>
              <w:textAlignment w:val="auto"/>
              <w:rPr>
                <w:rFonts w:eastAsia="方正书宋_GBK"/>
                <w:b/>
              </w:rPr>
            </w:pPr>
            <w:r>
              <w:rPr>
                <w:rFonts w:hint="eastAsia" w:eastAsia="方正书宋_GBK"/>
                <w:b/>
              </w:rPr>
              <w:t>单位性质</w:t>
            </w:r>
          </w:p>
        </w:tc>
        <w:tc>
          <w:tcPr>
            <w:tcW w:w="1276" w:type="dxa"/>
            <w:vMerge w:val="restart"/>
            <w:vAlign w:val="center"/>
          </w:tcPr>
          <w:p>
            <w:pPr>
              <w:keepNext w:val="0"/>
              <w:keepLines w:val="0"/>
              <w:pageBreakBefore w:val="0"/>
              <w:kinsoku/>
              <w:wordWrap/>
              <w:overflowPunct/>
              <w:topLinePunct w:val="0"/>
              <w:bidi w:val="0"/>
              <w:snapToGrid w:val="0"/>
              <w:spacing w:line="600" w:lineRule="atLeast"/>
              <w:textAlignment w:val="auto"/>
              <w:rPr>
                <w:rFonts w:eastAsia="方正书宋_GBK"/>
                <w:b/>
              </w:rPr>
            </w:pPr>
            <w:r>
              <w:rPr>
                <w:rFonts w:hint="eastAsia" w:eastAsia="方正书宋_GBK"/>
                <w:b/>
              </w:rPr>
              <w:t>单位规格</w:t>
            </w:r>
          </w:p>
        </w:tc>
        <w:tc>
          <w:tcPr>
            <w:tcW w:w="2674" w:type="dxa"/>
            <w:vMerge w:val="restart"/>
            <w:vAlign w:val="center"/>
          </w:tcPr>
          <w:p>
            <w:pPr>
              <w:keepNext w:val="0"/>
              <w:keepLines w:val="0"/>
              <w:pageBreakBefore w:val="0"/>
              <w:kinsoku/>
              <w:wordWrap/>
              <w:overflowPunct/>
              <w:topLinePunct w:val="0"/>
              <w:bidi w:val="0"/>
              <w:snapToGrid w:val="0"/>
              <w:spacing w:line="600" w:lineRule="atLeast"/>
              <w:textAlignment w:val="auto"/>
              <w:rPr>
                <w:rFonts w:eastAsia="方正书宋_GBK"/>
                <w:b/>
              </w:rPr>
            </w:pPr>
            <w:r>
              <w:rPr>
                <w:rFonts w:hint="eastAsia"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3012" w:type="dxa"/>
            <w:vMerge w:val="continue"/>
            <w:vAlign w:val="center"/>
          </w:tcPr>
          <w:p>
            <w:pPr>
              <w:keepNext w:val="0"/>
              <w:keepLines w:val="0"/>
              <w:pageBreakBefore w:val="0"/>
              <w:kinsoku/>
              <w:wordWrap/>
              <w:overflowPunct/>
              <w:topLinePunct w:val="0"/>
              <w:bidi w:val="0"/>
              <w:snapToGrid w:val="0"/>
              <w:spacing w:line="600" w:lineRule="atLeast"/>
              <w:textAlignment w:val="auto"/>
              <w:outlineLvl w:val="0"/>
            </w:pPr>
          </w:p>
        </w:tc>
        <w:tc>
          <w:tcPr>
            <w:tcW w:w="2225" w:type="dxa"/>
            <w:vMerge w:val="continue"/>
            <w:vAlign w:val="center"/>
          </w:tcPr>
          <w:p>
            <w:pPr>
              <w:keepNext w:val="0"/>
              <w:keepLines w:val="0"/>
              <w:pageBreakBefore w:val="0"/>
              <w:kinsoku/>
              <w:wordWrap/>
              <w:overflowPunct/>
              <w:topLinePunct w:val="0"/>
              <w:bidi w:val="0"/>
              <w:snapToGrid w:val="0"/>
              <w:spacing w:line="600" w:lineRule="atLeast"/>
              <w:textAlignment w:val="auto"/>
              <w:outlineLvl w:val="0"/>
            </w:pPr>
          </w:p>
        </w:tc>
        <w:tc>
          <w:tcPr>
            <w:tcW w:w="1276" w:type="dxa"/>
            <w:vMerge w:val="continue"/>
            <w:vAlign w:val="center"/>
          </w:tcPr>
          <w:p>
            <w:pPr>
              <w:keepNext w:val="0"/>
              <w:keepLines w:val="0"/>
              <w:pageBreakBefore w:val="0"/>
              <w:kinsoku/>
              <w:wordWrap/>
              <w:overflowPunct/>
              <w:topLinePunct w:val="0"/>
              <w:bidi w:val="0"/>
              <w:snapToGrid w:val="0"/>
              <w:spacing w:line="600" w:lineRule="atLeast"/>
              <w:textAlignment w:val="auto"/>
              <w:outlineLvl w:val="0"/>
            </w:pPr>
          </w:p>
        </w:tc>
        <w:tc>
          <w:tcPr>
            <w:tcW w:w="2674" w:type="dxa"/>
            <w:vMerge w:val="continue"/>
            <w:vAlign w:val="center"/>
          </w:tcPr>
          <w:p>
            <w:pPr>
              <w:keepNext w:val="0"/>
              <w:keepLines w:val="0"/>
              <w:pageBreakBefore w:val="0"/>
              <w:kinsoku/>
              <w:wordWrap/>
              <w:overflowPunct/>
              <w:topLinePunct w:val="0"/>
              <w:bidi w:val="0"/>
              <w:snapToGrid w:val="0"/>
              <w:spacing w:line="600" w:lineRule="atLeast"/>
              <w:textAlignment w:val="auto"/>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3012" w:type="dxa"/>
            <w:vAlign w:val="center"/>
          </w:tcPr>
          <w:p>
            <w:pPr>
              <w:keepNext w:val="0"/>
              <w:keepLines w:val="0"/>
              <w:pageBreakBefore w:val="0"/>
              <w:kinsoku/>
              <w:wordWrap/>
              <w:overflowPunct/>
              <w:topLinePunct w:val="0"/>
              <w:bidi w:val="0"/>
              <w:snapToGrid w:val="0"/>
              <w:spacing w:line="600" w:lineRule="atLeast"/>
              <w:textAlignment w:val="auto"/>
              <w:rPr>
                <w:rFonts w:eastAsia="方正书宋_GBK"/>
              </w:rPr>
            </w:pPr>
            <w:r>
              <w:rPr>
                <w:rFonts w:hint="eastAsia" w:ascii="宋体" w:hAnsi="宋体" w:cs="宋体"/>
              </w:rPr>
              <w:t>县委</w:t>
            </w:r>
            <w:r>
              <w:rPr>
                <w:rFonts w:hint="eastAsia" w:eastAsia="方正书宋_GBK"/>
              </w:rPr>
              <w:t>政法委</w:t>
            </w:r>
          </w:p>
        </w:tc>
        <w:tc>
          <w:tcPr>
            <w:tcW w:w="2225" w:type="dxa"/>
            <w:vAlign w:val="center"/>
          </w:tcPr>
          <w:p>
            <w:pPr>
              <w:keepNext w:val="0"/>
              <w:keepLines w:val="0"/>
              <w:pageBreakBefore w:val="0"/>
              <w:kinsoku/>
              <w:wordWrap/>
              <w:overflowPunct/>
              <w:topLinePunct w:val="0"/>
              <w:bidi w:val="0"/>
              <w:snapToGrid w:val="0"/>
              <w:spacing w:line="600" w:lineRule="atLeast"/>
              <w:textAlignment w:val="auto"/>
              <w:rPr>
                <w:rFonts w:eastAsia="方正书宋_GBK"/>
              </w:rPr>
            </w:pPr>
            <w:r>
              <w:rPr>
                <w:rFonts w:hint="eastAsia" w:ascii="方正书宋_GBK" w:eastAsia="方正书宋_GBK"/>
              </w:rPr>
              <w:t>行政</w:t>
            </w:r>
          </w:p>
        </w:tc>
        <w:tc>
          <w:tcPr>
            <w:tcW w:w="1276" w:type="dxa"/>
            <w:vAlign w:val="center"/>
          </w:tcPr>
          <w:p>
            <w:pPr>
              <w:keepNext w:val="0"/>
              <w:keepLines w:val="0"/>
              <w:pageBreakBefore w:val="0"/>
              <w:kinsoku/>
              <w:wordWrap/>
              <w:overflowPunct/>
              <w:topLinePunct w:val="0"/>
              <w:bidi w:val="0"/>
              <w:snapToGrid w:val="0"/>
              <w:spacing w:line="600" w:lineRule="atLeast"/>
              <w:textAlignment w:val="auto"/>
              <w:rPr>
                <w:rFonts w:eastAsia="方正书宋_GBK"/>
              </w:rPr>
            </w:pPr>
            <w:r>
              <w:rPr>
                <w:rFonts w:hint="eastAsia" w:eastAsia="方正书宋_GBK"/>
              </w:rPr>
              <w:t>正科级</w:t>
            </w:r>
          </w:p>
        </w:tc>
        <w:tc>
          <w:tcPr>
            <w:tcW w:w="2674" w:type="dxa"/>
            <w:vAlign w:val="center"/>
          </w:tcPr>
          <w:p>
            <w:pPr>
              <w:keepNext w:val="0"/>
              <w:keepLines w:val="0"/>
              <w:pageBreakBefore w:val="0"/>
              <w:kinsoku/>
              <w:wordWrap/>
              <w:overflowPunct/>
              <w:topLinePunct w:val="0"/>
              <w:bidi w:val="0"/>
              <w:snapToGrid w:val="0"/>
              <w:spacing w:line="600" w:lineRule="atLeast"/>
              <w:textAlignment w:val="auto"/>
              <w:rPr>
                <w:rFonts w:eastAsia="方正书宋_GBK"/>
              </w:rPr>
            </w:pPr>
            <w:r>
              <w:rPr>
                <w:rFonts w:hint="eastAsia" w:ascii="方正书宋_GBK" w:eastAsia="方正书宋_GBK"/>
              </w:rPr>
              <w:t>财政拨款</w:t>
            </w:r>
          </w:p>
        </w:tc>
      </w:tr>
    </w:tbl>
    <w:p>
      <w:pPr>
        <w:keepNext w:val="0"/>
        <w:keepLines w:val="0"/>
        <w:pageBreakBefore w:val="0"/>
        <w:kinsoku/>
        <w:wordWrap/>
        <w:overflowPunct/>
        <w:topLinePunct w:val="0"/>
        <w:bidi w:val="0"/>
        <w:snapToGrid w:val="0"/>
        <w:spacing w:line="600" w:lineRule="atLeast"/>
        <w:ind w:firstLine="640" w:firstLineChars="200"/>
        <w:textAlignment w:val="auto"/>
        <w:rPr>
          <w:rFonts w:ascii="黑体" w:hAnsi="黑体" w:eastAsia="黑体"/>
          <w:sz w:val="32"/>
          <w:szCs w:val="32"/>
        </w:rPr>
      </w:pPr>
      <w:r>
        <w:rPr>
          <w:rFonts w:hint="eastAsia" w:ascii="黑体" w:hAnsi="黑体" w:eastAsia="黑体"/>
          <w:sz w:val="32"/>
          <w:szCs w:val="32"/>
        </w:rPr>
        <w:t>二、部门预算安排的总体情况</w:t>
      </w:r>
    </w:p>
    <w:p>
      <w:pPr>
        <w:keepNext w:val="0"/>
        <w:keepLines w:val="0"/>
        <w:pageBreakBefore w:val="0"/>
        <w:kinsoku/>
        <w:wordWrap/>
        <w:overflowPunct/>
        <w:topLinePunct w:val="0"/>
        <w:bidi w:val="0"/>
        <w:snapToGrid w:val="0"/>
        <w:spacing w:line="600" w:lineRule="atLeast"/>
        <w:textAlignment w:val="auto"/>
        <w:rPr>
          <w:rFonts w:ascii="黑体" w:hAnsi="黑体" w:eastAsia="黑体"/>
          <w:sz w:val="32"/>
          <w:szCs w:val="32"/>
        </w:rPr>
      </w:pPr>
      <w:r>
        <w:rPr>
          <w:rFonts w:hint="eastAsia" w:ascii="黑体" w:hAnsi="黑体" w:eastAsia="黑体"/>
          <w:sz w:val="32"/>
          <w:szCs w:val="32"/>
        </w:rPr>
        <w:t xml:space="preserve">   </w:t>
      </w:r>
      <w:r>
        <w:rPr>
          <w:rFonts w:hint="eastAsia" w:eastAsia="仿宋"/>
          <w:sz w:val="32"/>
          <w:szCs w:val="32"/>
        </w:rPr>
        <w:t>按照预算管理有关规定，目前我县部门预算的编制实行综合预算管理，即全部收入和支出都反映的预算中。中共隆尧县委政法委的收支包含在部门预算中。</w:t>
      </w:r>
    </w:p>
    <w:p>
      <w:pPr>
        <w:keepNext w:val="0"/>
        <w:keepLines w:val="0"/>
        <w:pageBreakBefore w:val="0"/>
        <w:kinsoku/>
        <w:wordWrap/>
        <w:overflowPunct/>
        <w:topLinePunct w:val="0"/>
        <w:bidi w:val="0"/>
        <w:snapToGrid w:val="0"/>
        <w:spacing w:line="600" w:lineRule="atLeast"/>
        <w:ind w:firstLine="640"/>
        <w:textAlignment w:val="auto"/>
        <w:rPr>
          <w:rFonts w:eastAsia="仿宋"/>
          <w:sz w:val="32"/>
          <w:szCs w:val="32"/>
        </w:rPr>
      </w:pPr>
      <w:r>
        <w:rPr>
          <w:rFonts w:eastAsia="仿宋"/>
          <w:sz w:val="32"/>
          <w:szCs w:val="32"/>
        </w:rPr>
        <w:t>1</w:t>
      </w:r>
      <w:r>
        <w:rPr>
          <w:rFonts w:hint="eastAsia" w:eastAsia="仿宋"/>
          <w:sz w:val="32"/>
          <w:szCs w:val="32"/>
        </w:rPr>
        <w:t>、收入说明</w:t>
      </w:r>
    </w:p>
    <w:p>
      <w:pPr>
        <w:keepNext w:val="0"/>
        <w:keepLines w:val="0"/>
        <w:pageBreakBefore w:val="0"/>
        <w:kinsoku/>
        <w:wordWrap/>
        <w:overflowPunct/>
        <w:topLinePunct w:val="0"/>
        <w:bidi w:val="0"/>
        <w:snapToGrid w:val="0"/>
        <w:spacing w:line="600" w:lineRule="atLeast"/>
        <w:ind w:firstLine="640"/>
        <w:textAlignment w:val="auto"/>
        <w:rPr>
          <w:rFonts w:eastAsia="仿宋"/>
          <w:sz w:val="32"/>
          <w:szCs w:val="32"/>
        </w:rPr>
      </w:pPr>
      <w:r>
        <w:rPr>
          <w:rFonts w:hint="eastAsia" w:eastAsia="仿宋"/>
          <w:sz w:val="32"/>
          <w:szCs w:val="32"/>
        </w:rPr>
        <w:t>反映本部门当年全部收入。</w:t>
      </w:r>
      <w:r>
        <w:rPr>
          <w:rFonts w:eastAsia="仿宋"/>
          <w:sz w:val="32"/>
          <w:szCs w:val="32"/>
        </w:rPr>
        <w:t>20</w:t>
      </w:r>
      <w:r>
        <w:rPr>
          <w:rFonts w:hint="eastAsia" w:eastAsia="仿宋"/>
          <w:sz w:val="32"/>
          <w:szCs w:val="32"/>
        </w:rPr>
        <w:t>24年预算收入466.02万元，其中：一般公共预算收入466.02万元。</w:t>
      </w:r>
    </w:p>
    <w:p>
      <w:pPr>
        <w:keepNext w:val="0"/>
        <w:keepLines w:val="0"/>
        <w:pageBreakBefore w:val="0"/>
        <w:kinsoku/>
        <w:wordWrap/>
        <w:overflowPunct/>
        <w:topLinePunct w:val="0"/>
        <w:bidi w:val="0"/>
        <w:snapToGrid w:val="0"/>
        <w:spacing w:line="600" w:lineRule="atLeast"/>
        <w:ind w:firstLine="640"/>
        <w:textAlignment w:val="auto"/>
        <w:rPr>
          <w:rFonts w:eastAsia="仿宋"/>
          <w:sz w:val="32"/>
          <w:szCs w:val="32"/>
        </w:rPr>
      </w:pPr>
      <w:r>
        <w:rPr>
          <w:rFonts w:eastAsia="仿宋"/>
          <w:sz w:val="32"/>
          <w:szCs w:val="32"/>
        </w:rPr>
        <w:t>2</w:t>
      </w:r>
      <w:r>
        <w:rPr>
          <w:rFonts w:hint="eastAsia" w:eastAsia="仿宋"/>
          <w:sz w:val="32"/>
          <w:szCs w:val="32"/>
        </w:rPr>
        <w:t>、支出说明</w:t>
      </w:r>
    </w:p>
    <w:p>
      <w:pPr>
        <w:keepNext w:val="0"/>
        <w:keepLines w:val="0"/>
        <w:pageBreakBefore w:val="0"/>
        <w:kinsoku/>
        <w:wordWrap/>
        <w:overflowPunct/>
        <w:topLinePunct w:val="0"/>
        <w:bidi w:val="0"/>
        <w:snapToGrid w:val="0"/>
        <w:spacing w:line="600" w:lineRule="atLeast"/>
        <w:ind w:firstLine="640"/>
        <w:textAlignment w:val="auto"/>
        <w:rPr>
          <w:rFonts w:eastAsia="仿宋"/>
          <w:sz w:val="32"/>
          <w:szCs w:val="32"/>
        </w:rPr>
      </w:pPr>
      <w:r>
        <w:rPr>
          <w:rFonts w:hint="eastAsia" w:eastAsia="仿宋"/>
          <w:sz w:val="32"/>
          <w:szCs w:val="32"/>
        </w:rPr>
        <w:t>收支预算总表支出栏、基本支出表、项目支出表按经济分类和支出功能分类科目编制，反映中共隆尧县委政法委年度部门预算中支出预算的总体情况。</w:t>
      </w:r>
      <w:r>
        <w:rPr>
          <w:rFonts w:eastAsia="仿宋"/>
          <w:sz w:val="32"/>
          <w:szCs w:val="32"/>
        </w:rPr>
        <w:t>20</w:t>
      </w:r>
      <w:r>
        <w:rPr>
          <w:rFonts w:hint="eastAsia" w:eastAsia="仿宋"/>
          <w:sz w:val="32"/>
          <w:szCs w:val="32"/>
        </w:rPr>
        <w:t>24年部门支出预算为466.02万元，其中基本支出</w:t>
      </w:r>
      <w:r>
        <w:rPr>
          <w:rFonts w:eastAsia="仿宋"/>
          <w:sz w:val="32"/>
          <w:szCs w:val="32"/>
        </w:rPr>
        <w:t>1</w:t>
      </w:r>
      <w:r>
        <w:rPr>
          <w:rFonts w:hint="eastAsia" w:eastAsia="仿宋"/>
          <w:sz w:val="32"/>
          <w:szCs w:val="32"/>
        </w:rPr>
        <w:t>69.89万元，包括人员经费</w:t>
      </w:r>
      <w:r>
        <w:rPr>
          <w:rFonts w:eastAsia="仿宋"/>
          <w:sz w:val="32"/>
          <w:szCs w:val="32"/>
        </w:rPr>
        <w:t>1</w:t>
      </w:r>
      <w:r>
        <w:rPr>
          <w:rFonts w:hint="eastAsia" w:eastAsia="仿宋"/>
          <w:sz w:val="32"/>
          <w:szCs w:val="32"/>
        </w:rPr>
        <w:t>55.61万元和日常公用经费</w:t>
      </w:r>
      <w:r>
        <w:rPr>
          <w:rFonts w:eastAsia="仿宋"/>
          <w:sz w:val="32"/>
          <w:szCs w:val="32"/>
        </w:rPr>
        <w:t>1</w:t>
      </w:r>
      <w:r>
        <w:rPr>
          <w:rFonts w:hint="eastAsia" w:eastAsia="仿宋"/>
          <w:sz w:val="32"/>
          <w:szCs w:val="32"/>
        </w:rPr>
        <w:t>4.28万元；项目支出296.13万元，主要为精神障碍监护人责任险和以奖代补经费</w:t>
      </w:r>
      <w:r>
        <w:rPr>
          <w:rFonts w:eastAsia="仿宋"/>
          <w:sz w:val="32"/>
          <w:szCs w:val="32"/>
        </w:rPr>
        <w:t>4</w:t>
      </w:r>
      <w:r>
        <w:rPr>
          <w:rFonts w:hint="eastAsia" w:eastAsia="仿宋"/>
          <w:sz w:val="32"/>
          <w:szCs w:val="32"/>
        </w:rPr>
        <w:t>6.66万元，铁路护路经费12.76万元，综治视联网经费80万元，综治经费</w:t>
      </w:r>
      <w:r>
        <w:rPr>
          <w:rFonts w:eastAsia="仿宋"/>
          <w:sz w:val="32"/>
          <w:szCs w:val="32"/>
        </w:rPr>
        <w:t>52</w:t>
      </w:r>
      <w:r>
        <w:rPr>
          <w:rFonts w:hint="eastAsia" w:eastAsia="仿宋"/>
          <w:sz w:val="32"/>
          <w:szCs w:val="32"/>
        </w:rPr>
        <w:t>万元，综治网格员经费</w:t>
      </w:r>
      <w:r>
        <w:rPr>
          <w:rFonts w:eastAsia="仿宋"/>
          <w:sz w:val="32"/>
          <w:szCs w:val="32"/>
        </w:rPr>
        <w:t>2</w:t>
      </w:r>
      <w:r>
        <w:rPr>
          <w:rFonts w:hint="eastAsia" w:eastAsia="仿宋"/>
          <w:sz w:val="32"/>
          <w:szCs w:val="32"/>
        </w:rPr>
        <w:t>0万元，政法网经费56万元，综治中心劳务派遣人员经费23.71万元，见义勇为基金5万元。</w:t>
      </w:r>
    </w:p>
    <w:p>
      <w:pPr>
        <w:keepNext w:val="0"/>
        <w:keepLines w:val="0"/>
        <w:pageBreakBefore w:val="0"/>
        <w:kinsoku/>
        <w:wordWrap/>
        <w:overflowPunct/>
        <w:topLinePunct w:val="0"/>
        <w:bidi w:val="0"/>
        <w:snapToGrid w:val="0"/>
        <w:spacing w:line="600" w:lineRule="atLeast"/>
        <w:ind w:firstLine="640"/>
        <w:textAlignment w:val="auto"/>
        <w:rPr>
          <w:rFonts w:eastAsia="仿宋"/>
          <w:sz w:val="32"/>
          <w:szCs w:val="32"/>
        </w:rPr>
      </w:pPr>
      <w:r>
        <w:rPr>
          <w:rFonts w:eastAsia="仿宋"/>
          <w:sz w:val="32"/>
          <w:szCs w:val="32"/>
        </w:rPr>
        <w:t>3</w:t>
      </w:r>
      <w:r>
        <w:rPr>
          <w:rFonts w:hint="eastAsia" w:eastAsia="仿宋"/>
          <w:sz w:val="32"/>
          <w:szCs w:val="32"/>
        </w:rPr>
        <w:t>、比上年增减情况</w:t>
      </w:r>
    </w:p>
    <w:p>
      <w:pPr>
        <w:keepNext w:val="0"/>
        <w:keepLines w:val="0"/>
        <w:pageBreakBefore w:val="0"/>
        <w:kinsoku/>
        <w:wordWrap/>
        <w:overflowPunct/>
        <w:topLinePunct w:val="0"/>
        <w:bidi w:val="0"/>
        <w:snapToGrid w:val="0"/>
        <w:spacing w:line="600" w:lineRule="atLeast"/>
        <w:ind w:firstLine="640"/>
        <w:textAlignment w:val="auto"/>
        <w:rPr>
          <w:rFonts w:eastAsia="仿宋"/>
          <w:sz w:val="32"/>
          <w:szCs w:val="32"/>
        </w:rPr>
      </w:pPr>
      <w:r>
        <w:rPr>
          <w:rFonts w:eastAsia="仿宋"/>
          <w:color w:val="000000"/>
          <w:sz w:val="32"/>
          <w:szCs w:val="32"/>
        </w:rPr>
        <w:t>20</w:t>
      </w:r>
      <w:r>
        <w:rPr>
          <w:rFonts w:hint="eastAsia" w:eastAsia="仿宋"/>
          <w:color w:val="000000"/>
          <w:sz w:val="32"/>
          <w:szCs w:val="32"/>
        </w:rPr>
        <w:t>24年部门预算收支安排</w:t>
      </w:r>
      <w:r>
        <w:rPr>
          <w:rFonts w:hint="eastAsia" w:eastAsia="仿宋"/>
          <w:sz w:val="32"/>
          <w:szCs w:val="32"/>
        </w:rPr>
        <w:t>466.02</w:t>
      </w:r>
      <w:r>
        <w:rPr>
          <w:rFonts w:hint="eastAsia" w:eastAsia="仿宋"/>
          <w:color w:val="000000"/>
          <w:sz w:val="32"/>
          <w:szCs w:val="32"/>
        </w:rPr>
        <w:t>万元，</w:t>
      </w:r>
      <w:r>
        <w:rPr>
          <w:rFonts w:hint="eastAsia" w:eastAsia="仿宋"/>
          <w:sz w:val="32"/>
          <w:szCs w:val="32"/>
        </w:rPr>
        <w:t>较</w:t>
      </w:r>
      <w:r>
        <w:rPr>
          <w:rFonts w:eastAsia="仿宋"/>
          <w:sz w:val="32"/>
          <w:szCs w:val="32"/>
        </w:rPr>
        <w:t>20</w:t>
      </w:r>
      <w:r>
        <w:rPr>
          <w:rFonts w:hint="eastAsia" w:eastAsia="仿宋"/>
          <w:sz w:val="32"/>
          <w:szCs w:val="32"/>
        </w:rPr>
        <w:t>23年减少247.59万元，其中：基本支出减少14.63万元，主要是人员减少所至；项目支出减少232.96万元，主要为本年度综治视联网经费减少所至。</w:t>
      </w:r>
    </w:p>
    <w:p>
      <w:pPr>
        <w:keepNext w:val="0"/>
        <w:keepLines w:val="0"/>
        <w:pageBreakBefore w:val="0"/>
        <w:kinsoku/>
        <w:wordWrap/>
        <w:overflowPunct/>
        <w:topLinePunct w:val="0"/>
        <w:autoSpaceDE w:val="0"/>
        <w:autoSpaceDN w:val="0"/>
        <w:bidi w:val="0"/>
        <w:adjustRightInd w:val="0"/>
        <w:snapToGrid w:val="0"/>
        <w:spacing w:line="600" w:lineRule="atLeast"/>
        <w:ind w:firstLine="640" w:firstLineChars="200"/>
        <w:textAlignment w:val="auto"/>
        <w:rPr>
          <w:rFonts w:ascii="黑体" w:hAnsi="黑体" w:eastAsia="黑体"/>
          <w:sz w:val="32"/>
          <w:szCs w:val="32"/>
        </w:rPr>
      </w:pPr>
      <w:r>
        <w:rPr>
          <w:rFonts w:hint="eastAsia" w:ascii="黑体" w:hAnsi="黑体" w:eastAsia="黑体"/>
          <w:sz w:val="32"/>
          <w:szCs w:val="32"/>
        </w:rPr>
        <w:t>三、机关运行经费安排情况</w:t>
      </w:r>
    </w:p>
    <w:p>
      <w:pPr>
        <w:keepNext w:val="0"/>
        <w:keepLines w:val="0"/>
        <w:pageBreakBefore w:val="0"/>
        <w:kinsoku/>
        <w:wordWrap/>
        <w:overflowPunct/>
        <w:topLinePunct w:val="0"/>
        <w:autoSpaceDE w:val="0"/>
        <w:autoSpaceDN w:val="0"/>
        <w:bidi w:val="0"/>
        <w:adjustRightInd w:val="0"/>
        <w:snapToGrid w:val="0"/>
        <w:spacing w:line="600" w:lineRule="atLeast"/>
        <w:ind w:firstLine="640" w:firstLineChars="200"/>
        <w:textAlignment w:val="auto"/>
        <w:rPr>
          <w:rFonts w:eastAsia="仿宋"/>
          <w:sz w:val="32"/>
          <w:szCs w:val="32"/>
        </w:rPr>
      </w:pPr>
      <w:r>
        <w:rPr>
          <w:rFonts w:eastAsia="仿宋"/>
          <w:sz w:val="32"/>
          <w:szCs w:val="32"/>
        </w:rPr>
        <w:t>20</w:t>
      </w:r>
      <w:r>
        <w:rPr>
          <w:rFonts w:hint="eastAsia" w:eastAsia="仿宋"/>
          <w:sz w:val="32"/>
          <w:szCs w:val="32"/>
        </w:rPr>
        <w:t>24年，我部门机关运行经费共计安排14.28万元，主要用于保证机关正常运转的办公支出。</w:t>
      </w:r>
    </w:p>
    <w:p>
      <w:pPr>
        <w:keepNext w:val="0"/>
        <w:keepLines w:val="0"/>
        <w:pageBreakBefore w:val="0"/>
        <w:kinsoku/>
        <w:wordWrap/>
        <w:overflowPunct/>
        <w:topLinePunct w:val="0"/>
        <w:autoSpaceDE w:val="0"/>
        <w:autoSpaceDN w:val="0"/>
        <w:bidi w:val="0"/>
        <w:adjustRightInd w:val="0"/>
        <w:snapToGrid w:val="0"/>
        <w:spacing w:line="600" w:lineRule="atLeast"/>
        <w:ind w:firstLine="640" w:firstLineChars="200"/>
        <w:textAlignment w:val="auto"/>
        <w:rPr>
          <w:rFonts w:ascii="黑体" w:hAnsi="黑体" w:eastAsia="黑体"/>
          <w:sz w:val="32"/>
          <w:szCs w:val="32"/>
        </w:rPr>
      </w:pPr>
      <w:r>
        <w:rPr>
          <w:rFonts w:hint="eastAsia" w:ascii="黑体" w:hAnsi="黑体" w:eastAsia="黑体"/>
          <w:sz w:val="32"/>
          <w:szCs w:val="32"/>
        </w:rPr>
        <w:t>四、财政拨款“三公”经费预算情况及增减变化原因</w:t>
      </w:r>
    </w:p>
    <w:p>
      <w:pPr>
        <w:keepNext w:val="0"/>
        <w:keepLines w:val="0"/>
        <w:pageBreakBefore w:val="0"/>
        <w:kinsoku/>
        <w:wordWrap/>
        <w:overflowPunct/>
        <w:topLinePunct w:val="0"/>
        <w:autoSpaceDE w:val="0"/>
        <w:autoSpaceDN w:val="0"/>
        <w:bidi w:val="0"/>
        <w:adjustRightInd w:val="0"/>
        <w:snapToGrid w:val="0"/>
        <w:spacing w:line="600" w:lineRule="atLeast"/>
        <w:ind w:left="198" w:firstLine="640" w:firstLineChars="200"/>
        <w:textAlignment w:val="auto"/>
        <w:rPr>
          <w:rFonts w:eastAsia="仿宋"/>
          <w:sz w:val="32"/>
          <w:szCs w:val="32"/>
        </w:rPr>
      </w:pPr>
      <w:r>
        <w:rPr>
          <w:rFonts w:eastAsia="仿宋"/>
          <w:sz w:val="32"/>
          <w:szCs w:val="32"/>
        </w:rPr>
        <w:t>202</w:t>
      </w:r>
      <w:r>
        <w:rPr>
          <w:rFonts w:hint="eastAsia" w:eastAsia="仿宋"/>
          <w:sz w:val="32"/>
          <w:szCs w:val="32"/>
        </w:rPr>
        <w:t>4年，我部门财政拨款“三公”经费预算安排</w:t>
      </w:r>
      <w:r>
        <w:rPr>
          <w:rFonts w:eastAsia="仿宋"/>
          <w:sz w:val="32"/>
          <w:szCs w:val="32"/>
        </w:rPr>
        <w:t>0</w:t>
      </w:r>
      <w:r>
        <w:rPr>
          <w:rFonts w:hint="eastAsia" w:eastAsia="仿宋"/>
          <w:sz w:val="32"/>
          <w:szCs w:val="32"/>
        </w:rPr>
        <w:t>万元。“三公”经费与去年相同，主要是压缩开支，厉行节约所至。</w:t>
      </w:r>
    </w:p>
    <w:p>
      <w:pPr>
        <w:keepNext w:val="0"/>
        <w:keepLines w:val="0"/>
        <w:pageBreakBefore w:val="0"/>
        <w:kinsoku/>
        <w:wordWrap/>
        <w:overflowPunct/>
        <w:topLinePunct w:val="0"/>
        <w:autoSpaceDE w:val="0"/>
        <w:autoSpaceDN w:val="0"/>
        <w:bidi w:val="0"/>
        <w:adjustRightInd w:val="0"/>
        <w:snapToGrid w:val="0"/>
        <w:spacing w:line="600" w:lineRule="atLeast"/>
        <w:ind w:firstLine="640" w:firstLineChars="200"/>
        <w:textAlignment w:val="auto"/>
        <w:rPr>
          <w:rFonts w:ascii="黑体" w:hAnsi="黑体" w:eastAsia="黑体"/>
          <w:sz w:val="32"/>
          <w:szCs w:val="32"/>
        </w:rPr>
      </w:pPr>
      <w:r>
        <w:rPr>
          <w:rFonts w:hint="eastAsia" w:ascii="黑体" w:hAnsi="黑体" w:eastAsia="黑体"/>
          <w:sz w:val="32"/>
          <w:szCs w:val="32"/>
        </w:rPr>
        <w:t>五、绩效预算信息</w:t>
      </w:r>
    </w:p>
    <w:p>
      <w:pPr>
        <w:keepNext w:val="0"/>
        <w:keepLines w:val="0"/>
        <w:pageBreakBefore w:val="0"/>
        <w:kinsoku/>
        <w:wordWrap/>
        <w:overflowPunct/>
        <w:topLinePunct w:val="0"/>
        <w:bidi w:val="0"/>
        <w:snapToGrid w:val="0"/>
        <w:spacing w:line="600" w:lineRule="atLeast"/>
        <w:ind w:firstLine="560"/>
        <w:textAlignment w:val="auto"/>
      </w:pPr>
      <w:bookmarkStart w:id="10" w:name="_Toc471398463"/>
      <w:r>
        <w:rPr>
          <w:rFonts w:eastAsia="方正仿宋_GBK"/>
          <w:color w:val="000000"/>
          <w:sz w:val="28"/>
        </w:rPr>
        <w:t>（一）总体绩效目标</w:t>
      </w:r>
    </w:p>
    <w:p>
      <w:pPr>
        <w:keepNext w:val="0"/>
        <w:keepLines w:val="0"/>
        <w:pageBreakBefore w:val="0"/>
        <w:kinsoku/>
        <w:wordWrap/>
        <w:overflowPunct/>
        <w:topLinePunct w:val="0"/>
        <w:bidi w:val="0"/>
        <w:snapToGrid w:val="0"/>
        <w:spacing w:line="600" w:lineRule="atLeast"/>
        <w:ind w:firstLine="640"/>
        <w:textAlignment w:val="auto"/>
        <w:rPr>
          <w:rFonts w:ascii="仿宋" w:hAnsi="仿宋" w:eastAsia="仿宋" w:cs="宋体"/>
          <w:color w:val="000000"/>
          <w:sz w:val="32"/>
          <w:szCs w:val="32"/>
        </w:rPr>
      </w:pPr>
      <w:r>
        <w:rPr>
          <w:rFonts w:hint="eastAsia" w:ascii="仿宋" w:hAnsi="仿宋" w:eastAsia="仿宋"/>
          <w:sz w:val="32"/>
        </w:rPr>
        <w:t>紧密围绕县委、县政府中心工作，</w:t>
      </w:r>
      <w:r>
        <w:rPr>
          <w:rFonts w:hint="eastAsia" w:ascii="仿宋" w:hAnsi="仿宋" w:eastAsia="仿宋" w:cs="宋体"/>
          <w:color w:val="000000"/>
          <w:sz w:val="32"/>
          <w:szCs w:val="32"/>
        </w:rPr>
        <w:t>通过对全县科局、乡镇进行年度平安建设考评，对全县境内进行护路宣传、治安联防、巡路护线，排除隐患，化解矛盾；对全县政法单位进行执法状况考核；对符合政策条件的涉法涉诉救助对象开展司法救助，开展全县维稳、矛盾纠纷排查，严格落实维稳事件领导责任追究、风险评估等各项工作。同时加强对预算收支管理，建立健全内部管理制度，部门整体支出绩效明显。采取有力措施，维护社会政治安全。保持严打高压态势。通过对全县以“见义勇为”先进个人的表彰奖励，弘扬正气，倡导社会文明之风。社会治安稳定、无重大政治事件，重大非法聚集事项，暴力恐怖事件发生。综治民调提质进位，综治和信访考核分别保先进位，企业发展环境优化，投资创业者人身、财产、心理安全。保障重大项目建设和经济发展环境明显改善，促进人民群众安全感和满意度进一步提升。</w:t>
      </w:r>
    </w:p>
    <w:p>
      <w:pPr>
        <w:keepNext w:val="0"/>
        <w:keepLines w:val="0"/>
        <w:pageBreakBefore w:val="0"/>
        <w:kinsoku/>
        <w:wordWrap/>
        <w:overflowPunct/>
        <w:topLinePunct w:val="0"/>
        <w:bidi w:val="0"/>
        <w:snapToGrid w:val="0"/>
        <w:spacing w:line="600" w:lineRule="atLeast"/>
        <w:ind w:firstLine="560"/>
        <w:textAlignment w:val="auto"/>
      </w:pPr>
      <w:r>
        <w:rPr>
          <w:rFonts w:eastAsia="方正仿宋_GBK"/>
          <w:color w:val="000000"/>
          <w:sz w:val="28"/>
        </w:rPr>
        <w:t>（二）分项绩效目标</w:t>
      </w:r>
    </w:p>
    <w:p>
      <w:pPr>
        <w:keepNext w:val="0"/>
        <w:keepLines w:val="0"/>
        <w:pageBreakBefore w:val="0"/>
        <w:shd w:val="clear" w:color="auto" w:fill="FFFFFF"/>
        <w:kinsoku/>
        <w:wordWrap/>
        <w:overflowPunct/>
        <w:topLinePunct w:val="0"/>
        <w:bidi w:val="0"/>
        <w:snapToGrid w:val="0"/>
        <w:spacing w:line="600" w:lineRule="atLeast"/>
        <w:textAlignment w:val="auto"/>
        <w:rPr>
          <w:rFonts w:ascii="仿宋_GB2312" w:hAnsi="宋体" w:eastAsia="仿宋_GB2312" w:cs="宋体"/>
          <w:color w:val="343434"/>
          <w:sz w:val="32"/>
          <w:szCs w:val="32"/>
        </w:rPr>
      </w:pPr>
      <w:r>
        <w:rPr>
          <w:rFonts w:hint="eastAsia" w:ascii="仿宋" w:hAnsi="宋体" w:eastAsia="仿宋" w:cs="宋体"/>
          <w:color w:val="000000"/>
          <w:sz w:val="32"/>
          <w:szCs w:val="32"/>
        </w:rPr>
        <w:t xml:space="preserve">    一、根据党的路线、方针、政策和县委、县政府、市委政法委的部署，统一全县政法各部门的思想和行动。</w:t>
      </w:r>
    </w:p>
    <w:p>
      <w:pPr>
        <w:keepNext w:val="0"/>
        <w:keepLines w:val="0"/>
        <w:pageBreakBefore w:val="0"/>
        <w:shd w:val="clear" w:color="auto" w:fill="FFFFFF"/>
        <w:kinsoku/>
        <w:wordWrap/>
        <w:overflowPunct/>
        <w:topLinePunct w:val="0"/>
        <w:bidi w:val="0"/>
        <w:snapToGrid w:val="0"/>
        <w:spacing w:line="600" w:lineRule="atLeast"/>
        <w:textAlignment w:val="auto"/>
        <w:rPr>
          <w:rFonts w:ascii="仿宋_GB2312" w:hAnsi="宋体" w:eastAsia="仿宋_GB2312" w:cs="宋体"/>
          <w:color w:val="343434"/>
          <w:sz w:val="32"/>
          <w:szCs w:val="32"/>
        </w:rPr>
      </w:pPr>
      <w:r>
        <w:rPr>
          <w:rFonts w:hint="eastAsia" w:ascii="仿宋" w:hAnsi="宋体" w:eastAsia="仿宋" w:cs="宋体"/>
          <w:color w:val="000000"/>
          <w:sz w:val="32"/>
          <w:szCs w:val="32"/>
        </w:rPr>
        <w:t xml:space="preserve">    二、对一定时期内全县政法工作作出全局性部署，并督促贯彻落实。</w:t>
      </w:r>
    </w:p>
    <w:p>
      <w:pPr>
        <w:keepNext w:val="0"/>
        <w:keepLines w:val="0"/>
        <w:pageBreakBefore w:val="0"/>
        <w:shd w:val="clear" w:color="auto" w:fill="FFFFFF"/>
        <w:kinsoku/>
        <w:wordWrap/>
        <w:overflowPunct/>
        <w:topLinePunct w:val="0"/>
        <w:bidi w:val="0"/>
        <w:snapToGrid w:val="0"/>
        <w:spacing w:line="600" w:lineRule="atLeast"/>
        <w:textAlignment w:val="auto"/>
        <w:rPr>
          <w:rFonts w:ascii="仿宋_GB2312" w:hAnsi="宋体" w:eastAsia="仿宋_GB2312" w:cs="宋体"/>
          <w:color w:val="343434"/>
          <w:sz w:val="32"/>
          <w:szCs w:val="32"/>
        </w:rPr>
      </w:pPr>
      <w:r>
        <w:rPr>
          <w:rFonts w:hint="eastAsia" w:ascii="仿宋" w:hAnsi="宋体" w:eastAsia="仿宋" w:cs="宋体"/>
          <w:color w:val="000000"/>
          <w:sz w:val="32"/>
          <w:szCs w:val="32"/>
        </w:rPr>
        <w:t xml:space="preserve">    三、组织、协调、指导全县社会稳定和矛盾排查调处工作。</w:t>
      </w:r>
    </w:p>
    <w:p>
      <w:pPr>
        <w:keepNext w:val="0"/>
        <w:keepLines w:val="0"/>
        <w:pageBreakBefore w:val="0"/>
        <w:shd w:val="clear" w:color="auto" w:fill="FFFFFF"/>
        <w:kinsoku/>
        <w:wordWrap/>
        <w:overflowPunct/>
        <w:topLinePunct w:val="0"/>
        <w:bidi w:val="0"/>
        <w:snapToGrid w:val="0"/>
        <w:spacing w:line="600" w:lineRule="atLeast"/>
        <w:textAlignment w:val="auto"/>
        <w:rPr>
          <w:rFonts w:ascii="仿宋_GB2312" w:hAnsi="宋体" w:eastAsia="仿宋_GB2312" w:cs="宋体"/>
          <w:color w:val="343434"/>
          <w:sz w:val="32"/>
          <w:szCs w:val="32"/>
        </w:rPr>
      </w:pPr>
      <w:r>
        <w:rPr>
          <w:rFonts w:hint="eastAsia" w:ascii="仿宋" w:hAnsi="宋体" w:eastAsia="仿宋" w:cs="宋体"/>
          <w:color w:val="000000"/>
          <w:sz w:val="32"/>
          <w:szCs w:val="32"/>
        </w:rPr>
        <w:t xml:space="preserve">    四、检查县政法各部门执行法律法规和党的方针政策情况，结合实际研究制定严格公正执法、落实党的方针政策的具体措施。</w:t>
      </w:r>
    </w:p>
    <w:p>
      <w:pPr>
        <w:keepNext w:val="0"/>
        <w:keepLines w:val="0"/>
        <w:pageBreakBefore w:val="0"/>
        <w:shd w:val="clear" w:color="auto" w:fill="FFFFFF"/>
        <w:kinsoku/>
        <w:wordWrap/>
        <w:overflowPunct/>
        <w:topLinePunct w:val="0"/>
        <w:bidi w:val="0"/>
        <w:snapToGrid w:val="0"/>
        <w:spacing w:line="600" w:lineRule="atLeast"/>
        <w:textAlignment w:val="auto"/>
        <w:rPr>
          <w:rFonts w:ascii="仿宋_GB2312" w:hAnsi="宋体" w:eastAsia="仿宋_GB2312" w:cs="宋体"/>
          <w:color w:val="343434"/>
          <w:sz w:val="32"/>
          <w:szCs w:val="32"/>
        </w:rPr>
      </w:pPr>
      <w:r>
        <w:rPr>
          <w:rFonts w:hint="eastAsia" w:ascii="仿宋" w:hAnsi="宋体" w:eastAsia="仿宋" w:cs="宋体"/>
          <w:color w:val="000000"/>
          <w:sz w:val="32"/>
          <w:szCs w:val="32"/>
        </w:rPr>
        <w:t xml:space="preserve">    五、大力支持和严格监督县政法各部门依法行使职权，指导、协助县政法各部门在依法相互制约的同时密切配合，督促、推动大案要案查处工作，研究、协调有争议的重大、疑难案件。</w:t>
      </w:r>
    </w:p>
    <w:p>
      <w:pPr>
        <w:keepNext w:val="0"/>
        <w:keepLines w:val="0"/>
        <w:pageBreakBefore w:val="0"/>
        <w:shd w:val="clear" w:color="auto" w:fill="FFFFFF"/>
        <w:kinsoku/>
        <w:wordWrap/>
        <w:overflowPunct/>
        <w:topLinePunct w:val="0"/>
        <w:bidi w:val="0"/>
        <w:snapToGrid w:val="0"/>
        <w:spacing w:line="600" w:lineRule="atLeast"/>
        <w:textAlignment w:val="auto"/>
        <w:rPr>
          <w:rFonts w:ascii="仿宋_GB2312" w:hAnsi="宋体" w:eastAsia="仿宋_GB2312" w:cs="宋体"/>
          <w:color w:val="343434"/>
          <w:sz w:val="32"/>
          <w:szCs w:val="32"/>
        </w:rPr>
      </w:pPr>
      <w:r>
        <w:rPr>
          <w:rFonts w:hint="eastAsia" w:ascii="仿宋" w:hAnsi="宋体" w:eastAsia="仿宋" w:cs="宋体"/>
          <w:color w:val="000000"/>
          <w:sz w:val="32"/>
          <w:szCs w:val="32"/>
        </w:rPr>
        <w:t xml:space="preserve">    六、组织协调全县社会治安综合治理工作，充分发挥各职能部门作用，推进各项措施的落实。</w:t>
      </w:r>
    </w:p>
    <w:p>
      <w:pPr>
        <w:keepNext w:val="0"/>
        <w:keepLines w:val="0"/>
        <w:pageBreakBefore w:val="0"/>
        <w:shd w:val="clear" w:color="auto" w:fill="FFFFFF"/>
        <w:kinsoku/>
        <w:wordWrap/>
        <w:overflowPunct/>
        <w:topLinePunct w:val="0"/>
        <w:bidi w:val="0"/>
        <w:snapToGrid w:val="0"/>
        <w:spacing w:line="600" w:lineRule="atLeast"/>
        <w:textAlignment w:val="auto"/>
        <w:rPr>
          <w:rFonts w:ascii="仿宋_GB2312" w:hAnsi="宋体" w:eastAsia="仿宋_GB2312" w:cs="宋体"/>
          <w:color w:val="343434"/>
          <w:sz w:val="32"/>
          <w:szCs w:val="32"/>
        </w:rPr>
      </w:pPr>
      <w:r>
        <w:rPr>
          <w:rFonts w:hint="eastAsia" w:ascii="仿宋" w:hAnsi="宋体" w:eastAsia="仿宋" w:cs="宋体"/>
          <w:color w:val="000000"/>
          <w:sz w:val="32"/>
          <w:szCs w:val="32"/>
        </w:rPr>
        <w:t xml:space="preserve">    七、组织、协调、指导、督促全县法治建设工作。</w:t>
      </w:r>
    </w:p>
    <w:p>
      <w:pPr>
        <w:keepNext w:val="0"/>
        <w:keepLines w:val="0"/>
        <w:pageBreakBefore w:val="0"/>
        <w:shd w:val="clear" w:color="auto" w:fill="FFFFFF"/>
        <w:kinsoku/>
        <w:wordWrap/>
        <w:overflowPunct/>
        <w:topLinePunct w:val="0"/>
        <w:bidi w:val="0"/>
        <w:snapToGrid w:val="0"/>
        <w:spacing w:line="600" w:lineRule="atLeast"/>
        <w:textAlignment w:val="auto"/>
        <w:rPr>
          <w:rFonts w:ascii="仿宋_GB2312" w:hAnsi="宋体" w:eastAsia="仿宋_GB2312" w:cs="宋体"/>
          <w:color w:val="343434"/>
          <w:sz w:val="32"/>
          <w:szCs w:val="32"/>
        </w:rPr>
      </w:pPr>
      <w:r>
        <w:rPr>
          <w:rFonts w:hint="eastAsia" w:ascii="仿宋" w:hAnsi="宋体" w:eastAsia="仿宋" w:cs="宋体"/>
          <w:color w:val="000000"/>
          <w:sz w:val="32"/>
          <w:szCs w:val="32"/>
        </w:rPr>
        <w:t xml:space="preserve">    八、研究本地涉及国家安全稳定相关问题并作出决策。</w:t>
      </w:r>
    </w:p>
    <w:p>
      <w:pPr>
        <w:keepNext w:val="0"/>
        <w:keepLines w:val="0"/>
        <w:pageBreakBefore w:val="0"/>
        <w:shd w:val="clear" w:color="auto" w:fill="FFFFFF"/>
        <w:kinsoku/>
        <w:wordWrap/>
        <w:overflowPunct/>
        <w:topLinePunct w:val="0"/>
        <w:bidi w:val="0"/>
        <w:snapToGrid w:val="0"/>
        <w:spacing w:line="600" w:lineRule="atLeast"/>
        <w:textAlignment w:val="auto"/>
        <w:rPr>
          <w:rFonts w:ascii="仿宋_GB2312" w:hAnsi="宋体" w:eastAsia="仿宋_GB2312" w:cs="宋体"/>
          <w:color w:val="343434"/>
          <w:sz w:val="32"/>
          <w:szCs w:val="32"/>
        </w:rPr>
      </w:pPr>
      <w:r>
        <w:rPr>
          <w:rFonts w:hint="eastAsia" w:ascii="仿宋" w:hAnsi="宋体" w:eastAsia="仿宋" w:cs="宋体"/>
          <w:color w:val="000000"/>
          <w:sz w:val="32"/>
          <w:szCs w:val="32"/>
        </w:rPr>
        <w:t xml:space="preserve">    九、认真开展政法工作的调研和宣传工作，总结新经验，解决新问题。</w:t>
      </w:r>
    </w:p>
    <w:p>
      <w:pPr>
        <w:keepNext w:val="0"/>
        <w:keepLines w:val="0"/>
        <w:pageBreakBefore w:val="0"/>
        <w:shd w:val="clear" w:color="auto" w:fill="FFFFFF"/>
        <w:kinsoku/>
        <w:wordWrap/>
        <w:overflowPunct/>
        <w:topLinePunct w:val="0"/>
        <w:bidi w:val="0"/>
        <w:snapToGrid w:val="0"/>
        <w:spacing w:line="600" w:lineRule="atLeast"/>
        <w:textAlignment w:val="auto"/>
        <w:rPr>
          <w:rFonts w:ascii="仿宋_GB2312" w:hAnsi="宋体" w:eastAsia="仿宋_GB2312" w:cs="宋体"/>
          <w:color w:val="343434"/>
          <w:sz w:val="32"/>
          <w:szCs w:val="32"/>
        </w:rPr>
      </w:pPr>
      <w:r>
        <w:rPr>
          <w:rFonts w:hint="eastAsia" w:ascii="仿宋" w:hAnsi="宋体" w:eastAsia="仿宋" w:cs="宋体"/>
          <w:color w:val="000000"/>
          <w:sz w:val="32"/>
          <w:szCs w:val="32"/>
        </w:rPr>
        <w:t xml:space="preserve">    十、掌握全县政法队伍建设情况；研究加强政法队伍建设和领导班子建设的措施；协助纪检监察部门查处涉及政法领导干部的大案要案。</w:t>
      </w:r>
    </w:p>
    <w:p>
      <w:pPr>
        <w:keepNext w:val="0"/>
        <w:keepLines w:val="0"/>
        <w:pageBreakBefore w:val="0"/>
        <w:shd w:val="clear" w:color="auto" w:fill="FFFFFF"/>
        <w:kinsoku/>
        <w:wordWrap/>
        <w:overflowPunct/>
        <w:topLinePunct w:val="0"/>
        <w:bidi w:val="0"/>
        <w:snapToGrid w:val="0"/>
        <w:spacing w:line="600" w:lineRule="atLeast"/>
        <w:textAlignment w:val="auto"/>
        <w:rPr>
          <w:rFonts w:ascii="仿宋_GB2312" w:hAnsi="宋体" w:eastAsia="仿宋_GB2312" w:cs="宋体"/>
          <w:color w:val="343434"/>
          <w:sz w:val="32"/>
          <w:szCs w:val="32"/>
        </w:rPr>
      </w:pPr>
      <w:r>
        <w:rPr>
          <w:rFonts w:hint="eastAsia" w:ascii="仿宋" w:hAnsi="宋体" w:eastAsia="仿宋" w:cs="宋体"/>
          <w:color w:val="000000"/>
          <w:sz w:val="32"/>
          <w:szCs w:val="32"/>
        </w:rPr>
        <w:t xml:space="preserve">   十一、办理县委、县政府和市委政法委交办的其他事项。</w:t>
      </w:r>
    </w:p>
    <w:bookmarkEnd w:id="10"/>
    <w:p>
      <w:pPr>
        <w:keepNext w:val="0"/>
        <w:keepLines w:val="0"/>
        <w:pageBreakBefore w:val="0"/>
        <w:kinsoku/>
        <w:wordWrap/>
        <w:overflowPunct/>
        <w:topLinePunct w:val="0"/>
        <w:bidi w:val="0"/>
        <w:snapToGrid w:val="0"/>
        <w:spacing w:line="600" w:lineRule="atLeast"/>
        <w:ind w:firstLine="560"/>
        <w:textAlignment w:val="auto"/>
      </w:pPr>
      <w:r>
        <w:rPr>
          <w:rFonts w:eastAsia="方正仿宋_GBK"/>
          <w:color w:val="000000"/>
          <w:sz w:val="28"/>
        </w:rPr>
        <w:t>（三）工作保障措施</w:t>
      </w:r>
    </w:p>
    <w:bookmarkEnd w:id="9"/>
    <w:p>
      <w:pPr>
        <w:keepNext w:val="0"/>
        <w:keepLines w:val="0"/>
        <w:pageBreakBefore w:val="0"/>
        <w:widowControl w:val="0"/>
        <w:kinsoku/>
        <w:wordWrap/>
        <w:overflowPunct/>
        <w:topLinePunct w:val="0"/>
        <w:bidi w:val="0"/>
        <w:snapToGrid w:val="0"/>
        <w:spacing w:line="600" w:lineRule="atLeast"/>
        <w:ind w:firstLine="640" w:firstLineChars="200"/>
        <w:jc w:val="both"/>
        <w:textAlignment w:val="auto"/>
        <w:rPr>
          <w:rFonts w:ascii="仿宋" w:hAnsi="仿宋" w:eastAsia="仿宋" w:cs="仿宋_GB2312"/>
          <w:sz w:val="32"/>
          <w:szCs w:val="32"/>
        </w:rPr>
      </w:pPr>
      <w:r>
        <w:rPr>
          <w:rFonts w:hint="eastAsia" w:ascii="仿宋" w:hAnsi="仿宋" w:eastAsia="仿宋" w:cs="仿宋_GB2312"/>
          <w:sz w:val="32"/>
          <w:szCs w:val="32"/>
        </w:rPr>
        <w:t>2024年，将以党的二十大精神为指导，以建设更高水平的平安隆尧，确保全县大局稳定，</w:t>
      </w:r>
      <w:r>
        <w:rPr>
          <w:rFonts w:hint="eastAsia" w:ascii="仿宋" w:hAnsi="仿宋" w:eastAsia="仿宋"/>
          <w:sz w:val="32"/>
          <w:szCs w:val="32"/>
        </w:rPr>
        <w:t>助力“经济强县、美丽隆尧”建设</w:t>
      </w:r>
      <w:r>
        <w:rPr>
          <w:rFonts w:hint="eastAsia" w:ascii="仿宋" w:hAnsi="仿宋" w:eastAsia="仿宋" w:cs="仿宋_GB2312"/>
          <w:sz w:val="32"/>
          <w:szCs w:val="32"/>
        </w:rPr>
        <w:t>为目标，开展好九项工作：</w:t>
      </w:r>
    </w:p>
    <w:p>
      <w:pPr>
        <w:keepNext w:val="0"/>
        <w:keepLines w:val="0"/>
        <w:pageBreakBefore w:val="0"/>
        <w:widowControl w:val="0"/>
        <w:kinsoku/>
        <w:wordWrap/>
        <w:overflowPunct/>
        <w:topLinePunct w:val="0"/>
        <w:bidi w:val="0"/>
        <w:snapToGrid w:val="0"/>
        <w:spacing w:line="600" w:lineRule="atLeast"/>
        <w:ind w:firstLine="640" w:firstLineChars="200"/>
        <w:jc w:val="both"/>
        <w:textAlignment w:val="auto"/>
        <w:rPr>
          <w:rFonts w:ascii="仿宋" w:hAnsi="仿宋" w:eastAsia="仿宋" w:cs="仿宋_GB2312"/>
          <w:sz w:val="32"/>
          <w:szCs w:val="32"/>
        </w:rPr>
      </w:pPr>
      <w:r>
        <w:rPr>
          <w:rFonts w:hint="eastAsia" w:ascii="仿宋" w:hAnsi="仿宋" w:eastAsia="仿宋" w:cs="仿宋_GB2312"/>
          <w:sz w:val="32"/>
          <w:szCs w:val="32"/>
          <w:lang w:eastAsia="zh-CN"/>
        </w:rPr>
        <w:t>一是</w:t>
      </w:r>
      <w:r>
        <w:rPr>
          <w:rFonts w:hint="eastAsia" w:ascii="仿宋" w:hAnsi="仿宋" w:eastAsia="仿宋" w:cs="仿宋_GB2312"/>
          <w:sz w:val="32"/>
          <w:szCs w:val="32"/>
        </w:rPr>
        <w:t>维护国家政治安全。贯彻总体国家安全观，深入开展国家安全学习宣传活动。持续强化同各类邪教组织的斗争，巩固教育转化成果。圆满完成全国两会</w:t>
      </w:r>
      <w:bookmarkStart w:id="17" w:name="_GoBack"/>
      <w:bookmarkEnd w:id="17"/>
      <w:r>
        <w:rPr>
          <w:rFonts w:hint="eastAsia" w:ascii="仿宋" w:hAnsi="仿宋" w:eastAsia="仿宋" w:cs="仿宋_GB2312"/>
          <w:sz w:val="32"/>
          <w:szCs w:val="32"/>
        </w:rPr>
        <w:t>安全等重大安保维稳任务。督促落实对政治重点人的管控举措。</w:t>
      </w:r>
    </w:p>
    <w:p>
      <w:pPr>
        <w:keepNext w:val="0"/>
        <w:keepLines w:val="0"/>
        <w:pageBreakBefore w:val="0"/>
        <w:widowControl w:val="0"/>
        <w:kinsoku/>
        <w:wordWrap/>
        <w:overflowPunct/>
        <w:topLinePunct w:val="0"/>
        <w:bidi w:val="0"/>
        <w:snapToGrid w:val="0"/>
        <w:spacing w:line="600" w:lineRule="atLeast"/>
        <w:ind w:firstLine="636"/>
        <w:jc w:val="both"/>
        <w:textAlignment w:val="auto"/>
        <w:rPr>
          <w:rFonts w:ascii="仿宋" w:hAnsi="仿宋" w:eastAsia="仿宋"/>
          <w:sz w:val="32"/>
          <w:szCs w:val="32"/>
        </w:rPr>
      </w:pPr>
      <w:r>
        <w:rPr>
          <w:rFonts w:hint="eastAsia" w:ascii="仿宋" w:hAnsi="仿宋" w:eastAsia="仿宋" w:cs="仿宋_GB2312"/>
          <w:sz w:val="32"/>
          <w:szCs w:val="32"/>
          <w:lang w:eastAsia="zh-CN"/>
        </w:rPr>
        <w:t>二是</w:t>
      </w:r>
      <w:r>
        <w:rPr>
          <w:rFonts w:hint="eastAsia" w:ascii="仿宋" w:hAnsi="仿宋" w:eastAsia="仿宋" w:cs="仿宋_GB2312"/>
          <w:sz w:val="32"/>
          <w:szCs w:val="32"/>
        </w:rPr>
        <w:t>维护社会治安秩序。坚持扫黑除恶斗争常态化，深入摸排涉黑恶线索，加大打击力度，遏制黑恶违法犯罪反弹。</w:t>
      </w:r>
      <w:r>
        <w:rPr>
          <w:rFonts w:hint="eastAsia" w:ascii="仿宋" w:hAnsi="仿宋" w:eastAsia="仿宋"/>
          <w:spacing w:val="11"/>
          <w:sz w:val="32"/>
          <w:szCs w:val="32"/>
          <w:shd w:val="clear" w:color="auto" w:fill="FFFFFF"/>
        </w:rPr>
        <w:t>继续坚持政法机关</w:t>
      </w:r>
      <w:r>
        <w:rPr>
          <w:rFonts w:hint="eastAsia" w:ascii="仿宋" w:hAnsi="仿宋" w:eastAsia="仿宋"/>
          <w:sz w:val="32"/>
          <w:szCs w:val="32"/>
        </w:rPr>
        <w:t>全警参战、多警联动，常态化开展多种形式的巡逻防控新模式，并将巡防工作向农村基层、企业周边、治安薄弱部位延伸，扩大覆盖面，强化管控力。严厉打击严重暴力、侵财等影响群众安全感的突出犯罪，加大对电信网络诈骗犯罪的打击力度，保障人民群众的财产安全。</w:t>
      </w:r>
    </w:p>
    <w:p>
      <w:pPr>
        <w:keepNext w:val="0"/>
        <w:keepLines w:val="0"/>
        <w:pageBreakBefore w:val="0"/>
        <w:widowControl w:val="0"/>
        <w:kinsoku/>
        <w:wordWrap/>
        <w:overflowPunct/>
        <w:topLinePunct w:val="0"/>
        <w:bidi w:val="0"/>
        <w:snapToGrid w:val="0"/>
        <w:spacing w:line="600" w:lineRule="atLeast"/>
        <w:ind w:firstLine="636"/>
        <w:jc w:val="both"/>
        <w:textAlignment w:val="auto"/>
        <w:rPr>
          <w:rFonts w:ascii="仿宋" w:hAnsi="仿宋" w:eastAsia="仿宋"/>
          <w:sz w:val="32"/>
          <w:szCs w:val="32"/>
        </w:rPr>
      </w:pPr>
      <w:r>
        <w:rPr>
          <w:rFonts w:hint="eastAsia" w:ascii="仿宋" w:hAnsi="仿宋" w:eastAsia="仿宋"/>
          <w:sz w:val="32"/>
          <w:szCs w:val="32"/>
          <w:lang w:eastAsia="zh-CN"/>
        </w:rPr>
        <w:t>三是</w:t>
      </w:r>
      <w:r>
        <w:rPr>
          <w:rFonts w:hint="eastAsia" w:ascii="仿宋" w:hAnsi="仿宋" w:eastAsia="仿宋"/>
          <w:sz w:val="32"/>
          <w:szCs w:val="32"/>
        </w:rPr>
        <w:t>防范化解风险隐患。加强情报信息工作，密切关注涉稳动态，确保发现早、行动快、处置好。加强重点领域、重点人群的稳定风险防范工作，突出解决好房地产领域遗留问题，防止发生各类不稳定事件。稳步推进、妥善处置非法集资案件办理和涉案财产处置工作。加强矛盾纠纷排查调解工作，最大限度降低“民转刑”“越级访”等风险。</w:t>
      </w:r>
    </w:p>
    <w:p>
      <w:pPr>
        <w:keepNext w:val="0"/>
        <w:keepLines w:val="0"/>
        <w:pageBreakBefore w:val="0"/>
        <w:widowControl w:val="0"/>
        <w:kinsoku/>
        <w:wordWrap/>
        <w:overflowPunct/>
        <w:topLinePunct w:val="0"/>
        <w:bidi w:val="0"/>
        <w:snapToGrid w:val="0"/>
        <w:spacing w:line="600" w:lineRule="atLeast"/>
        <w:ind w:firstLine="636"/>
        <w:jc w:val="both"/>
        <w:textAlignment w:val="auto"/>
        <w:rPr>
          <w:rFonts w:ascii="仿宋" w:hAnsi="仿宋" w:eastAsia="仿宋"/>
          <w:sz w:val="32"/>
          <w:szCs w:val="32"/>
        </w:rPr>
      </w:pPr>
      <w:r>
        <w:rPr>
          <w:rFonts w:hint="eastAsia" w:ascii="仿宋" w:hAnsi="仿宋" w:eastAsia="仿宋"/>
          <w:sz w:val="32"/>
          <w:szCs w:val="32"/>
          <w:lang w:eastAsia="zh-CN"/>
        </w:rPr>
        <w:t>四是</w:t>
      </w:r>
      <w:r>
        <w:rPr>
          <w:rFonts w:hint="eastAsia" w:ascii="仿宋" w:hAnsi="仿宋" w:eastAsia="仿宋"/>
          <w:sz w:val="32"/>
          <w:szCs w:val="32"/>
        </w:rPr>
        <w:t>坚持和发展新时代“枫桥经验”。引导、支持和鼓励全县各级各部门，打造具有隆尧特色的新时代“枫桥经验”新模式，培树一批过得硬的示范点，推出一批在市以上具有影响力的亮点工作。加强人民调解组织建设，加大对个人品牌调解室的支持力度，构建</w:t>
      </w:r>
      <w:r>
        <w:rPr>
          <w:rFonts w:hint="eastAsia" w:ascii="仿宋" w:hAnsi="仿宋" w:eastAsia="仿宋" w:cs="仿宋"/>
          <w:sz w:val="32"/>
          <w:szCs w:val="32"/>
        </w:rPr>
        <w:t>矛盾纠纷联调联治大网络</w:t>
      </w:r>
      <w:r>
        <w:rPr>
          <w:rFonts w:hint="eastAsia" w:ascii="仿宋" w:hAnsi="仿宋" w:eastAsia="仿宋"/>
          <w:sz w:val="32"/>
          <w:szCs w:val="32"/>
        </w:rPr>
        <w:t>。坚持“平安建设进万</w:t>
      </w:r>
      <w:r>
        <w:rPr>
          <w:rFonts w:hint="eastAsia" w:ascii="仿宋" w:hAnsi="仿宋" w:eastAsia="仿宋"/>
          <w:spacing w:val="-6"/>
          <w:sz w:val="32"/>
          <w:szCs w:val="32"/>
        </w:rPr>
        <w:t>家”活动常态化，切实巩固群防群治的平安建设工作机制和成果</w:t>
      </w:r>
      <w:r>
        <w:rPr>
          <w:rFonts w:hint="eastAsia" w:ascii="仿宋" w:hAnsi="仿宋" w:eastAsia="仿宋"/>
          <w:sz w:val="32"/>
          <w:szCs w:val="32"/>
        </w:rPr>
        <w:t>。</w:t>
      </w:r>
    </w:p>
    <w:p>
      <w:pPr>
        <w:keepNext w:val="0"/>
        <w:keepLines w:val="0"/>
        <w:pageBreakBefore w:val="0"/>
        <w:kinsoku/>
        <w:wordWrap/>
        <w:overflowPunct/>
        <w:topLinePunct w:val="0"/>
        <w:bidi w:val="0"/>
        <w:snapToGrid w:val="0"/>
        <w:spacing w:line="600" w:lineRule="atLeast"/>
        <w:ind w:firstLine="640"/>
        <w:textAlignment w:val="auto"/>
        <w:rPr>
          <w:rFonts w:ascii="仿宋" w:hAnsi="仿宋" w:eastAsia="仿宋"/>
          <w:sz w:val="32"/>
          <w:szCs w:val="32"/>
        </w:rPr>
      </w:pPr>
      <w:r>
        <w:rPr>
          <w:rFonts w:hint="eastAsia" w:ascii="仿宋" w:hAnsi="仿宋" w:eastAsia="仿宋"/>
          <w:sz w:val="32"/>
          <w:szCs w:val="32"/>
          <w:lang w:eastAsia="zh-CN"/>
        </w:rPr>
        <w:t>五是</w:t>
      </w:r>
      <w:r>
        <w:rPr>
          <w:rFonts w:hint="eastAsia" w:ascii="仿宋" w:hAnsi="仿宋" w:eastAsia="仿宋" w:cs="仿宋_GB2312"/>
          <w:sz w:val="32"/>
          <w:szCs w:val="32"/>
        </w:rPr>
        <w:t>深入推进信访法治化。</w:t>
      </w:r>
      <w:r>
        <w:rPr>
          <w:rFonts w:hint="eastAsia" w:ascii="仿宋" w:hAnsi="仿宋" w:eastAsia="仿宋"/>
          <w:sz w:val="32"/>
          <w:szCs w:val="32"/>
        </w:rPr>
        <w:t>严格落实“乡镇书记周六接访日”</w:t>
      </w:r>
      <w:r>
        <w:rPr>
          <w:rFonts w:hint="eastAsia" w:ascii="仿宋" w:hAnsi="仿宋" w:eastAsia="仿宋"/>
          <w:kern w:val="2"/>
          <w:sz w:val="32"/>
          <w:szCs w:val="32"/>
        </w:rPr>
        <w:t>，形成“法治支撑、社会参与、多元化解”的大信访工作格局。全面加强对初信初访的督办化解和回访力度，使初次信访事项化解率不低于90%，努力实现“让群众最多访一次”目标。</w:t>
      </w:r>
      <w:r>
        <w:rPr>
          <w:rFonts w:hint="eastAsia" w:ascii="仿宋" w:hAnsi="仿宋" w:eastAsia="仿宋"/>
          <w:sz w:val="32"/>
          <w:szCs w:val="32"/>
        </w:rPr>
        <w:t>全力化解重复信访积案</w:t>
      </w:r>
      <w:r>
        <w:rPr>
          <w:rFonts w:hint="eastAsia" w:ascii="仿宋" w:hAnsi="仿宋" w:eastAsia="仿宋"/>
          <w:kern w:val="2"/>
          <w:sz w:val="32"/>
          <w:szCs w:val="32"/>
        </w:rPr>
        <w:t>。对中联办、省联办交办的三批信访积案开展全方位“回头看”</w:t>
      </w:r>
      <w:r>
        <w:rPr>
          <w:rFonts w:hint="eastAsia" w:ascii="仿宋" w:hAnsi="仿宋" w:eastAsia="仿宋"/>
          <w:sz w:val="32"/>
          <w:szCs w:val="32"/>
        </w:rPr>
        <w:t>，</w:t>
      </w:r>
      <w:r>
        <w:rPr>
          <w:rFonts w:hint="eastAsia" w:ascii="仿宋" w:hAnsi="仿宋" w:eastAsia="仿宋"/>
          <w:kern w:val="2"/>
          <w:sz w:val="32"/>
          <w:szCs w:val="32"/>
        </w:rPr>
        <w:t>限期办结销号。</w:t>
      </w:r>
      <w:r>
        <w:rPr>
          <w:rFonts w:hint="eastAsia" w:ascii="仿宋" w:hAnsi="仿宋" w:eastAsia="仿宋"/>
          <w:sz w:val="32"/>
          <w:szCs w:val="32"/>
        </w:rPr>
        <w:t>精心做好敏感时期信访保障</w:t>
      </w:r>
      <w:r>
        <w:rPr>
          <w:rFonts w:hint="eastAsia" w:ascii="仿宋" w:hAnsi="仿宋" w:eastAsia="仿宋"/>
          <w:kern w:val="2"/>
          <w:sz w:val="32"/>
          <w:szCs w:val="32"/>
        </w:rPr>
        <w:t>，坚决实现“三个不发生”的工作目标：即不发生大规模集体上访和群体性事件，不发生涉访人员极端恶性事件，不发生问题处置不当引发的媒体负面炒作事件。</w:t>
      </w:r>
      <w:r>
        <w:rPr>
          <w:rFonts w:hint="eastAsia" w:ascii="仿宋" w:hAnsi="仿宋" w:eastAsia="仿宋"/>
          <w:sz w:val="32"/>
          <w:szCs w:val="32"/>
        </w:rPr>
        <w:t>坚守法律、政策底线，依法打击</w:t>
      </w:r>
      <w:r>
        <w:rPr>
          <w:rFonts w:hint="eastAsia" w:ascii="仿宋" w:hAnsi="仿宋" w:eastAsia="仿宋"/>
          <w:kern w:val="2"/>
          <w:sz w:val="32"/>
          <w:szCs w:val="32"/>
        </w:rPr>
        <w:t>以访施压、以访谋利的违法犯罪行为</w:t>
      </w:r>
      <w:r>
        <w:rPr>
          <w:rFonts w:hint="eastAsia" w:ascii="仿宋" w:hAnsi="仿宋" w:eastAsia="仿宋"/>
          <w:sz w:val="32"/>
          <w:szCs w:val="32"/>
        </w:rPr>
        <w:t>，</w:t>
      </w:r>
      <w:r>
        <w:rPr>
          <w:rFonts w:hint="eastAsia" w:ascii="仿宋" w:hAnsi="仿宋" w:eastAsia="仿宋"/>
          <w:kern w:val="2"/>
          <w:sz w:val="32"/>
          <w:szCs w:val="32"/>
        </w:rPr>
        <w:t>坚决杜绝“法内问题法外解决”。</w:t>
      </w:r>
      <w:r>
        <w:rPr>
          <w:rFonts w:hint="eastAsia" w:ascii="仿宋" w:hAnsi="仿宋" w:eastAsia="仿宋"/>
          <w:sz w:val="32"/>
          <w:szCs w:val="32"/>
        </w:rPr>
        <w:t>大力</w:t>
      </w:r>
      <w:r>
        <w:rPr>
          <w:rFonts w:hint="eastAsia" w:ascii="仿宋" w:hAnsi="仿宋" w:eastAsia="仿宋"/>
          <w:kern w:val="2"/>
          <w:sz w:val="32"/>
          <w:szCs w:val="32"/>
        </w:rPr>
        <w:t>开展《信访工作条例》落实年活动</w:t>
      </w:r>
      <w:r>
        <w:rPr>
          <w:rFonts w:hint="eastAsia" w:ascii="仿宋" w:hAnsi="仿宋" w:eastAsia="仿宋"/>
          <w:sz w:val="32"/>
          <w:szCs w:val="32"/>
        </w:rPr>
        <w:t>，根据</w:t>
      </w:r>
      <w:r>
        <w:rPr>
          <w:rFonts w:hint="eastAsia" w:ascii="仿宋" w:hAnsi="仿宋" w:eastAsia="仿宋"/>
          <w:kern w:val="2"/>
          <w:sz w:val="32"/>
          <w:szCs w:val="32"/>
        </w:rPr>
        <w:t>《信访法治化工作指南》</w:t>
      </w:r>
      <w:r>
        <w:rPr>
          <w:rFonts w:hint="eastAsia" w:ascii="仿宋" w:hAnsi="仿宋" w:eastAsia="仿宋"/>
          <w:sz w:val="32"/>
          <w:szCs w:val="32"/>
        </w:rPr>
        <w:t>，广泛展示</w:t>
      </w:r>
      <w:r>
        <w:rPr>
          <w:rFonts w:hint="eastAsia" w:ascii="仿宋" w:hAnsi="仿宋" w:eastAsia="仿宋"/>
          <w:kern w:val="2"/>
          <w:sz w:val="32"/>
          <w:szCs w:val="32"/>
        </w:rPr>
        <w:t>“依法依规信访‘路线图’”、“党委和政府信访部门依法依规处理信访事项‘导引图’”，积极营造办事依法、遇事找法、解决问题用法、化解矛盾靠法的良好环境。</w:t>
      </w:r>
    </w:p>
    <w:p>
      <w:pPr>
        <w:keepNext w:val="0"/>
        <w:keepLines w:val="0"/>
        <w:pageBreakBefore w:val="0"/>
        <w:widowControl w:val="0"/>
        <w:kinsoku/>
        <w:wordWrap/>
        <w:overflowPunct/>
        <w:topLinePunct w:val="0"/>
        <w:bidi w:val="0"/>
        <w:snapToGrid w:val="0"/>
        <w:spacing w:line="600" w:lineRule="atLeast"/>
        <w:ind w:firstLine="636"/>
        <w:jc w:val="both"/>
        <w:textAlignment w:val="auto"/>
        <w:rPr>
          <w:rFonts w:ascii="仿宋" w:hAnsi="仿宋" w:eastAsia="仿宋" w:cs="仿宋_GB2312"/>
          <w:sz w:val="32"/>
          <w:szCs w:val="32"/>
        </w:rPr>
      </w:pPr>
      <w:r>
        <w:rPr>
          <w:rFonts w:hint="eastAsia" w:ascii="仿宋" w:hAnsi="仿宋" w:eastAsia="仿宋"/>
          <w:sz w:val="32"/>
          <w:szCs w:val="32"/>
          <w:lang w:eastAsia="zh-CN"/>
        </w:rPr>
        <w:t>六是</w:t>
      </w:r>
      <w:r>
        <w:rPr>
          <w:rFonts w:hint="eastAsia" w:ascii="仿宋" w:hAnsi="仿宋" w:eastAsia="仿宋"/>
          <w:sz w:val="32"/>
          <w:szCs w:val="32"/>
        </w:rPr>
        <w:t>加强法治创建工作。组织协调县委法治办，引领全县各相关部门，以创建法治政府为龙头，开展多种形式的法治创建活动，推出更多具有时代意义、进步意义的法治人物、法治范例。加强培树、推荐工作，争取涌现更多国家和省级民主法治示范村。强化司法执法监督，加大涉法涉诉信访问题化解力度，减少信访上行隐患。加大“八五”普法力度，推动法治宣传教育进基层，营造更加浓厚的法治氛围。</w:t>
      </w:r>
    </w:p>
    <w:p>
      <w:pPr>
        <w:keepNext w:val="0"/>
        <w:keepLines w:val="0"/>
        <w:pageBreakBefore w:val="0"/>
        <w:widowControl w:val="0"/>
        <w:kinsoku/>
        <w:wordWrap/>
        <w:overflowPunct/>
        <w:topLinePunct w:val="0"/>
        <w:bidi w:val="0"/>
        <w:snapToGrid w:val="0"/>
        <w:spacing w:line="600" w:lineRule="atLeast"/>
        <w:ind w:firstLine="640" w:firstLineChars="200"/>
        <w:jc w:val="both"/>
        <w:textAlignment w:val="auto"/>
        <w:rPr>
          <w:rFonts w:ascii="仿宋" w:hAnsi="仿宋" w:eastAsia="仿宋" w:cs="仿宋_GB2312"/>
          <w:sz w:val="32"/>
          <w:szCs w:val="32"/>
        </w:rPr>
      </w:pPr>
      <w:r>
        <w:rPr>
          <w:rFonts w:hint="eastAsia" w:ascii="仿宋" w:hAnsi="仿宋" w:eastAsia="仿宋" w:cs="仿宋_GB2312"/>
          <w:sz w:val="32"/>
          <w:szCs w:val="32"/>
        </w:rPr>
        <w:t>七</w:t>
      </w:r>
      <w:r>
        <w:rPr>
          <w:rFonts w:hint="eastAsia" w:ascii="仿宋" w:hAnsi="仿宋" w:eastAsia="仿宋" w:cs="仿宋_GB2312"/>
          <w:sz w:val="32"/>
          <w:szCs w:val="32"/>
          <w:lang w:eastAsia="zh-CN"/>
        </w:rPr>
        <w:t>是</w:t>
      </w:r>
      <w:r>
        <w:rPr>
          <w:rFonts w:hint="eastAsia" w:ascii="仿宋" w:hAnsi="仿宋" w:eastAsia="仿宋" w:cs="仿宋_GB2312"/>
          <w:sz w:val="32"/>
          <w:szCs w:val="32"/>
        </w:rPr>
        <w:t>优化法治化营商环境。推动政法机关重商尊商爱商护商制度化规范化，营造“法治是最好的营商环境”的浓厚氛围。深入开展“四型机关建设”活动，深入推进政法机关“放管服”改革，</w:t>
      </w:r>
      <w:r>
        <w:rPr>
          <w:rFonts w:hint="eastAsia" w:ascii="仿宋" w:hAnsi="仿宋" w:eastAsia="仿宋" w:cs="黑体"/>
          <w:sz w:val="32"/>
          <w:szCs w:val="32"/>
        </w:rPr>
        <w:t>深化涉企矛盾纠纷多元化解机制</w:t>
      </w:r>
      <w:r>
        <w:rPr>
          <w:rFonts w:hint="eastAsia" w:ascii="仿宋" w:hAnsi="仿宋" w:eastAsia="仿宋" w:cs="仿宋_GB2312"/>
          <w:sz w:val="32"/>
          <w:szCs w:val="32"/>
        </w:rPr>
        <w:t>，把更多的法治力量整合到经济建设第一线，大力营造安全稳定的社会环境、公平正义的法治环境、平安包容的创业环境。</w:t>
      </w:r>
    </w:p>
    <w:p>
      <w:pPr>
        <w:keepNext w:val="0"/>
        <w:keepLines w:val="0"/>
        <w:pageBreakBefore w:val="0"/>
        <w:widowControl w:val="0"/>
        <w:kinsoku/>
        <w:wordWrap/>
        <w:overflowPunct/>
        <w:topLinePunct w:val="0"/>
        <w:bidi w:val="0"/>
        <w:snapToGrid w:val="0"/>
        <w:spacing w:line="600" w:lineRule="atLeast"/>
        <w:ind w:firstLine="640" w:firstLineChars="200"/>
        <w:jc w:val="both"/>
        <w:textAlignment w:val="auto"/>
        <w:rPr>
          <w:rFonts w:ascii="仿宋" w:hAnsi="仿宋" w:eastAsia="仿宋" w:cs="仿宋_GB2312"/>
          <w:sz w:val="32"/>
          <w:szCs w:val="32"/>
        </w:rPr>
      </w:pPr>
      <w:r>
        <w:rPr>
          <w:rFonts w:hint="eastAsia" w:ascii="仿宋" w:hAnsi="仿宋" w:eastAsia="仿宋" w:cs="仿宋_GB2312"/>
          <w:sz w:val="32"/>
          <w:szCs w:val="32"/>
          <w:lang w:eastAsia="zh-CN"/>
        </w:rPr>
        <w:t>八是</w:t>
      </w:r>
      <w:r>
        <w:rPr>
          <w:rFonts w:hint="eastAsia" w:ascii="仿宋" w:hAnsi="仿宋" w:eastAsia="仿宋" w:cs="仿宋_GB2312"/>
          <w:sz w:val="32"/>
          <w:szCs w:val="32"/>
        </w:rPr>
        <w:t>加强机关政治建设。深入学习贯彻《中国共产党政法工作条例》，全面加强党对政法工作的绝对领导，确保把党的路线方针政策落实到位。认真落实党风廉政建设主体责任，积极开展政治性警示教育，巩固政法领域反腐败成果。持续整治政法队伍存在的顽瘴痼疾，巩固教育整顿成果。强化政法队伍纪律作风建设，推动群众安全感和满意度“双提升”。</w:t>
      </w:r>
    </w:p>
    <w:p>
      <w:pPr>
        <w:keepNext w:val="0"/>
        <w:keepLines w:val="0"/>
        <w:pageBreakBefore w:val="0"/>
        <w:widowControl w:val="0"/>
        <w:kinsoku/>
        <w:wordWrap/>
        <w:overflowPunct/>
        <w:topLinePunct w:val="0"/>
        <w:autoSpaceDE/>
        <w:autoSpaceDN/>
        <w:bidi w:val="0"/>
        <w:adjustRightInd/>
        <w:snapToGrid w:val="0"/>
        <w:spacing w:line="600" w:lineRule="atLeast"/>
        <w:ind w:firstLine="640" w:firstLineChars="200"/>
        <w:jc w:val="both"/>
        <w:textAlignment w:val="auto"/>
        <w:rPr>
          <w:rFonts w:ascii="仿宋" w:hAnsi="仿宋" w:eastAsia="仿宋" w:cs="仿宋_GB2312"/>
          <w:sz w:val="32"/>
          <w:szCs w:val="32"/>
        </w:rPr>
      </w:pPr>
      <w:r>
        <w:rPr>
          <w:rFonts w:hint="eastAsia" w:ascii="仿宋" w:hAnsi="仿宋" w:eastAsia="仿宋" w:cs="仿宋_GB2312"/>
          <w:sz w:val="32"/>
          <w:szCs w:val="32"/>
        </w:rPr>
        <w:t>九</w:t>
      </w:r>
      <w:r>
        <w:rPr>
          <w:rFonts w:hint="eastAsia" w:ascii="仿宋" w:hAnsi="仿宋" w:eastAsia="仿宋" w:cs="仿宋_GB2312"/>
          <w:sz w:val="32"/>
          <w:szCs w:val="32"/>
          <w:lang w:eastAsia="zh-CN"/>
        </w:rPr>
        <w:t>是</w:t>
      </w:r>
      <w:r>
        <w:rPr>
          <w:rFonts w:hint="eastAsia" w:ascii="仿宋" w:hAnsi="仿宋" w:eastAsia="仿宋" w:cs="仿宋_GB2312"/>
          <w:sz w:val="32"/>
          <w:szCs w:val="32"/>
        </w:rPr>
        <w:t>加强指标考核工作。围绕承担的平安建设、法治建设指标任务，进一步明确考核细则，细化考核标准，把考核工作做细、做实。密切关注上级考核动态，及时对接上级考核部门，精准调整考核工作方向，争取多得分、少丢分，最大限度地确保颗粒归仓，力争取得更好成绩。</w:t>
      </w:r>
    </w:p>
    <w:p>
      <w:pPr>
        <w:keepNext w:val="0"/>
        <w:keepLines w:val="0"/>
        <w:pageBreakBefore w:val="0"/>
        <w:kinsoku/>
        <w:wordWrap/>
        <w:overflowPunct/>
        <w:topLinePunct w:val="0"/>
        <w:autoSpaceDE/>
        <w:autoSpaceDN/>
        <w:bidi w:val="0"/>
        <w:adjustRightInd/>
        <w:snapToGrid w:val="0"/>
        <w:spacing w:line="600" w:lineRule="atLeast"/>
        <w:ind w:firstLine="640"/>
        <w:textAlignment w:val="auto"/>
        <w:outlineLvl w:val="2"/>
        <w:rPr>
          <w:rFonts w:hint="eastAsia" w:ascii="黑体" w:hAnsi="黑体" w:eastAsia="黑体" w:cs="黑体"/>
          <w:color w:val="000000"/>
          <w:sz w:val="32"/>
          <w:lang w:eastAsia="zh-CN"/>
        </w:rPr>
      </w:pPr>
      <w:bookmarkStart w:id="11" w:name="_Toc_3_3_0000000015"/>
      <w:r>
        <w:rPr>
          <w:rFonts w:ascii="黑体" w:hAnsi="黑体" w:eastAsia="黑体" w:cs="黑体"/>
          <w:color w:val="000000"/>
          <w:sz w:val="32"/>
        </w:rPr>
        <w:t>六、部门主管专项资金预算安排情况及绩效目标</w:t>
      </w:r>
      <w:bookmarkEnd w:id="11"/>
    </w:p>
    <w:p>
      <w:pPr>
        <w:pStyle w:val="23"/>
        <w:keepNext w:val="0"/>
        <w:keepLines w:val="0"/>
        <w:pageBreakBefore w:val="0"/>
        <w:kinsoku/>
        <w:wordWrap/>
        <w:overflowPunct/>
        <w:topLinePunct w:val="0"/>
        <w:autoSpaceDE/>
        <w:autoSpaceDN/>
        <w:bidi w:val="0"/>
        <w:adjustRightInd/>
        <w:snapToGrid w:val="0"/>
        <w:spacing w:line="600" w:lineRule="atLeast"/>
        <w:textAlignment w:val="auto"/>
        <w:sectPr>
          <w:pgSz w:w="11900" w:h="16840"/>
          <w:pgMar w:top="1928" w:right="1417" w:bottom="1417" w:left="1417" w:header="720" w:footer="720" w:gutter="0"/>
          <w:pgNumType w:fmt="decimal"/>
          <w:cols w:space="0" w:num="1"/>
          <w:rtlGutter w:val="0"/>
          <w:docGrid w:linePitch="0" w:charSpace="0"/>
        </w:sectPr>
      </w:pPr>
      <w:r>
        <w:rPr>
          <w:rFonts w:hint="eastAsia" w:ascii="仿宋" w:hAnsi="仿宋" w:eastAsia="仿宋" w:cs="黑体"/>
          <w:color w:val="000000"/>
          <w:sz w:val="32"/>
          <w:lang w:eastAsia="zh-CN"/>
        </w:rPr>
        <w:t>我部门2024年度无专项资金预算。</w:t>
      </w:r>
    </w:p>
    <w:p>
      <w:pPr>
        <w:spacing w:before="10" w:after="10" w:line="360" w:lineRule="auto"/>
        <w:ind w:firstLine="640"/>
        <w:outlineLvl w:val="2"/>
        <w:sectPr>
          <w:pgSz w:w="16840" w:h="11900" w:orient="landscape"/>
          <w:pgMar w:top="1361" w:right="1020" w:bottom="1134" w:left="1020" w:header="720" w:footer="720" w:gutter="0"/>
          <w:pgNumType w:fmt="decimal"/>
          <w:cols w:space="720" w:num="1"/>
        </w:sectPr>
      </w:pPr>
      <w:bookmarkStart w:id="12" w:name="_Toc_3_3_0000000016"/>
      <w:r>
        <w:rPr>
          <w:rFonts w:ascii="黑体" w:hAnsi="黑体" w:eastAsia="黑体" w:cs="黑体"/>
          <w:color w:val="000000"/>
          <w:sz w:val="32"/>
        </w:rPr>
        <w:t>七、部门项目预算安排情况及绩效目标</w:t>
      </w:r>
      <w:bookmarkEnd w:id="12"/>
    </w:p>
    <w:p>
      <w:pPr>
        <w:ind w:firstLine="560"/>
      </w:pPr>
      <w:r>
        <w:rPr>
          <w:rFonts w:ascii="方正仿宋_GBK" w:hAnsi="方正仿宋_GBK" w:eastAsia="方正仿宋_GBK" w:cs="方正仿宋_GBK"/>
          <w:color w:val="000000"/>
          <w:sz w:val="28"/>
        </w:rPr>
        <w:t>1、见义勇为奖励基金绩效目标表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13052524P000010102579</w:t>
            </w:r>
          </w:p>
        </w:tc>
        <w:tc>
          <w:tcPr>
            <w:tcW w:w="2835" w:type="dxa"/>
            <w:vAlign w:val="center"/>
          </w:tcPr>
          <w:p>
            <w:pPr>
              <w:pStyle w:val="10"/>
            </w:pPr>
            <w:r>
              <w:t>项目名称</w:t>
            </w:r>
          </w:p>
        </w:tc>
        <w:tc>
          <w:tcPr>
            <w:tcW w:w="6094" w:type="dxa"/>
            <w:gridSpan w:val="3"/>
            <w:vAlign w:val="center"/>
          </w:tcPr>
          <w:p>
            <w:pPr>
              <w:pStyle w:val="12"/>
            </w:pPr>
            <w:r>
              <w:t>见义勇为奖励基金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及时奖励见义勇为先进人员，弘扬正气，促进社会和谐稳定。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lang w:eastAsia="zh-CN"/>
              </w:rPr>
            </w:pPr>
            <w:r>
              <w:rPr>
                <w:rFonts w:hint="eastAsia"/>
                <w:lang w:eastAsia="zh-CN"/>
              </w:rPr>
              <w:t>40%</w:t>
            </w:r>
          </w:p>
        </w:tc>
        <w:tc>
          <w:tcPr>
            <w:tcW w:w="2835" w:type="dxa"/>
            <w:vAlign w:val="center"/>
          </w:tcPr>
          <w:p>
            <w:pPr>
              <w:pStyle w:val="13"/>
              <w:rPr>
                <w:rFonts w:hint="eastAsia"/>
                <w:lang w:eastAsia="zh-CN"/>
              </w:rPr>
            </w:pPr>
            <w:r>
              <w:rPr>
                <w:rFonts w:hint="eastAsia"/>
                <w:lang w:eastAsia="zh-CN"/>
              </w:rPr>
              <w:t>60%</w:t>
            </w:r>
          </w:p>
        </w:tc>
        <w:tc>
          <w:tcPr>
            <w:tcW w:w="2551" w:type="dxa"/>
            <w:vAlign w:val="center"/>
          </w:tcPr>
          <w:p>
            <w:pPr>
              <w:pStyle w:val="13"/>
              <w:rPr>
                <w:rFonts w:hint="eastAsia"/>
                <w:lang w:eastAsia="zh-CN"/>
              </w:rPr>
            </w:pPr>
            <w:r>
              <w:rPr>
                <w:rFonts w:hint="eastAsia"/>
                <w:lang w:eastAsia="zh-CN"/>
              </w:rPr>
              <w:t>80%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1.及时奖励见义勇为先进人员，弘扬正气，促进社会和谐稳定。</w:t>
            </w:r>
          </w:p>
        </w:tc>
      </w:tr>
    </w:tbl>
    <w:p>
      <w:pPr>
        <w:spacing w:line="2" w:lineRule="exact"/>
        <w:jc w:val="center"/>
      </w:pP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869"/>
        <w:gridCol w:w="2785"/>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4869" w:type="dxa"/>
            <w:vAlign w:val="center"/>
          </w:tcPr>
          <w:p>
            <w:pPr>
              <w:pStyle w:val="10"/>
            </w:pPr>
            <w:r>
              <w:t>绩效指标描述</w:t>
            </w:r>
          </w:p>
        </w:tc>
        <w:tc>
          <w:tcPr>
            <w:tcW w:w="2785"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帮扶见义勇为人次</w:t>
            </w:r>
          </w:p>
        </w:tc>
        <w:tc>
          <w:tcPr>
            <w:tcW w:w="4869" w:type="dxa"/>
            <w:vAlign w:val="center"/>
          </w:tcPr>
          <w:p>
            <w:pPr>
              <w:pStyle w:val="12"/>
            </w:pPr>
            <w:r>
              <w:t>帮扶见义勇为人次</w:t>
            </w:r>
          </w:p>
        </w:tc>
        <w:tc>
          <w:tcPr>
            <w:tcW w:w="2785" w:type="dxa"/>
            <w:vAlign w:val="center"/>
          </w:tcPr>
          <w:p>
            <w:pPr>
              <w:pStyle w:val="12"/>
            </w:pPr>
            <w:r>
              <w:t>全部奖励</w:t>
            </w:r>
          </w:p>
        </w:tc>
        <w:tc>
          <w:tcPr>
            <w:tcW w:w="1276" w:type="dxa"/>
            <w:vAlign w:val="center"/>
          </w:tcPr>
          <w:p>
            <w:pPr>
              <w:pStyle w:val="12"/>
            </w:pPr>
            <w:r>
              <w:t>冀财行（2015）88号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群众活动参与率</w:t>
            </w:r>
          </w:p>
        </w:tc>
        <w:tc>
          <w:tcPr>
            <w:tcW w:w="4869" w:type="dxa"/>
            <w:vAlign w:val="center"/>
          </w:tcPr>
          <w:p>
            <w:pPr>
              <w:pStyle w:val="12"/>
            </w:pPr>
            <w:r>
              <w:t>群众活动参与率</w:t>
            </w:r>
          </w:p>
        </w:tc>
        <w:tc>
          <w:tcPr>
            <w:tcW w:w="2785" w:type="dxa"/>
            <w:vAlign w:val="center"/>
          </w:tcPr>
          <w:p>
            <w:pPr>
              <w:pStyle w:val="12"/>
            </w:pPr>
            <w:r>
              <w:t>≥95%</w:t>
            </w:r>
          </w:p>
        </w:tc>
        <w:tc>
          <w:tcPr>
            <w:tcW w:w="1276" w:type="dxa"/>
            <w:vAlign w:val="center"/>
          </w:tcPr>
          <w:p>
            <w:pPr>
              <w:pStyle w:val="12"/>
            </w:pPr>
            <w:r>
              <w:t>冀财行（2015）88号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4869" w:type="dxa"/>
            <w:vAlign w:val="center"/>
          </w:tcPr>
          <w:p>
            <w:pPr>
              <w:pStyle w:val="12"/>
            </w:pPr>
            <w:r>
              <w:t>各项任务完成及时率（%）</w:t>
            </w:r>
          </w:p>
        </w:tc>
        <w:tc>
          <w:tcPr>
            <w:tcW w:w="2785" w:type="dxa"/>
            <w:vAlign w:val="center"/>
          </w:tcPr>
          <w:p>
            <w:pPr>
              <w:pStyle w:val="12"/>
            </w:pPr>
            <w:r>
              <w:t>≥100%</w:t>
            </w:r>
          </w:p>
        </w:tc>
        <w:tc>
          <w:tcPr>
            <w:tcW w:w="1276" w:type="dxa"/>
            <w:vAlign w:val="center"/>
          </w:tcPr>
          <w:p>
            <w:pPr>
              <w:pStyle w:val="12"/>
            </w:pPr>
            <w:r>
              <w:t>冀财行（2015）88号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4869" w:type="dxa"/>
            <w:vAlign w:val="center"/>
          </w:tcPr>
          <w:p>
            <w:pPr>
              <w:pStyle w:val="12"/>
            </w:pPr>
            <w:r>
              <w:t>资金成本</w:t>
            </w:r>
          </w:p>
        </w:tc>
        <w:tc>
          <w:tcPr>
            <w:tcW w:w="2785" w:type="dxa"/>
            <w:vAlign w:val="center"/>
          </w:tcPr>
          <w:p>
            <w:pPr>
              <w:pStyle w:val="12"/>
            </w:pPr>
            <w:r>
              <w:t>合理安排</w:t>
            </w:r>
          </w:p>
        </w:tc>
        <w:tc>
          <w:tcPr>
            <w:tcW w:w="1276" w:type="dxa"/>
            <w:vAlign w:val="center"/>
          </w:tcPr>
          <w:p>
            <w:pPr>
              <w:pStyle w:val="12"/>
            </w:pPr>
            <w:r>
              <w:t>冀财行（2015）88号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见义勇为人员奖励、帮扶覆盖率(</w:t>
            </w:r>
          </w:p>
        </w:tc>
        <w:tc>
          <w:tcPr>
            <w:tcW w:w="4869" w:type="dxa"/>
            <w:vAlign w:val="center"/>
          </w:tcPr>
          <w:p>
            <w:pPr>
              <w:pStyle w:val="12"/>
            </w:pPr>
            <w:r>
              <w:t>见义勇为人员奖励、帮扶覆盖率(%)</w:t>
            </w:r>
          </w:p>
        </w:tc>
        <w:tc>
          <w:tcPr>
            <w:tcW w:w="2785" w:type="dxa"/>
            <w:vAlign w:val="center"/>
          </w:tcPr>
          <w:p>
            <w:pPr>
              <w:pStyle w:val="12"/>
            </w:pPr>
            <w:r>
              <w:t>≥100%</w:t>
            </w:r>
          </w:p>
        </w:tc>
        <w:tc>
          <w:tcPr>
            <w:tcW w:w="1276" w:type="dxa"/>
            <w:vAlign w:val="center"/>
          </w:tcPr>
          <w:p>
            <w:pPr>
              <w:pStyle w:val="12"/>
            </w:pPr>
            <w:r>
              <w:t>冀财行（2015）88号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社会公众或服务对象的满意程度</w:t>
            </w:r>
          </w:p>
        </w:tc>
        <w:tc>
          <w:tcPr>
            <w:tcW w:w="4869" w:type="dxa"/>
            <w:vAlign w:val="center"/>
          </w:tcPr>
          <w:p>
            <w:pPr>
              <w:pStyle w:val="12"/>
            </w:pPr>
            <w:r>
              <w:t>服务对象的满意程度</w:t>
            </w:r>
          </w:p>
        </w:tc>
        <w:tc>
          <w:tcPr>
            <w:tcW w:w="2785" w:type="dxa"/>
            <w:vAlign w:val="center"/>
          </w:tcPr>
          <w:p>
            <w:pPr>
              <w:pStyle w:val="12"/>
            </w:pPr>
            <w:r>
              <w:t>≥95%</w:t>
            </w:r>
          </w:p>
        </w:tc>
        <w:tc>
          <w:tcPr>
            <w:tcW w:w="1276" w:type="dxa"/>
            <w:vAlign w:val="center"/>
          </w:tcPr>
          <w:p>
            <w:pPr>
              <w:pStyle w:val="12"/>
            </w:pPr>
            <w:r>
              <w:t>冀财行（2015）88号</w:t>
            </w:r>
          </w:p>
        </w:tc>
      </w:tr>
    </w:tbl>
    <w:p>
      <w:pPr>
        <w:sectPr>
          <w:type w:val="continuous"/>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2、精神障碍监护人责任险和以奖代补经费绩效目标表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13052524P00001010258W</w:t>
            </w:r>
          </w:p>
        </w:tc>
        <w:tc>
          <w:tcPr>
            <w:tcW w:w="2835" w:type="dxa"/>
            <w:vAlign w:val="center"/>
          </w:tcPr>
          <w:p>
            <w:pPr>
              <w:pStyle w:val="10"/>
            </w:pPr>
            <w:r>
              <w:t>项目名称</w:t>
            </w:r>
          </w:p>
        </w:tc>
        <w:tc>
          <w:tcPr>
            <w:tcW w:w="6094" w:type="dxa"/>
            <w:gridSpan w:val="3"/>
            <w:vAlign w:val="center"/>
          </w:tcPr>
          <w:p>
            <w:pPr>
              <w:pStyle w:val="12"/>
            </w:pPr>
            <w:r>
              <w:t>精神障碍监护人责任险和以奖代补经费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46.66</w:t>
            </w:r>
          </w:p>
        </w:tc>
        <w:tc>
          <w:tcPr>
            <w:tcW w:w="2835" w:type="dxa"/>
            <w:vAlign w:val="center"/>
          </w:tcPr>
          <w:p>
            <w:pPr>
              <w:pStyle w:val="10"/>
            </w:pPr>
            <w:r>
              <w:t>其中：财政    资金</w:t>
            </w:r>
          </w:p>
        </w:tc>
        <w:tc>
          <w:tcPr>
            <w:tcW w:w="2551" w:type="dxa"/>
            <w:vAlign w:val="center"/>
          </w:tcPr>
          <w:p>
            <w:pPr>
              <w:pStyle w:val="12"/>
            </w:pPr>
            <w:r>
              <w:t>46.66</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按时投保精神障碍患者监护人责任险发放以奖代补经费，促进和谐稳定.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lang w:eastAsia="zh-CN"/>
              </w:rPr>
            </w:pPr>
            <w:r>
              <w:rPr>
                <w:rFonts w:hint="eastAsia"/>
                <w:lang w:eastAsia="zh-CN"/>
              </w:rPr>
              <w:t>50%</w:t>
            </w:r>
          </w:p>
        </w:tc>
        <w:tc>
          <w:tcPr>
            <w:tcW w:w="2835" w:type="dxa"/>
            <w:vAlign w:val="center"/>
          </w:tcPr>
          <w:p>
            <w:pPr>
              <w:pStyle w:val="13"/>
              <w:rPr>
                <w:rFonts w:hint="eastAsia"/>
                <w:lang w:eastAsia="zh-CN"/>
              </w:rPr>
            </w:pPr>
            <w:r>
              <w:rPr>
                <w:rFonts w:hint="eastAsia"/>
                <w:lang w:eastAsia="zh-CN"/>
              </w:rPr>
              <w:t>75%</w:t>
            </w:r>
          </w:p>
        </w:tc>
        <w:tc>
          <w:tcPr>
            <w:tcW w:w="2551" w:type="dxa"/>
            <w:vAlign w:val="center"/>
          </w:tcPr>
          <w:p>
            <w:pPr>
              <w:pStyle w:val="13"/>
              <w:rPr>
                <w:rFonts w:hint="eastAsia"/>
                <w:lang w:eastAsia="zh-CN"/>
              </w:rPr>
            </w:pPr>
            <w:r>
              <w:rPr>
                <w:rFonts w:hint="eastAsia"/>
                <w:lang w:eastAsia="zh-CN"/>
              </w:rPr>
              <w:t>90%</w:t>
            </w:r>
          </w:p>
        </w:tc>
        <w:tc>
          <w:tcPr>
            <w:tcW w:w="3543" w:type="dxa"/>
            <w:gridSpan w:val="2"/>
            <w:vAlign w:val="center"/>
          </w:tcPr>
          <w:p>
            <w:pPr>
              <w:pStyle w:val="13"/>
              <w:rPr>
                <w:rFonts w:hint="eastAsia"/>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1.按时投保精神障碍患者监护人责任险发放以奖代补经费，促进和谐稳定.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补助金发放率(%)</w:t>
            </w:r>
          </w:p>
        </w:tc>
        <w:tc>
          <w:tcPr>
            <w:tcW w:w="5386" w:type="dxa"/>
            <w:vAlign w:val="center"/>
          </w:tcPr>
          <w:p>
            <w:pPr>
              <w:pStyle w:val="12"/>
            </w:pPr>
            <w:r>
              <w:t>实际发放的补助金金额占计划发放金额的比率</w:t>
            </w:r>
          </w:p>
        </w:tc>
        <w:tc>
          <w:tcPr>
            <w:tcW w:w="2268" w:type="dxa"/>
            <w:vAlign w:val="center"/>
          </w:tcPr>
          <w:p>
            <w:pPr>
              <w:pStyle w:val="12"/>
            </w:pPr>
            <w:r>
              <w:t>≥100%</w:t>
            </w:r>
          </w:p>
        </w:tc>
        <w:tc>
          <w:tcPr>
            <w:tcW w:w="1276" w:type="dxa"/>
            <w:vAlign w:val="center"/>
          </w:tcPr>
          <w:p>
            <w:pPr>
              <w:pStyle w:val="12"/>
            </w:pPr>
            <w: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补贴人员数量（人）</w:t>
            </w:r>
          </w:p>
        </w:tc>
        <w:tc>
          <w:tcPr>
            <w:tcW w:w="5386" w:type="dxa"/>
            <w:vAlign w:val="center"/>
          </w:tcPr>
          <w:p>
            <w:pPr>
              <w:pStyle w:val="12"/>
            </w:pPr>
            <w:r>
              <w:t>享受补贴政策的人数</w:t>
            </w:r>
          </w:p>
        </w:tc>
        <w:tc>
          <w:tcPr>
            <w:tcW w:w="2268" w:type="dxa"/>
            <w:vAlign w:val="center"/>
          </w:tcPr>
          <w:p>
            <w:pPr>
              <w:pStyle w:val="12"/>
            </w:pPr>
            <w:r>
              <w:t>&gt;2338人</w:t>
            </w:r>
          </w:p>
        </w:tc>
        <w:tc>
          <w:tcPr>
            <w:tcW w:w="1276" w:type="dxa"/>
            <w:vAlign w:val="center"/>
          </w:tcPr>
          <w:p>
            <w:pPr>
              <w:pStyle w:val="12"/>
            </w:pPr>
            <w: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&gt;100%</w:t>
            </w:r>
          </w:p>
        </w:tc>
        <w:tc>
          <w:tcPr>
            <w:tcW w:w="1276" w:type="dxa"/>
            <w:vAlign w:val="center"/>
          </w:tcPr>
          <w:p>
            <w:pPr>
              <w:pStyle w:val="12"/>
            </w:pPr>
            <w: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经费使用率(%)</w:t>
            </w:r>
          </w:p>
        </w:tc>
        <w:tc>
          <w:tcPr>
            <w:tcW w:w="5386" w:type="dxa"/>
            <w:vAlign w:val="center"/>
          </w:tcPr>
          <w:p>
            <w:pPr>
              <w:pStyle w:val="12"/>
            </w:pPr>
            <w:r>
              <w:t>经费使用率(%)</w:t>
            </w:r>
          </w:p>
        </w:tc>
        <w:tc>
          <w:tcPr>
            <w:tcW w:w="2268" w:type="dxa"/>
            <w:vAlign w:val="center"/>
          </w:tcPr>
          <w:p>
            <w:pPr>
              <w:pStyle w:val="12"/>
            </w:pPr>
            <w:r>
              <w:t>≥100%</w:t>
            </w:r>
          </w:p>
        </w:tc>
        <w:tc>
          <w:tcPr>
            <w:tcW w:w="1276" w:type="dxa"/>
            <w:vAlign w:val="center"/>
          </w:tcPr>
          <w:p>
            <w:pPr>
              <w:pStyle w:val="12"/>
            </w:pPr>
            <w: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困难群众生活水平提升情况</w:t>
            </w:r>
          </w:p>
        </w:tc>
        <w:tc>
          <w:tcPr>
            <w:tcW w:w="5386" w:type="dxa"/>
            <w:vAlign w:val="center"/>
          </w:tcPr>
          <w:p>
            <w:pPr>
              <w:pStyle w:val="12"/>
            </w:pPr>
            <w:r>
              <w:t>困难群众生活水平提升情况</w:t>
            </w:r>
          </w:p>
        </w:tc>
        <w:tc>
          <w:tcPr>
            <w:tcW w:w="2268" w:type="dxa"/>
            <w:vAlign w:val="center"/>
          </w:tcPr>
          <w:p>
            <w:pPr>
              <w:pStyle w:val="12"/>
            </w:pPr>
            <w:r>
              <w:t>有所提高</w:t>
            </w:r>
          </w:p>
        </w:tc>
        <w:tc>
          <w:tcPr>
            <w:tcW w:w="1276" w:type="dxa"/>
            <w:vAlign w:val="center"/>
          </w:tcPr>
          <w:p>
            <w:pPr>
              <w:pStyle w:val="12"/>
            </w:pPr>
            <w: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通过问卷调查，满意和较满意的受益对象占全部调研对象的比例</w:t>
            </w:r>
          </w:p>
        </w:tc>
        <w:tc>
          <w:tcPr>
            <w:tcW w:w="2268" w:type="dxa"/>
            <w:vAlign w:val="center"/>
          </w:tcPr>
          <w:p>
            <w:pPr>
              <w:pStyle w:val="12"/>
            </w:pPr>
            <w:r>
              <w:t>≥90%</w:t>
            </w:r>
          </w:p>
        </w:tc>
        <w:tc>
          <w:tcPr>
            <w:tcW w:w="1276" w:type="dxa"/>
            <w:vAlign w:val="center"/>
          </w:tcPr>
          <w:p>
            <w:pPr>
              <w:pStyle w:val="12"/>
            </w:pPr>
            <w:r>
              <w:t>邢综治办（2016）2号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3、铁路高铁护路经费绩效目标表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13052524P00001010254E</w:t>
            </w:r>
          </w:p>
        </w:tc>
        <w:tc>
          <w:tcPr>
            <w:tcW w:w="2835" w:type="dxa"/>
            <w:vAlign w:val="center"/>
          </w:tcPr>
          <w:p>
            <w:pPr>
              <w:pStyle w:val="10"/>
            </w:pPr>
            <w:r>
              <w:t>项目名称</w:t>
            </w:r>
          </w:p>
        </w:tc>
        <w:tc>
          <w:tcPr>
            <w:tcW w:w="6094" w:type="dxa"/>
            <w:gridSpan w:val="3"/>
            <w:vAlign w:val="center"/>
          </w:tcPr>
          <w:p>
            <w:pPr>
              <w:pStyle w:val="12"/>
            </w:pPr>
            <w:r>
              <w:t>铁路高铁护路经费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12.77</w:t>
            </w:r>
          </w:p>
        </w:tc>
        <w:tc>
          <w:tcPr>
            <w:tcW w:w="2835" w:type="dxa"/>
            <w:vAlign w:val="center"/>
          </w:tcPr>
          <w:p>
            <w:pPr>
              <w:pStyle w:val="10"/>
            </w:pPr>
            <w:r>
              <w:t>其中：财政    资金</w:t>
            </w:r>
          </w:p>
        </w:tc>
        <w:tc>
          <w:tcPr>
            <w:tcW w:w="2551" w:type="dxa"/>
            <w:vAlign w:val="center"/>
          </w:tcPr>
          <w:p>
            <w:pPr>
              <w:pStyle w:val="12"/>
            </w:pPr>
            <w:r>
              <w:t>12.77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组织铁路高铁护路工作，确保辖区铁路安全畅通.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lang w:eastAsia="zh-CN"/>
              </w:rPr>
            </w:pPr>
            <w:r>
              <w:rPr>
                <w:rFonts w:hint="eastAsia"/>
                <w:lang w:eastAsia="zh-CN"/>
              </w:rPr>
              <w:t>25%</w:t>
            </w:r>
          </w:p>
        </w:tc>
        <w:tc>
          <w:tcPr>
            <w:tcW w:w="2835" w:type="dxa"/>
            <w:vAlign w:val="center"/>
          </w:tcPr>
          <w:p>
            <w:pPr>
              <w:pStyle w:val="13"/>
              <w:rPr>
                <w:rFonts w:hint="eastAsia"/>
                <w:lang w:eastAsia="zh-CN"/>
              </w:rPr>
            </w:pPr>
            <w:r>
              <w:rPr>
                <w:rFonts w:hint="eastAsia"/>
                <w:lang w:eastAsia="zh-CN"/>
              </w:rPr>
              <w:t>50%</w:t>
            </w:r>
          </w:p>
        </w:tc>
        <w:tc>
          <w:tcPr>
            <w:tcW w:w="2551" w:type="dxa"/>
            <w:vAlign w:val="center"/>
          </w:tcPr>
          <w:p>
            <w:pPr>
              <w:pStyle w:val="13"/>
              <w:rPr>
                <w:rFonts w:hint="eastAsia"/>
                <w:lang w:eastAsia="zh-CN"/>
              </w:rPr>
            </w:pPr>
            <w:r>
              <w:rPr>
                <w:rFonts w:hint="eastAsia"/>
                <w:lang w:eastAsia="zh-CN"/>
              </w:rPr>
              <w:t>75%</w:t>
            </w:r>
          </w:p>
        </w:tc>
        <w:tc>
          <w:tcPr>
            <w:tcW w:w="3543" w:type="dxa"/>
            <w:gridSpan w:val="2"/>
            <w:vAlign w:val="center"/>
          </w:tcPr>
          <w:p>
            <w:pPr>
              <w:pStyle w:val="13"/>
              <w:rPr>
                <w:rFonts w:hint="eastAsia"/>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1.组织铁路高铁护路工作，确保辖区铁路安全畅通.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重要时期专项护路任务次数（次）</w:t>
            </w:r>
          </w:p>
        </w:tc>
        <w:tc>
          <w:tcPr>
            <w:tcW w:w="5386" w:type="dxa"/>
            <w:vAlign w:val="center"/>
          </w:tcPr>
          <w:p>
            <w:pPr>
              <w:pStyle w:val="12"/>
            </w:pPr>
            <w:r>
              <w:t>重要时期完成省委省政府专项护路任务的次数</w:t>
            </w:r>
          </w:p>
        </w:tc>
        <w:tc>
          <w:tcPr>
            <w:tcW w:w="2268" w:type="dxa"/>
            <w:vAlign w:val="center"/>
          </w:tcPr>
          <w:p>
            <w:pPr>
              <w:pStyle w:val="12"/>
            </w:pPr>
            <w:r>
              <w:t>≥100%</w:t>
            </w:r>
          </w:p>
        </w:tc>
        <w:tc>
          <w:tcPr>
            <w:tcW w:w="1276" w:type="dxa"/>
            <w:vAlign w:val="center"/>
          </w:tcPr>
          <w:p>
            <w:pPr>
              <w:pStyle w:val="12"/>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重大安保任务完成率(%)</w:t>
            </w:r>
          </w:p>
        </w:tc>
        <w:tc>
          <w:tcPr>
            <w:tcW w:w="5386" w:type="dxa"/>
            <w:vAlign w:val="center"/>
          </w:tcPr>
          <w:p>
            <w:pPr>
              <w:pStyle w:val="12"/>
            </w:pPr>
            <w:r>
              <w:t>完成的安保任务占任务总数的比率</w:t>
            </w:r>
          </w:p>
        </w:tc>
        <w:tc>
          <w:tcPr>
            <w:tcW w:w="2268" w:type="dxa"/>
            <w:vAlign w:val="center"/>
          </w:tcPr>
          <w:p>
            <w:pPr>
              <w:pStyle w:val="12"/>
            </w:pPr>
            <w:r>
              <w:t>≥100%</w:t>
            </w:r>
          </w:p>
        </w:tc>
        <w:tc>
          <w:tcPr>
            <w:tcW w:w="1276" w:type="dxa"/>
            <w:vAlign w:val="center"/>
          </w:tcPr>
          <w:p>
            <w:pPr>
              <w:pStyle w:val="12"/>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完工及时率</w:t>
            </w:r>
          </w:p>
        </w:tc>
        <w:tc>
          <w:tcPr>
            <w:tcW w:w="5386" w:type="dxa"/>
            <w:vAlign w:val="center"/>
          </w:tcPr>
          <w:p>
            <w:pPr>
              <w:pStyle w:val="12"/>
            </w:pPr>
            <w:r>
              <w:t>完工及时率</w:t>
            </w:r>
          </w:p>
        </w:tc>
        <w:tc>
          <w:tcPr>
            <w:tcW w:w="2268" w:type="dxa"/>
            <w:vAlign w:val="center"/>
          </w:tcPr>
          <w:p>
            <w:pPr>
              <w:pStyle w:val="12"/>
            </w:pPr>
            <w:r>
              <w:t>100%</w:t>
            </w:r>
          </w:p>
        </w:tc>
        <w:tc>
          <w:tcPr>
            <w:tcW w:w="1276" w:type="dxa"/>
            <w:vAlign w:val="center"/>
          </w:tcPr>
          <w:p>
            <w:pPr>
              <w:pStyle w:val="12"/>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完成工作需要资金</w:t>
            </w:r>
          </w:p>
        </w:tc>
        <w:tc>
          <w:tcPr>
            <w:tcW w:w="5386" w:type="dxa"/>
            <w:vAlign w:val="center"/>
          </w:tcPr>
          <w:p>
            <w:pPr>
              <w:pStyle w:val="12"/>
            </w:pPr>
            <w:r>
              <w:t>完成工作需要资金</w:t>
            </w:r>
          </w:p>
        </w:tc>
        <w:tc>
          <w:tcPr>
            <w:tcW w:w="2268" w:type="dxa"/>
            <w:vAlign w:val="center"/>
          </w:tcPr>
          <w:p>
            <w:pPr>
              <w:pStyle w:val="12"/>
            </w:pPr>
            <w:r>
              <w:t>12.76万元</w:t>
            </w:r>
          </w:p>
        </w:tc>
        <w:tc>
          <w:tcPr>
            <w:tcW w:w="1276" w:type="dxa"/>
            <w:vAlign w:val="center"/>
          </w:tcPr>
          <w:p>
            <w:pPr>
              <w:pStyle w:val="12"/>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通过开展信息宣传工作，创造良好的舆论氛围，使我厅工作得到广大受众的充分认可。</w:t>
            </w:r>
          </w:p>
        </w:tc>
        <w:tc>
          <w:tcPr>
            <w:tcW w:w="2268" w:type="dxa"/>
            <w:vAlign w:val="center"/>
          </w:tcPr>
          <w:p>
            <w:pPr>
              <w:pStyle w:val="12"/>
            </w:pPr>
            <w:r>
              <w:t>有效提高</w:t>
            </w:r>
          </w:p>
        </w:tc>
        <w:tc>
          <w:tcPr>
            <w:tcW w:w="1276" w:type="dxa"/>
            <w:vAlign w:val="center"/>
          </w:tcPr>
          <w:p>
            <w:pPr>
              <w:pStyle w:val="12"/>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满意</w:t>
            </w:r>
          </w:p>
        </w:tc>
        <w:tc>
          <w:tcPr>
            <w:tcW w:w="1276" w:type="dxa"/>
            <w:vAlign w:val="center"/>
          </w:tcPr>
          <w:p>
            <w:pPr>
              <w:pStyle w:val="12"/>
            </w:pPr>
            <w:r>
              <w:t>冀综治办（2016）12号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4、政法网经费绩效目标表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13052524P00001010259G</w:t>
            </w:r>
          </w:p>
        </w:tc>
        <w:tc>
          <w:tcPr>
            <w:tcW w:w="2835" w:type="dxa"/>
            <w:vAlign w:val="center"/>
          </w:tcPr>
          <w:p>
            <w:pPr>
              <w:pStyle w:val="10"/>
            </w:pPr>
            <w:r>
              <w:t>项目名称</w:t>
            </w:r>
          </w:p>
        </w:tc>
        <w:tc>
          <w:tcPr>
            <w:tcW w:w="6094" w:type="dxa"/>
            <w:gridSpan w:val="3"/>
            <w:vAlign w:val="center"/>
          </w:tcPr>
          <w:p>
            <w:pPr>
              <w:pStyle w:val="12"/>
            </w:pPr>
            <w:r>
              <w:t>政法网经费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56.00</w:t>
            </w:r>
          </w:p>
        </w:tc>
        <w:tc>
          <w:tcPr>
            <w:tcW w:w="2835" w:type="dxa"/>
            <w:vAlign w:val="center"/>
          </w:tcPr>
          <w:p>
            <w:pPr>
              <w:pStyle w:val="10"/>
            </w:pPr>
            <w:r>
              <w:t>其中：财政    资金</w:t>
            </w:r>
          </w:p>
        </w:tc>
        <w:tc>
          <w:tcPr>
            <w:tcW w:w="2551" w:type="dxa"/>
            <w:vAlign w:val="center"/>
          </w:tcPr>
          <w:p>
            <w:pPr>
              <w:pStyle w:val="12"/>
            </w:pPr>
            <w:r>
              <w:t>56.00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确保政法网安全运行，促进政法工作上台阶。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lang w:eastAsia="zh-CN"/>
              </w:rPr>
            </w:pPr>
            <w:r>
              <w:rPr>
                <w:rFonts w:hint="eastAsia"/>
                <w:lang w:eastAsia="zh-CN"/>
              </w:rPr>
              <w:t>25%</w:t>
            </w:r>
          </w:p>
        </w:tc>
        <w:tc>
          <w:tcPr>
            <w:tcW w:w="2835" w:type="dxa"/>
            <w:vAlign w:val="center"/>
          </w:tcPr>
          <w:p>
            <w:pPr>
              <w:pStyle w:val="13"/>
              <w:rPr>
                <w:rFonts w:hint="eastAsia"/>
                <w:lang w:eastAsia="zh-CN"/>
              </w:rPr>
            </w:pPr>
            <w:r>
              <w:rPr>
                <w:rFonts w:hint="eastAsia"/>
                <w:lang w:eastAsia="zh-CN"/>
              </w:rPr>
              <w:t>100%</w:t>
            </w:r>
          </w:p>
        </w:tc>
        <w:tc>
          <w:tcPr>
            <w:tcW w:w="2551" w:type="dxa"/>
            <w:vAlign w:val="center"/>
          </w:tcPr>
          <w:p>
            <w:pPr>
              <w:pStyle w:val="13"/>
              <w:rPr>
                <w:rFonts w:hint="eastAsia"/>
                <w:lang w:eastAsia="zh-CN"/>
              </w:rPr>
            </w:pPr>
            <w:r>
              <w:rPr>
                <w:rFonts w:hint="eastAsia"/>
                <w:lang w:eastAsia="zh-CN"/>
              </w:rPr>
              <w:t>100%</w:t>
            </w:r>
          </w:p>
        </w:tc>
        <w:tc>
          <w:tcPr>
            <w:tcW w:w="3543" w:type="dxa"/>
            <w:gridSpan w:val="2"/>
            <w:vAlign w:val="center"/>
          </w:tcPr>
          <w:p>
            <w:pPr>
              <w:pStyle w:val="13"/>
              <w:rPr>
                <w:rFonts w:hint="eastAsia"/>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1.确保政法网安全运行，促进政法工作上台阶。</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设备检修维护次数</w:t>
            </w:r>
          </w:p>
        </w:tc>
        <w:tc>
          <w:tcPr>
            <w:tcW w:w="5386" w:type="dxa"/>
            <w:vAlign w:val="center"/>
          </w:tcPr>
          <w:p>
            <w:pPr>
              <w:pStyle w:val="12"/>
            </w:pPr>
            <w:r>
              <w:t>设备检修维护次数</w:t>
            </w:r>
          </w:p>
        </w:tc>
        <w:tc>
          <w:tcPr>
            <w:tcW w:w="2268" w:type="dxa"/>
            <w:vAlign w:val="center"/>
          </w:tcPr>
          <w:p>
            <w:pPr>
              <w:pStyle w:val="12"/>
            </w:pPr>
            <w:r>
              <w:t>≥12次</w:t>
            </w:r>
          </w:p>
        </w:tc>
        <w:tc>
          <w:tcPr>
            <w:tcW w:w="1276" w:type="dxa"/>
            <w:vAlign w:val="center"/>
          </w:tcPr>
          <w:p>
            <w:pPr>
              <w:pStyle w:val="12"/>
            </w:pPr>
            <w: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设施运转完好率</w:t>
            </w:r>
          </w:p>
        </w:tc>
        <w:tc>
          <w:tcPr>
            <w:tcW w:w="5386" w:type="dxa"/>
            <w:vAlign w:val="center"/>
          </w:tcPr>
          <w:p>
            <w:pPr>
              <w:pStyle w:val="12"/>
            </w:pPr>
            <w:r>
              <w:t>设施运转完好率</w:t>
            </w:r>
          </w:p>
        </w:tc>
        <w:tc>
          <w:tcPr>
            <w:tcW w:w="2268" w:type="dxa"/>
            <w:vAlign w:val="center"/>
          </w:tcPr>
          <w:p>
            <w:pPr>
              <w:pStyle w:val="12"/>
            </w:pPr>
            <w:r>
              <w:t>≥95%</w:t>
            </w:r>
          </w:p>
        </w:tc>
        <w:tc>
          <w:tcPr>
            <w:tcW w:w="1276" w:type="dxa"/>
            <w:vAlign w:val="center"/>
          </w:tcPr>
          <w:p>
            <w:pPr>
              <w:pStyle w:val="12"/>
            </w:pPr>
            <w: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≥100%</w:t>
            </w:r>
          </w:p>
        </w:tc>
        <w:tc>
          <w:tcPr>
            <w:tcW w:w="1276" w:type="dxa"/>
            <w:vAlign w:val="center"/>
          </w:tcPr>
          <w:p>
            <w:pPr>
              <w:pStyle w:val="12"/>
            </w:pPr>
            <w: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56万元</w:t>
            </w:r>
          </w:p>
        </w:tc>
        <w:tc>
          <w:tcPr>
            <w:tcW w:w="1276" w:type="dxa"/>
            <w:vAlign w:val="center"/>
          </w:tcPr>
          <w:p>
            <w:pPr>
              <w:pStyle w:val="12"/>
            </w:pPr>
            <w: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保障工作顺利开展</w:t>
            </w:r>
          </w:p>
        </w:tc>
        <w:tc>
          <w:tcPr>
            <w:tcW w:w="5386" w:type="dxa"/>
            <w:vAlign w:val="center"/>
          </w:tcPr>
          <w:p>
            <w:pPr>
              <w:pStyle w:val="12"/>
            </w:pPr>
            <w:r>
              <w:t>保障工作顺利开展</w:t>
            </w:r>
          </w:p>
        </w:tc>
        <w:tc>
          <w:tcPr>
            <w:tcW w:w="2268" w:type="dxa"/>
            <w:vAlign w:val="center"/>
          </w:tcPr>
          <w:p>
            <w:pPr>
              <w:pStyle w:val="12"/>
            </w:pPr>
            <w:r>
              <w:t>顺利开展</w:t>
            </w:r>
          </w:p>
        </w:tc>
        <w:tc>
          <w:tcPr>
            <w:tcW w:w="1276" w:type="dxa"/>
            <w:vAlign w:val="center"/>
          </w:tcPr>
          <w:p>
            <w:pPr>
              <w:pStyle w:val="12"/>
            </w:pPr>
            <w: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冀政法字（2015）12号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5、综治经费绩效目标表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13052524P000010102623</w:t>
            </w:r>
          </w:p>
        </w:tc>
        <w:tc>
          <w:tcPr>
            <w:tcW w:w="2835" w:type="dxa"/>
            <w:vAlign w:val="center"/>
          </w:tcPr>
          <w:p>
            <w:pPr>
              <w:pStyle w:val="10"/>
            </w:pPr>
            <w:r>
              <w:t>项目名称</w:t>
            </w:r>
          </w:p>
        </w:tc>
        <w:tc>
          <w:tcPr>
            <w:tcW w:w="6094" w:type="dxa"/>
            <w:gridSpan w:val="3"/>
            <w:vAlign w:val="center"/>
          </w:tcPr>
          <w:p>
            <w:pPr>
              <w:pStyle w:val="12"/>
            </w:pPr>
            <w:r>
              <w:t>综治经费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52.00</w:t>
            </w:r>
          </w:p>
        </w:tc>
        <w:tc>
          <w:tcPr>
            <w:tcW w:w="2835" w:type="dxa"/>
            <w:vAlign w:val="center"/>
          </w:tcPr>
          <w:p>
            <w:pPr>
              <w:pStyle w:val="10"/>
            </w:pPr>
            <w:r>
              <w:t>其中：财政    资金</w:t>
            </w:r>
          </w:p>
        </w:tc>
        <w:tc>
          <w:tcPr>
            <w:tcW w:w="2551" w:type="dxa"/>
            <w:vAlign w:val="center"/>
          </w:tcPr>
          <w:p>
            <w:pPr>
              <w:pStyle w:val="12"/>
            </w:pPr>
            <w:r>
              <w:t>52.00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开展社会治安综合治理活动，确保全县社会政治稳定。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lang w:eastAsia="zh-CN"/>
              </w:rPr>
            </w:pPr>
            <w:r>
              <w:rPr>
                <w:rFonts w:hint="eastAsia"/>
                <w:lang w:eastAsia="zh-CN"/>
              </w:rPr>
              <w:t>25%</w:t>
            </w:r>
          </w:p>
        </w:tc>
        <w:tc>
          <w:tcPr>
            <w:tcW w:w="2835" w:type="dxa"/>
            <w:vAlign w:val="center"/>
          </w:tcPr>
          <w:p>
            <w:pPr>
              <w:pStyle w:val="13"/>
              <w:rPr>
                <w:rFonts w:hint="eastAsia"/>
                <w:lang w:eastAsia="zh-CN"/>
              </w:rPr>
            </w:pPr>
            <w:r>
              <w:rPr>
                <w:rFonts w:hint="eastAsia"/>
                <w:lang w:eastAsia="zh-CN"/>
              </w:rPr>
              <w:t>50%</w:t>
            </w:r>
          </w:p>
        </w:tc>
        <w:tc>
          <w:tcPr>
            <w:tcW w:w="2551" w:type="dxa"/>
            <w:vAlign w:val="center"/>
          </w:tcPr>
          <w:p>
            <w:pPr>
              <w:pStyle w:val="13"/>
              <w:rPr>
                <w:rFonts w:hint="eastAsia"/>
                <w:lang w:eastAsia="zh-CN"/>
              </w:rPr>
            </w:pPr>
            <w:r>
              <w:rPr>
                <w:rFonts w:hint="eastAsia"/>
                <w:lang w:eastAsia="zh-CN"/>
              </w:rPr>
              <w:t>75%</w:t>
            </w:r>
          </w:p>
        </w:tc>
        <w:tc>
          <w:tcPr>
            <w:tcW w:w="3543" w:type="dxa"/>
            <w:gridSpan w:val="2"/>
            <w:vAlign w:val="center"/>
          </w:tcPr>
          <w:p>
            <w:pPr>
              <w:pStyle w:val="13"/>
              <w:rPr>
                <w:rFonts w:hint="eastAsia"/>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1.开展社会治安综合治理活动，确保全县社会政治稳定。</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培树治安防控工作先进典型乡镇</w:t>
            </w:r>
          </w:p>
        </w:tc>
        <w:tc>
          <w:tcPr>
            <w:tcW w:w="5386" w:type="dxa"/>
            <w:vAlign w:val="center"/>
          </w:tcPr>
          <w:p>
            <w:pPr>
              <w:pStyle w:val="12"/>
            </w:pPr>
            <w:r>
              <w:t>培树治安防控工作先进典型村数量（个）</w:t>
            </w:r>
          </w:p>
        </w:tc>
        <w:tc>
          <w:tcPr>
            <w:tcW w:w="2268" w:type="dxa"/>
            <w:vAlign w:val="center"/>
          </w:tcPr>
          <w:p>
            <w:pPr>
              <w:pStyle w:val="12"/>
            </w:pPr>
            <w:r>
              <w:t>≥12个</w:t>
            </w:r>
          </w:p>
        </w:tc>
        <w:tc>
          <w:tcPr>
            <w:tcW w:w="1276" w:type="dxa"/>
            <w:vAlign w:val="center"/>
          </w:tcPr>
          <w:p>
            <w:pPr>
              <w:pStyle w:val="12"/>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其他各项综合实务工作完成率</w:t>
            </w:r>
          </w:p>
        </w:tc>
        <w:tc>
          <w:tcPr>
            <w:tcW w:w="5386" w:type="dxa"/>
            <w:vAlign w:val="center"/>
          </w:tcPr>
          <w:p>
            <w:pPr>
              <w:pStyle w:val="12"/>
            </w:pPr>
            <w:r>
              <w:t>其他各项综合实务工作完成率</w:t>
            </w:r>
          </w:p>
        </w:tc>
        <w:tc>
          <w:tcPr>
            <w:tcW w:w="2268" w:type="dxa"/>
            <w:vAlign w:val="center"/>
          </w:tcPr>
          <w:p>
            <w:pPr>
              <w:pStyle w:val="12"/>
            </w:pPr>
            <w:r>
              <w:t>≥95%</w:t>
            </w:r>
          </w:p>
        </w:tc>
        <w:tc>
          <w:tcPr>
            <w:tcW w:w="1276" w:type="dxa"/>
            <w:vAlign w:val="center"/>
          </w:tcPr>
          <w:p>
            <w:pPr>
              <w:pStyle w:val="12"/>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合理安排</w:t>
            </w:r>
          </w:p>
        </w:tc>
        <w:tc>
          <w:tcPr>
            <w:tcW w:w="1276" w:type="dxa"/>
            <w:vAlign w:val="center"/>
          </w:tcPr>
          <w:p>
            <w:pPr>
              <w:pStyle w:val="12"/>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立体化社会治安防控体系覆盖率(</w:t>
            </w:r>
          </w:p>
        </w:tc>
        <w:tc>
          <w:tcPr>
            <w:tcW w:w="5386" w:type="dxa"/>
            <w:vAlign w:val="center"/>
          </w:tcPr>
          <w:p>
            <w:pPr>
              <w:pStyle w:val="12"/>
            </w:pPr>
            <w:r>
              <w:t>立体化社会治安防控体系覆盖率(%)</w:t>
            </w:r>
          </w:p>
        </w:tc>
        <w:tc>
          <w:tcPr>
            <w:tcW w:w="2268" w:type="dxa"/>
            <w:vAlign w:val="center"/>
          </w:tcPr>
          <w:p>
            <w:pPr>
              <w:pStyle w:val="12"/>
            </w:pPr>
            <w:r>
              <w:t>≥95%</w:t>
            </w:r>
          </w:p>
        </w:tc>
        <w:tc>
          <w:tcPr>
            <w:tcW w:w="1276" w:type="dxa"/>
            <w:vAlign w:val="center"/>
          </w:tcPr>
          <w:p>
            <w:pPr>
              <w:pStyle w:val="12"/>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冀综治办（2016）12号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6、综治视联网经费绩效目标表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13052524P00001010260U</w:t>
            </w:r>
          </w:p>
        </w:tc>
        <w:tc>
          <w:tcPr>
            <w:tcW w:w="2835" w:type="dxa"/>
            <w:vAlign w:val="center"/>
          </w:tcPr>
          <w:p>
            <w:pPr>
              <w:pStyle w:val="10"/>
            </w:pPr>
            <w:r>
              <w:t>项目名称</w:t>
            </w:r>
          </w:p>
        </w:tc>
        <w:tc>
          <w:tcPr>
            <w:tcW w:w="6094" w:type="dxa"/>
            <w:gridSpan w:val="3"/>
            <w:vAlign w:val="center"/>
          </w:tcPr>
          <w:p>
            <w:pPr>
              <w:pStyle w:val="12"/>
            </w:pPr>
            <w:r>
              <w:t>综治视联网经费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80.00</w:t>
            </w:r>
          </w:p>
        </w:tc>
        <w:tc>
          <w:tcPr>
            <w:tcW w:w="2835" w:type="dxa"/>
            <w:vAlign w:val="center"/>
          </w:tcPr>
          <w:p>
            <w:pPr>
              <w:pStyle w:val="10"/>
            </w:pPr>
            <w:r>
              <w:t>其中：财政    资金</w:t>
            </w:r>
          </w:p>
        </w:tc>
        <w:tc>
          <w:tcPr>
            <w:tcW w:w="2551" w:type="dxa"/>
            <w:vAlign w:val="center"/>
          </w:tcPr>
          <w:p>
            <w:pPr>
              <w:pStyle w:val="12"/>
            </w:pPr>
            <w:r>
              <w:t>80.00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确保综治视联网安全运行，促进市域社会治理现代化各项工作。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lang w:eastAsia="zh-CN"/>
              </w:rPr>
            </w:pPr>
            <w:r>
              <w:rPr>
                <w:rFonts w:hint="eastAsia"/>
                <w:lang w:eastAsia="zh-CN"/>
              </w:rPr>
              <w:t>25%</w:t>
            </w:r>
          </w:p>
        </w:tc>
        <w:tc>
          <w:tcPr>
            <w:tcW w:w="2835" w:type="dxa"/>
            <w:vAlign w:val="center"/>
          </w:tcPr>
          <w:p>
            <w:pPr>
              <w:pStyle w:val="13"/>
              <w:rPr>
                <w:rFonts w:hint="eastAsia"/>
                <w:lang w:eastAsia="zh-CN"/>
              </w:rPr>
            </w:pPr>
            <w:r>
              <w:rPr>
                <w:rFonts w:hint="eastAsia"/>
                <w:lang w:eastAsia="zh-CN"/>
              </w:rPr>
              <w:t>100%</w:t>
            </w:r>
          </w:p>
        </w:tc>
        <w:tc>
          <w:tcPr>
            <w:tcW w:w="2551" w:type="dxa"/>
            <w:vAlign w:val="center"/>
          </w:tcPr>
          <w:p>
            <w:pPr>
              <w:pStyle w:val="13"/>
              <w:rPr>
                <w:rFonts w:hint="eastAsia"/>
                <w:lang w:eastAsia="zh-CN"/>
              </w:rPr>
            </w:pPr>
            <w:r>
              <w:rPr>
                <w:rFonts w:hint="eastAsia"/>
                <w:lang w:eastAsia="zh-CN"/>
              </w:rPr>
              <w:t>100%</w:t>
            </w:r>
          </w:p>
        </w:tc>
        <w:tc>
          <w:tcPr>
            <w:tcW w:w="3543" w:type="dxa"/>
            <w:gridSpan w:val="2"/>
            <w:vAlign w:val="center"/>
          </w:tcPr>
          <w:p>
            <w:pPr>
              <w:pStyle w:val="13"/>
              <w:rPr>
                <w:rFonts w:hint="eastAsia"/>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1.确保综治视联网安全运行，促进市域社会治理现代化各项工作。</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系统故障率(％)</w:t>
            </w:r>
          </w:p>
        </w:tc>
        <w:tc>
          <w:tcPr>
            <w:tcW w:w="5386" w:type="dxa"/>
            <w:vAlign w:val="center"/>
          </w:tcPr>
          <w:p>
            <w:pPr>
              <w:pStyle w:val="12"/>
            </w:pPr>
            <w:r>
              <w:t>系统出故障时间占总运行时间的比率（反向指标）</w:t>
            </w:r>
          </w:p>
        </w:tc>
        <w:tc>
          <w:tcPr>
            <w:tcW w:w="2268" w:type="dxa"/>
            <w:vAlign w:val="center"/>
          </w:tcPr>
          <w:p>
            <w:pPr>
              <w:pStyle w:val="12"/>
            </w:pPr>
            <w:r>
              <w:t>≥1%</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系统故障修复响应时间（小时）</w:t>
            </w:r>
          </w:p>
        </w:tc>
        <w:tc>
          <w:tcPr>
            <w:tcW w:w="5386" w:type="dxa"/>
            <w:vAlign w:val="center"/>
          </w:tcPr>
          <w:p>
            <w:pPr>
              <w:pStyle w:val="12"/>
            </w:pPr>
            <w:r>
              <w:t>响应系统故障并修复的时间</w:t>
            </w:r>
          </w:p>
        </w:tc>
        <w:tc>
          <w:tcPr>
            <w:tcW w:w="2268" w:type="dxa"/>
            <w:vAlign w:val="center"/>
          </w:tcPr>
          <w:p>
            <w:pPr>
              <w:pStyle w:val="12"/>
            </w:pPr>
            <w:r>
              <w:t>≤24小时</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设备检修维护次数</w:t>
            </w:r>
          </w:p>
        </w:tc>
        <w:tc>
          <w:tcPr>
            <w:tcW w:w="5386" w:type="dxa"/>
            <w:vAlign w:val="center"/>
          </w:tcPr>
          <w:p>
            <w:pPr>
              <w:pStyle w:val="12"/>
            </w:pPr>
            <w:r>
              <w:t>设备检修维护次数</w:t>
            </w:r>
          </w:p>
        </w:tc>
        <w:tc>
          <w:tcPr>
            <w:tcW w:w="2268" w:type="dxa"/>
            <w:vAlign w:val="center"/>
          </w:tcPr>
          <w:p>
            <w:pPr>
              <w:pStyle w:val="12"/>
            </w:pPr>
            <w:r>
              <w:t>&gt;12次</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80万元</w:t>
            </w:r>
          </w:p>
        </w:tc>
        <w:tc>
          <w:tcPr>
            <w:tcW w:w="1276" w:type="dxa"/>
            <w:vAlign w:val="center"/>
          </w:tcPr>
          <w:p>
            <w:pPr>
              <w:pStyle w:val="12"/>
            </w:pPr>
            <w:r>
              <w:t>冀综治办（2018）39号</w:t>
            </w:r>
          </w:p>
        </w:tc>
      </w:tr>
      <w:tr>
        <w:tblPrEx>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非正常停机率（%）</w:t>
            </w:r>
          </w:p>
        </w:tc>
        <w:tc>
          <w:tcPr>
            <w:tcW w:w="5386" w:type="dxa"/>
            <w:vAlign w:val="center"/>
          </w:tcPr>
          <w:p>
            <w:pPr>
              <w:pStyle w:val="12"/>
            </w:pPr>
            <w:r>
              <w:t>非正常停机次数占总停机次数的比率（反向指标）</w:t>
            </w:r>
          </w:p>
        </w:tc>
        <w:tc>
          <w:tcPr>
            <w:tcW w:w="2268" w:type="dxa"/>
            <w:vAlign w:val="center"/>
          </w:tcPr>
          <w:p>
            <w:pPr>
              <w:pStyle w:val="12"/>
            </w:pPr>
            <w:r>
              <w:t>≥5%</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社会公众或服务对象的满意程度</w:t>
            </w:r>
          </w:p>
        </w:tc>
        <w:tc>
          <w:tcPr>
            <w:tcW w:w="5386" w:type="dxa"/>
            <w:vAlign w:val="center"/>
          </w:tcPr>
          <w:p>
            <w:pPr>
              <w:pStyle w:val="12"/>
            </w:pPr>
            <w:r>
              <w:t>服务对象的满意程度</w:t>
            </w:r>
          </w:p>
        </w:tc>
        <w:tc>
          <w:tcPr>
            <w:tcW w:w="2268" w:type="dxa"/>
            <w:vAlign w:val="center"/>
          </w:tcPr>
          <w:p>
            <w:pPr>
              <w:pStyle w:val="12"/>
            </w:pPr>
            <w:r>
              <w:t>≥95%</w:t>
            </w:r>
          </w:p>
        </w:tc>
        <w:tc>
          <w:tcPr>
            <w:tcW w:w="1276" w:type="dxa"/>
            <w:vAlign w:val="center"/>
          </w:tcPr>
          <w:p>
            <w:pPr>
              <w:pStyle w:val="12"/>
            </w:pPr>
            <w:r>
              <w:t>冀综治办（2018）39号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7、综治网格员经费绩效目标表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13052524P00001010261F</w:t>
            </w:r>
          </w:p>
        </w:tc>
        <w:tc>
          <w:tcPr>
            <w:tcW w:w="2835" w:type="dxa"/>
            <w:vAlign w:val="center"/>
          </w:tcPr>
          <w:p>
            <w:pPr>
              <w:pStyle w:val="10"/>
            </w:pPr>
            <w:r>
              <w:t>项目名称</w:t>
            </w:r>
          </w:p>
        </w:tc>
        <w:tc>
          <w:tcPr>
            <w:tcW w:w="6094" w:type="dxa"/>
            <w:gridSpan w:val="3"/>
            <w:vAlign w:val="center"/>
          </w:tcPr>
          <w:p>
            <w:pPr>
              <w:pStyle w:val="12"/>
            </w:pPr>
            <w:r>
              <w:t>综治网格员经费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确保综治信息系统安全运行，促进市域社会治理现代化工作。</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lang w:eastAsia="zh-CN"/>
              </w:rPr>
            </w:pPr>
            <w:r>
              <w:rPr>
                <w:rFonts w:hint="eastAsia"/>
                <w:lang w:eastAsia="zh-CN"/>
              </w:rPr>
              <w:t>25%</w:t>
            </w:r>
          </w:p>
        </w:tc>
        <w:tc>
          <w:tcPr>
            <w:tcW w:w="2835" w:type="dxa"/>
            <w:vAlign w:val="center"/>
          </w:tcPr>
          <w:p>
            <w:pPr>
              <w:pStyle w:val="13"/>
              <w:rPr>
                <w:rFonts w:hint="eastAsia"/>
                <w:lang w:eastAsia="zh-CN"/>
              </w:rPr>
            </w:pPr>
            <w:r>
              <w:rPr>
                <w:rFonts w:hint="eastAsia"/>
                <w:lang w:eastAsia="zh-CN"/>
              </w:rPr>
              <w:t>50%</w:t>
            </w:r>
          </w:p>
        </w:tc>
        <w:tc>
          <w:tcPr>
            <w:tcW w:w="2551" w:type="dxa"/>
            <w:vAlign w:val="center"/>
          </w:tcPr>
          <w:p>
            <w:pPr>
              <w:pStyle w:val="13"/>
              <w:rPr>
                <w:rFonts w:hint="eastAsia"/>
                <w:lang w:eastAsia="zh-CN"/>
              </w:rPr>
            </w:pPr>
            <w:r>
              <w:rPr>
                <w:rFonts w:hint="eastAsia"/>
                <w:lang w:eastAsia="zh-CN"/>
              </w:rPr>
              <w:t>75%</w:t>
            </w:r>
          </w:p>
        </w:tc>
        <w:tc>
          <w:tcPr>
            <w:tcW w:w="3543" w:type="dxa"/>
            <w:gridSpan w:val="2"/>
            <w:vAlign w:val="center"/>
          </w:tcPr>
          <w:p>
            <w:pPr>
              <w:pStyle w:val="13"/>
              <w:rPr>
                <w:rFonts w:hint="eastAsia"/>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1.确保综治信息系统安全运行，促进市域社会治理现代化工作。</w:t>
            </w:r>
            <w:r>
              <w:tab/>
            </w:r>
            <w:r>
              <w:tab/>
            </w:r>
            <w:r>
              <w:tab/>
            </w:r>
            <w:r>
              <w:tab/>
            </w:r>
            <w:r>
              <w:tab/>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培训人员人次</w:t>
            </w:r>
          </w:p>
        </w:tc>
        <w:tc>
          <w:tcPr>
            <w:tcW w:w="5386" w:type="dxa"/>
            <w:vAlign w:val="center"/>
          </w:tcPr>
          <w:p>
            <w:pPr>
              <w:pStyle w:val="12"/>
            </w:pPr>
            <w:r>
              <w:t>培训人员人次</w:t>
            </w:r>
          </w:p>
        </w:tc>
        <w:tc>
          <w:tcPr>
            <w:tcW w:w="2268" w:type="dxa"/>
            <w:vAlign w:val="center"/>
          </w:tcPr>
          <w:p>
            <w:pPr>
              <w:pStyle w:val="12"/>
            </w:pPr>
            <w:r>
              <w:t>≥500人次</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群众活动参与率</w:t>
            </w:r>
          </w:p>
        </w:tc>
        <w:tc>
          <w:tcPr>
            <w:tcW w:w="5386" w:type="dxa"/>
            <w:vAlign w:val="center"/>
          </w:tcPr>
          <w:p>
            <w:pPr>
              <w:pStyle w:val="12"/>
            </w:pPr>
            <w:r>
              <w:t>群众活动参与率</w:t>
            </w:r>
          </w:p>
        </w:tc>
        <w:tc>
          <w:tcPr>
            <w:tcW w:w="2268" w:type="dxa"/>
            <w:vAlign w:val="center"/>
          </w:tcPr>
          <w:p>
            <w:pPr>
              <w:pStyle w:val="12"/>
            </w:pPr>
            <w:r>
              <w:t>≥90%</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20万元</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创新工作情况</w:t>
            </w:r>
          </w:p>
        </w:tc>
        <w:tc>
          <w:tcPr>
            <w:tcW w:w="5386" w:type="dxa"/>
            <w:vAlign w:val="center"/>
          </w:tcPr>
          <w:p>
            <w:pPr>
              <w:pStyle w:val="12"/>
            </w:pPr>
            <w:r>
              <w:t>创新工作情况</w:t>
            </w:r>
          </w:p>
        </w:tc>
        <w:tc>
          <w:tcPr>
            <w:tcW w:w="2268" w:type="dxa"/>
            <w:vAlign w:val="center"/>
          </w:tcPr>
          <w:p>
            <w:pPr>
              <w:pStyle w:val="12"/>
            </w:pPr>
            <w:r>
              <w:t>工作开展良好</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≥90%</w:t>
            </w:r>
          </w:p>
        </w:tc>
        <w:tc>
          <w:tcPr>
            <w:tcW w:w="1276" w:type="dxa"/>
            <w:vAlign w:val="center"/>
          </w:tcPr>
          <w:p>
            <w:pPr>
              <w:pStyle w:val="12"/>
            </w:pPr>
            <w:r>
              <w:t>冀综治办（2018）39号</w:t>
            </w:r>
          </w:p>
        </w:tc>
      </w:tr>
    </w:tbl>
    <w:p>
      <w:pPr>
        <w:sectPr>
          <w:pgSz w:w="16840" w:h="11900" w:orient="landscape"/>
          <w:pgMar w:top="1361" w:right="1020" w:bottom="1134" w:left="1020" w:header="720" w:footer="720" w:gutter="0"/>
          <w:pgNumType w:fmt="decimal"/>
          <w:cols w:space="720" w:num="1"/>
        </w:sectPr>
      </w:pPr>
    </w:p>
    <w:p>
      <w:pPr>
        <w:ind w:firstLine="560"/>
      </w:pPr>
      <w:r>
        <w:rPr>
          <w:rFonts w:ascii="方正仿宋_GBK" w:hAnsi="方正仿宋_GBK" w:eastAsia="方正仿宋_GBK" w:cs="方正仿宋_GBK"/>
          <w:color w:val="000000"/>
          <w:sz w:val="28"/>
        </w:rPr>
        <w:t>8、综治中心劳务派遣人员工资绩效目标表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13052524P000010102527</w:t>
            </w:r>
          </w:p>
        </w:tc>
        <w:tc>
          <w:tcPr>
            <w:tcW w:w="2835" w:type="dxa"/>
            <w:vAlign w:val="center"/>
          </w:tcPr>
          <w:p>
            <w:pPr>
              <w:pStyle w:val="10"/>
            </w:pPr>
            <w:r>
              <w:t>项目名称</w:t>
            </w:r>
          </w:p>
        </w:tc>
        <w:tc>
          <w:tcPr>
            <w:tcW w:w="6094" w:type="dxa"/>
            <w:gridSpan w:val="3"/>
            <w:vAlign w:val="center"/>
          </w:tcPr>
          <w:p>
            <w:pPr>
              <w:pStyle w:val="12"/>
            </w:pPr>
            <w:r>
              <w:t>综治中心劳务派遣人员工资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23.71</w:t>
            </w:r>
          </w:p>
        </w:tc>
        <w:tc>
          <w:tcPr>
            <w:tcW w:w="2835" w:type="dxa"/>
            <w:vAlign w:val="center"/>
          </w:tcPr>
          <w:p>
            <w:pPr>
              <w:pStyle w:val="10"/>
            </w:pPr>
            <w:r>
              <w:t>其中：财政    资金</w:t>
            </w:r>
          </w:p>
        </w:tc>
        <w:tc>
          <w:tcPr>
            <w:tcW w:w="2551" w:type="dxa"/>
            <w:vAlign w:val="center"/>
          </w:tcPr>
          <w:p>
            <w:pPr>
              <w:pStyle w:val="12"/>
            </w:pPr>
            <w:r>
              <w:t>23.71</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 xml:space="preserve"> 及时发放综治中心劳务派遣人员工资，确保综治中心各项工作取得好成绩。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rPr>
                <w:rFonts w:hint="eastAsia"/>
                <w:lang w:eastAsia="zh-CN"/>
              </w:rPr>
            </w:pPr>
            <w:r>
              <w:rPr>
                <w:rFonts w:hint="eastAsia"/>
                <w:lang w:eastAsia="zh-CN"/>
              </w:rPr>
              <w:t>25%</w:t>
            </w:r>
          </w:p>
        </w:tc>
        <w:tc>
          <w:tcPr>
            <w:tcW w:w="2835" w:type="dxa"/>
            <w:vAlign w:val="center"/>
          </w:tcPr>
          <w:p>
            <w:pPr>
              <w:pStyle w:val="13"/>
              <w:rPr>
                <w:rFonts w:hint="eastAsia"/>
                <w:lang w:eastAsia="zh-CN"/>
              </w:rPr>
            </w:pPr>
            <w:r>
              <w:rPr>
                <w:rFonts w:hint="eastAsia"/>
                <w:lang w:eastAsia="zh-CN"/>
              </w:rPr>
              <w:t>50%</w:t>
            </w:r>
          </w:p>
        </w:tc>
        <w:tc>
          <w:tcPr>
            <w:tcW w:w="2551" w:type="dxa"/>
            <w:vAlign w:val="center"/>
          </w:tcPr>
          <w:p>
            <w:pPr>
              <w:pStyle w:val="13"/>
              <w:rPr>
                <w:rFonts w:hint="eastAsia"/>
                <w:lang w:eastAsia="zh-CN"/>
              </w:rPr>
            </w:pPr>
            <w:r>
              <w:rPr>
                <w:rFonts w:hint="eastAsia"/>
                <w:lang w:eastAsia="zh-CN"/>
              </w:rPr>
              <w:t>75%</w:t>
            </w:r>
          </w:p>
        </w:tc>
        <w:tc>
          <w:tcPr>
            <w:tcW w:w="3543" w:type="dxa"/>
            <w:gridSpan w:val="2"/>
            <w:vAlign w:val="center"/>
          </w:tcPr>
          <w:p>
            <w:pPr>
              <w:pStyle w:val="13"/>
              <w:rPr>
                <w:rFonts w:hint="eastAsia"/>
                <w:lang w:eastAsia="zh-CN"/>
              </w:rPr>
            </w:pPr>
            <w:r>
              <w:rPr>
                <w:rFonts w:hint="eastAsia"/>
                <w:lang w:eastAsia="zh-CN"/>
              </w:rP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1.及时发放综治中心劳务派遣人员工资，确保综治中心各项工作取得好成绩。</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培训人员人次</w:t>
            </w:r>
          </w:p>
        </w:tc>
        <w:tc>
          <w:tcPr>
            <w:tcW w:w="5386" w:type="dxa"/>
            <w:vAlign w:val="center"/>
          </w:tcPr>
          <w:p>
            <w:pPr>
              <w:pStyle w:val="12"/>
            </w:pPr>
            <w:r>
              <w:t>培训人员人次</w:t>
            </w:r>
          </w:p>
        </w:tc>
        <w:tc>
          <w:tcPr>
            <w:tcW w:w="2268" w:type="dxa"/>
            <w:vAlign w:val="center"/>
          </w:tcPr>
          <w:p>
            <w:pPr>
              <w:pStyle w:val="12"/>
            </w:pPr>
            <w:r>
              <w:t>≥6次</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其他各项综合实务工作完成率</w:t>
            </w:r>
          </w:p>
        </w:tc>
        <w:tc>
          <w:tcPr>
            <w:tcW w:w="5386" w:type="dxa"/>
            <w:vAlign w:val="center"/>
          </w:tcPr>
          <w:p>
            <w:pPr>
              <w:pStyle w:val="12"/>
            </w:pPr>
            <w:r>
              <w:t>其他各项综合实务工作完成率</w:t>
            </w:r>
          </w:p>
        </w:tc>
        <w:tc>
          <w:tcPr>
            <w:tcW w:w="2268" w:type="dxa"/>
            <w:vAlign w:val="center"/>
          </w:tcPr>
          <w:p>
            <w:pPr>
              <w:pStyle w:val="12"/>
            </w:pPr>
            <w:r>
              <w:t>≥95%</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≥95%</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合理安排</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立体化社会治安防控体系覆盖率(</w:t>
            </w:r>
          </w:p>
        </w:tc>
        <w:tc>
          <w:tcPr>
            <w:tcW w:w="5386" w:type="dxa"/>
            <w:vAlign w:val="center"/>
          </w:tcPr>
          <w:p>
            <w:pPr>
              <w:pStyle w:val="12"/>
            </w:pPr>
            <w:r>
              <w:t>立体化社会治安防控体系覆盖率(%)</w:t>
            </w:r>
          </w:p>
        </w:tc>
        <w:tc>
          <w:tcPr>
            <w:tcW w:w="2268" w:type="dxa"/>
            <w:vAlign w:val="center"/>
          </w:tcPr>
          <w:p>
            <w:pPr>
              <w:pStyle w:val="12"/>
            </w:pPr>
            <w:r>
              <w:t>≥90%</w:t>
            </w:r>
          </w:p>
        </w:tc>
        <w:tc>
          <w:tcPr>
            <w:tcW w:w="1276" w:type="dxa"/>
            <w:vAlign w:val="center"/>
          </w:tcPr>
          <w:p>
            <w:pPr>
              <w:pStyle w:val="12"/>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≥95%</w:t>
            </w:r>
          </w:p>
        </w:tc>
        <w:tc>
          <w:tcPr>
            <w:tcW w:w="1276" w:type="dxa"/>
            <w:vAlign w:val="center"/>
          </w:tcPr>
          <w:p>
            <w:pPr>
              <w:pStyle w:val="12"/>
            </w:pPr>
            <w:r>
              <w:t>冀综治办（2018）39号</w:t>
            </w:r>
          </w:p>
        </w:tc>
      </w:tr>
    </w:tbl>
    <w:p>
      <w:pPr>
        <w:sectPr>
          <w:pgSz w:w="16840" w:h="11900" w:orient="landscape"/>
          <w:pgMar w:top="1361" w:right="1020" w:bottom="1134" w:left="1020" w:header="720" w:footer="720" w:gutter="0"/>
          <w:pgNumType w:fmt="decimal"/>
          <w:cols w:space="720" w:num="1"/>
        </w:sectPr>
      </w:pPr>
    </w:p>
    <w:p>
      <w:pPr>
        <w:spacing w:before="10" w:after="10"/>
        <w:ind w:firstLine="640"/>
        <w:outlineLvl w:val="2"/>
      </w:pPr>
      <w:bookmarkStart w:id="13" w:name="_Toc_3_3_0000000017"/>
      <w:r>
        <w:rPr>
          <w:rFonts w:ascii="黑体" w:hAnsi="黑体" w:eastAsia="黑体" w:cs="黑体"/>
          <w:color w:val="000000"/>
          <w:sz w:val="32"/>
        </w:rPr>
        <w:t>八、政府采购预算情况</w:t>
      </w:r>
      <w:bookmarkEnd w:id="13"/>
    </w:p>
    <w:p>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216中国共产党隆尧县委员会政法委员会</w:t>
            </w:r>
          </w:p>
        </w:tc>
        <w:tc>
          <w:tcPr>
            <w:tcW w:w="7710"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4.38</w:t>
            </w:r>
          </w:p>
        </w:tc>
        <w:tc>
          <w:tcPr>
            <w:tcW w:w="964" w:type="dxa"/>
            <w:vAlign w:val="center"/>
          </w:tcPr>
          <w:p>
            <w:pPr>
              <w:pStyle w:val="15"/>
            </w:pPr>
            <w:r>
              <w:t>4.38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中国共产党隆尧县委员会政法委员会本级小计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4.38</w:t>
            </w:r>
          </w:p>
        </w:tc>
        <w:tc>
          <w:tcPr>
            <w:tcW w:w="964" w:type="dxa"/>
            <w:vAlign w:val="center"/>
          </w:tcPr>
          <w:p>
            <w:pPr>
              <w:pStyle w:val="15"/>
            </w:pPr>
            <w:r>
              <w:t>4.38</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4.38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综治经费</w:t>
            </w:r>
          </w:p>
        </w:tc>
        <w:tc>
          <w:tcPr>
            <w:tcW w:w="964" w:type="dxa"/>
            <w:vAlign w:val="center"/>
          </w:tcPr>
          <w:p>
            <w:pPr>
              <w:pStyle w:val="11"/>
            </w:pPr>
            <w:r>
              <w:t>52.00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箱</w:t>
            </w:r>
          </w:p>
        </w:tc>
        <w:tc>
          <w:tcPr>
            <w:tcW w:w="850" w:type="dxa"/>
            <w:vAlign w:val="center"/>
          </w:tcPr>
          <w:p>
            <w:pPr>
              <w:pStyle w:val="11"/>
            </w:pPr>
            <w:r>
              <w:t>60</w:t>
            </w:r>
          </w:p>
        </w:tc>
        <w:tc>
          <w:tcPr>
            <w:tcW w:w="850" w:type="dxa"/>
            <w:vAlign w:val="center"/>
          </w:tcPr>
          <w:p>
            <w:pPr>
              <w:pStyle w:val="11"/>
            </w:pPr>
            <w:r>
              <w:t>0.02</w:t>
            </w:r>
          </w:p>
        </w:tc>
        <w:tc>
          <w:tcPr>
            <w:tcW w:w="964" w:type="dxa"/>
            <w:vAlign w:val="center"/>
          </w:tcPr>
          <w:p>
            <w:pPr>
              <w:pStyle w:val="11"/>
            </w:pPr>
            <w:r>
              <w:t>1.38</w:t>
            </w:r>
          </w:p>
        </w:tc>
        <w:tc>
          <w:tcPr>
            <w:tcW w:w="964" w:type="dxa"/>
            <w:vAlign w:val="center"/>
          </w:tcPr>
          <w:p>
            <w:pPr>
              <w:pStyle w:val="11"/>
            </w:pPr>
            <w:r>
              <w:t>1.38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综治经费</w:t>
            </w:r>
          </w:p>
        </w:tc>
        <w:tc>
          <w:tcPr>
            <w:tcW w:w="964" w:type="dxa"/>
            <w:vAlign w:val="center"/>
          </w:tcPr>
          <w:p>
            <w:pPr>
              <w:pStyle w:val="11"/>
            </w:pPr>
            <w:r>
              <w:t>52.00</w:t>
            </w:r>
          </w:p>
        </w:tc>
        <w:tc>
          <w:tcPr>
            <w:tcW w:w="1134" w:type="dxa"/>
            <w:vAlign w:val="center"/>
          </w:tcPr>
          <w:p>
            <w:pPr>
              <w:pStyle w:val="12"/>
            </w:pPr>
            <w:r>
              <w:t>其他印刷服务</w:t>
            </w:r>
          </w:p>
        </w:tc>
        <w:tc>
          <w:tcPr>
            <w:tcW w:w="1134" w:type="dxa"/>
            <w:vAlign w:val="center"/>
          </w:tcPr>
          <w:p>
            <w:pPr>
              <w:pStyle w:val="12"/>
            </w:pPr>
            <w:r>
              <w:t>C23090199</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3.00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3.00</w:t>
            </w:r>
          </w:p>
        </w:tc>
      </w:tr>
    </w:tbl>
    <w:p>
      <w:pPr>
        <w:spacing w:line="500" w:lineRule="exact"/>
        <w:ind w:firstLine="420"/>
        <w:rPr>
          <w:rFonts w:ascii="方正书宋_GBK" w:hAnsi="方正书宋_GBK" w:eastAsia="方正书宋_GBK" w:cs="方正书宋_GBK"/>
          <w:color w:val="000000"/>
          <w:sz w:val="21"/>
        </w:rPr>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10" w:after="10"/>
        <w:ind w:firstLine="640"/>
        <w:outlineLvl w:val="2"/>
      </w:pPr>
      <w:bookmarkStart w:id="14" w:name="_Toc_3_3_0000000018"/>
      <w:r>
        <w:rPr>
          <w:rFonts w:ascii="黑体" w:hAnsi="黑体" w:eastAsia="黑体" w:cs="黑体"/>
          <w:color w:val="000000"/>
          <w:sz w:val="32"/>
        </w:rPr>
        <w:t>九、国有资产信息</w:t>
      </w:r>
      <w:bookmarkEnd w:id="14"/>
    </w:p>
    <w:p>
      <w:pPr>
        <w:ind w:firstLine="640" w:firstLineChars="200"/>
        <w:rPr>
          <w:rFonts w:eastAsia="仿宋"/>
          <w:color w:val="000000"/>
          <w:sz w:val="32"/>
          <w:szCs w:val="32"/>
        </w:rPr>
      </w:pPr>
      <w:r>
        <w:rPr>
          <w:rFonts w:hint="eastAsia" w:eastAsia="仿宋"/>
          <w:color w:val="000000"/>
          <w:sz w:val="32"/>
          <w:szCs w:val="32"/>
        </w:rPr>
        <w:t>中共隆尧县委政法委</w:t>
      </w:r>
      <w:r>
        <w:rPr>
          <w:rFonts w:eastAsia="仿宋"/>
          <w:color w:val="000000"/>
          <w:sz w:val="32"/>
          <w:szCs w:val="32"/>
        </w:rPr>
        <w:t>202</w:t>
      </w:r>
      <w:r>
        <w:rPr>
          <w:rFonts w:hint="eastAsia" w:eastAsia="仿宋"/>
          <w:color w:val="000000"/>
          <w:sz w:val="32"/>
          <w:szCs w:val="32"/>
        </w:rPr>
        <w:t>3年末固定资产金额为5.08万元（详见下表），本年度无拟购置固定资产详见政府采购预算表。</w:t>
      </w:r>
    </w:p>
    <w:tbl>
      <w:tblPr>
        <w:tblStyle w:val="4"/>
        <w:tblW w:w="8379" w:type="dxa"/>
        <w:tblInd w:w="93" w:type="dxa"/>
        <w:tblLayout w:type="fixed"/>
        <w:tblCellMar>
          <w:top w:w="0" w:type="dxa"/>
          <w:left w:w="108" w:type="dxa"/>
          <w:bottom w:w="0" w:type="dxa"/>
          <w:right w:w="108" w:type="dxa"/>
        </w:tblCellMar>
      </w:tblPr>
      <w:tblGrid>
        <w:gridCol w:w="3134"/>
        <w:gridCol w:w="1134"/>
        <w:gridCol w:w="4111"/>
      </w:tblGrid>
      <w:tr>
        <w:tblPrEx>
          <w:tblCellMar>
            <w:top w:w="0" w:type="dxa"/>
            <w:left w:w="108" w:type="dxa"/>
            <w:bottom w:w="0" w:type="dxa"/>
            <w:right w:w="108" w:type="dxa"/>
          </w:tblCellMar>
        </w:tblPrEx>
        <w:trPr>
          <w:trHeight w:val="705" w:hRule="atLeast"/>
        </w:trPr>
        <w:tc>
          <w:tcPr>
            <w:tcW w:w="8379" w:type="dxa"/>
            <w:gridSpan w:val="3"/>
            <w:tcBorders>
              <w:top w:val="nil"/>
              <w:left w:val="nil"/>
              <w:bottom w:val="nil"/>
              <w:right w:val="nil"/>
            </w:tcBorders>
            <w:vAlign w:val="center"/>
          </w:tcPr>
          <w:p>
            <w:pPr>
              <w:jc w:val="center"/>
              <w:rPr>
                <w:rFonts w:ascii="宋体" w:cs="宋体"/>
                <w:b/>
                <w:bCs/>
                <w:sz w:val="32"/>
                <w:szCs w:val="32"/>
              </w:rPr>
            </w:pPr>
            <w:r>
              <w:rPr>
                <w:rFonts w:hint="eastAsia" w:ascii="宋体" w:hAnsi="宋体" w:cs="宋体"/>
                <w:b/>
                <w:bCs/>
                <w:sz w:val="32"/>
                <w:szCs w:val="32"/>
              </w:rPr>
              <w:t>河北省隆尧县县直部门固定资产占用情况表</w:t>
            </w:r>
          </w:p>
        </w:tc>
      </w:tr>
      <w:tr>
        <w:tblPrEx>
          <w:tblCellMar>
            <w:top w:w="0" w:type="dxa"/>
            <w:left w:w="108" w:type="dxa"/>
            <w:bottom w:w="0" w:type="dxa"/>
            <w:right w:w="108" w:type="dxa"/>
          </w:tblCellMar>
        </w:tblPrEx>
        <w:trPr>
          <w:trHeight w:val="510" w:hRule="atLeast"/>
        </w:trPr>
        <w:tc>
          <w:tcPr>
            <w:tcW w:w="4268" w:type="dxa"/>
            <w:gridSpan w:val="2"/>
            <w:tcBorders>
              <w:top w:val="nil"/>
              <w:left w:val="nil"/>
              <w:bottom w:val="nil"/>
              <w:right w:val="nil"/>
            </w:tcBorders>
            <w:vAlign w:val="center"/>
          </w:tcPr>
          <w:p>
            <w:pPr>
              <w:jc w:val="center"/>
              <w:rPr>
                <w:rFonts w:eastAsia="仿宋"/>
                <w:sz w:val="22"/>
              </w:rPr>
            </w:pPr>
            <w:r>
              <w:rPr>
                <w:rFonts w:hint="eastAsia" w:eastAsia="仿宋"/>
                <w:sz w:val="22"/>
              </w:rPr>
              <w:t>编制部门：县委政法委</w:t>
            </w:r>
          </w:p>
        </w:tc>
        <w:tc>
          <w:tcPr>
            <w:tcW w:w="4111" w:type="dxa"/>
            <w:tcBorders>
              <w:top w:val="nil"/>
              <w:left w:val="nil"/>
              <w:bottom w:val="nil"/>
              <w:right w:val="nil"/>
            </w:tcBorders>
            <w:vAlign w:val="center"/>
          </w:tcPr>
          <w:p>
            <w:pPr>
              <w:ind w:firstLine="1320" w:firstLineChars="600"/>
              <w:rPr>
                <w:rFonts w:eastAsia="仿宋"/>
                <w:sz w:val="22"/>
              </w:rPr>
            </w:pPr>
            <w:r>
              <w:rPr>
                <w:rFonts w:hint="eastAsia" w:eastAsia="仿宋"/>
                <w:sz w:val="22"/>
              </w:rPr>
              <w:t>截止时间：</w:t>
            </w:r>
            <w:r>
              <w:rPr>
                <w:rFonts w:eastAsia="仿宋"/>
                <w:sz w:val="22"/>
              </w:rPr>
              <w:t>202</w:t>
            </w:r>
            <w:r>
              <w:rPr>
                <w:rFonts w:hint="eastAsia" w:eastAsia="仿宋"/>
                <w:sz w:val="22"/>
              </w:rPr>
              <w:t>3年</w:t>
            </w:r>
            <w:r>
              <w:rPr>
                <w:rFonts w:eastAsia="仿宋"/>
                <w:sz w:val="22"/>
              </w:rPr>
              <w:t>12</w:t>
            </w:r>
            <w:r>
              <w:rPr>
                <w:rFonts w:hint="eastAsia" w:eastAsia="仿宋"/>
                <w:sz w:val="22"/>
              </w:rPr>
              <w:t>月</w:t>
            </w:r>
            <w:r>
              <w:rPr>
                <w:rFonts w:eastAsia="仿宋"/>
                <w:sz w:val="22"/>
              </w:rPr>
              <w:t>31</w:t>
            </w:r>
            <w:r>
              <w:rPr>
                <w:rFonts w:hint="eastAsia" w:eastAsia="仿宋"/>
                <w:sz w:val="22"/>
              </w:rPr>
              <w:t>日</w:t>
            </w:r>
          </w:p>
        </w:tc>
      </w:tr>
      <w:tr>
        <w:tblPrEx>
          <w:tblCellMar>
            <w:top w:w="0" w:type="dxa"/>
            <w:left w:w="108" w:type="dxa"/>
            <w:bottom w:w="0" w:type="dxa"/>
            <w:right w:w="108" w:type="dxa"/>
          </w:tblCellMar>
        </w:tblPrEx>
        <w:trPr>
          <w:trHeight w:val="645" w:hRule="atLeast"/>
        </w:trPr>
        <w:tc>
          <w:tcPr>
            <w:tcW w:w="3134" w:type="dxa"/>
            <w:tcBorders>
              <w:top w:val="single" w:color="auto" w:sz="4" w:space="0"/>
              <w:left w:val="single" w:color="auto" w:sz="4" w:space="0"/>
              <w:bottom w:val="single" w:color="auto" w:sz="4" w:space="0"/>
              <w:right w:val="single" w:color="auto" w:sz="4" w:space="0"/>
            </w:tcBorders>
            <w:vAlign w:val="center"/>
          </w:tcPr>
          <w:p>
            <w:pPr>
              <w:rPr>
                <w:rFonts w:ascii="宋体" w:cs="宋体"/>
                <w:b/>
                <w:bCs/>
                <w:sz w:val="22"/>
              </w:rPr>
            </w:pPr>
            <w:r>
              <w:rPr>
                <w:rFonts w:hint="eastAsia" w:ascii="宋体" w:hAnsi="宋体" w:cs="宋体"/>
                <w:b/>
                <w:bCs/>
                <w:sz w:val="22"/>
              </w:rPr>
              <w:t>项目</w:t>
            </w:r>
          </w:p>
        </w:tc>
        <w:tc>
          <w:tcPr>
            <w:tcW w:w="1134" w:type="dxa"/>
            <w:tcBorders>
              <w:top w:val="single" w:color="auto" w:sz="4" w:space="0"/>
              <w:left w:val="nil"/>
              <w:bottom w:val="single" w:color="auto" w:sz="4" w:space="0"/>
              <w:right w:val="single" w:color="auto" w:sz="4" w:space="0"/>
            </w:tcBorders>
            <w:vAlign w:val="center"/>
          </w:tcPr>
          <w:p>
            <w:pPr>
              <w:rPr>
                <w:rFonts w:ascii="宋体" w:cs="宋体"/>
                <w:b/>
                <w:bCs/>
                <w:sz w:val="22"/>
              </w:rPr>
            </w:pPr>
            <w:r>
              <w:rPr>
                <w:rFonts w:hint="eastAsia" w:ascii="宋体" w:hAnsi="宋体" w:cs="宋体"/>
                <w:b/>
                <w:bCs/>
                <w:sz w:val="22"/>
              </w:rPr>
              <w:t>数量</w:t>
            </w:r>
          </w:p>
        </w:tc>
        <w:tc>
          <w:tcPr>
            <w:tcW w:w="4111" w:type="dxa"/>
            <w:tcBorders>
              <w:top w:val="single" w:color="auto" w:sz="4" w:space="0"/>
              <w:left w:val="nil"/>
              <w:bottom w:val="single" w:color="auto" w:sz="4" w:space="0"/>
              <w:right w:val="single" w:color="auto" w:sz="4" w:space="0"/>
            </w:tcBorders>
            <w:vAlign w:val="center"/>
          </w:tcPr>
          <w:p>
            <w:pPr>
              <w:rPr>
                <w:rFonts w:ascii="宋体" w:cs="宋体"/>
                <w:b/>
                <w:bCs/>
                <w:sz w:val="22"/>
              </w:rPr>
            </w:pPr>
            <w:r>
              <w:rPr>
                <w:rFonts w:hint="eastAsia" w:ascii="宋体" w:hAnsi="宋体" w:cs="宋体"/>
                <w:b/>
                <w:bCs/>
                <w:sz w:val="22"/>
              </w:rPr>
              <w:t>价值（金额单位：万元）</w:t>
            </w:r>
          </w:p>
        </w:tc>
      </w:tr>
      <w:tr>
        <w:tblPrEx>
          <w:tblCellMar>
            <w:top w:w="0" w:type="dxa"/>
            <w:left w:w="108" w:type="dxa"/>
            <w:bottom w:w="0" w:type="dxa"/>
            <w:right w:w="108" w:type="dxa"/>
          </w:tblCellMar>
        </w:tblPrEx>
        <w:trPr>
          <w:trHeight w:val="645" w:hRule="atLeast"/>
        </w:trPr>
        <w:tc>
          <w:tcPr>
            <w:tcW w:w="3134" w:type="dxa"/>
            <w:tcBorders>
              <w:top w:val="nil"/>
              <w:left w:val="single" w:color="auto" w:sz="4" w:space="0"/>
              <w:bottom w:val="single" w:color="auto" w:sz="4" w:space="0"/>
              <w:right w:val="single" w:color="auto" w:sz="4" w:space="0"/>
            </w:tcBorders>
            <w:vAlign w:val="center"/>
          </w:tcPr>
          <w:p>
            <w:pPr>
              <w:rPr>
                <w:rFonts w:eastAsia="仿宋"/>
                <w:sz w:val="22"/>
              </w:rPr>
            </w:pPr>
            <w:r>
              <w:rPr>
                <w:rFonts w:hint="eastAsia" w:eastAsia="仿宋"/>
                <w:sz w:val="22"/>
              </w:rPr>
              <w:t>资产总额</w:t>
            </w:r>
          </w:p>
        </w:tc>
        <w:tc>
          <w:tcPr>
            <w:tcW w:w="1134" w:type="dxa"/>
            <w:tcBorders>
              <w:top w:val="nil"/>
              <w:left w:val="nil"/>
              <w:bottom w:val="single" w:color="auto" w:sz="4" w:space="0"/>
              <w:right w:val="single" w:color="auto" w:sz="4" w:space="0"/>
            </w:tcBorders>
            <w:vAlign w:val="center"/>
          </w:tcPr>
          <w:p>
            <w:pPr>
              <w:rPr>
                <w:rFonts w:eastAsia="仿宋"/>
                <w:sz w:val="22"/>
              </w:rPr>
            </w:pPr>
            <w:r>
              <w:rPr>
                <w:rFonts w:eastAsia="仿宋"/>
                <w:sz w:val="22"/>
              </w:rPr>
              <w:t>——</w:t>
            </w:r>
          </w:p>
        </w:tc>
        <w:tc>
          <w:tcPr>
            <w:tcW w:w="4111" w:type="dxa"/>
            <w:tcBorders>
              <w:top w:val="nil"/>
              <w:left w:val="nil"/>
              <w:bottom w:val="single" w:color="auto" w:sz="4" w:space="0"/>
              <w:right w:val="single" w:color="auto" w:sz="4" w:space="0"/>
            </w:tcBorders>
            <w:vAlign w:val="center"/>
          </w:tcPr>
          <w:p>
            <w:pPr>
              <w:rPr>
                <w:rFonts w:eastAsia="仿宋"/>
                <w:color w:val="000000"/>
                <w:sz w:val="22"/>
              </w:rPr>
            </w:pPr>
            <w:r>
              <w:rPr>
                <w:rFonts w:hint="eastAsia" w:eastAsia="仿宋"/>
                <w:color w:val="000000"/>
                <w:sz w:val="22"/>
              </w:rPr>
              <w:t>5.08</w:t>
            </w:r>
          </w:p>
        </w:tc>
      </w:tr>
      <w:tr>
        <w:tblPrEx>
          <w:tblCellMar>
            <w:top w:w="0" w:type="dxa"/>
            <w:left w:w="108" w:type="dxa"/>
            <w:bottom w:w="0" w:type="dxa"/>
            <w:right w:w="108" w:type="dxa"/>
          </w:tblCellMar>
        </w:tblPrEx>
        <w:trPr>
          <w:trHeight w:val="645" w:hRule="atLeast"/>
        </w:trPr>
        <w:tc>
          <w:tcPr>
            <w:tcW w:w="3134" w:type="dxa"/>
            <w:tcBorders>
              <w:top w:val="nil"/>
              <w:left w:val="single" w:color="auto" w:sz="4" w:space="0"/>
              <w:bottom w:val="single" w:color="auto" w:sz="4" w:space="0"/>
              <w:right w:val="single" w:color="auto" w:sz="4" w:space="0"/>
            </w:tcBorders>
            <w:vAlign w:val="center"/>
          </w:tcPr>
          <w:p>
            <w:pPr>
              <w:rPr>
                <w:rFonts w:eastAsia="仿宋"/>
                <w:sz w:val="22"/>
              </w:rPr>
            </w:pPr>
            <w:r>
              <w:rPr>
                <w:rFonts w:eastAsia="仿宋"/>
                <w:sz w:val="22"/>
              </w:rPr>
              <w:t>1</w:t>
            </w:r>
            <w:r>
              <w:rPr>
                <w:rFonts w:hint="eastAsia" w:eastAsia="仿宋"/>
                <w:sz w:val="22"/>
              </w:rPr>
              <w:t>、房屋（平方米）</w:t>
            </w:r>
          </w:p>
        </w:tc>
        <w:tc>
          <w:tcPr>
            <w:tcW w:w="1134" w:type="dxa"/>
            <w:tcBorders>
              <w:top w:val="nil"/>
              <w:left w:val="nil"/>
              <w:bottom w:val="single" w:color="auto" w:sz="4" w:space="0"/>
              <w:right w:val="single" w:color="auto" w:sz="4" w:space="0"/>
            </w:tcBorders>
            <w:vAlign w:val="center"/>
          </w:tcPr>
          <w:p>
            <w:pPr>
              <w:rPr>
                <w:rFonts w:eastAsia="仿宋"/>
                <w:sz w:val="22"/>
              </w:rPr>
            </w:pPr>
          </w:p>
        </w:tc>
        <w:tc>
          <w:tcPr>
            <w:tcW w:w="4111" w:type="dxa"/>
            <w:tcBorders>
              <w:top w:val="nil"/>
              <w:left w:val="nil"/>
              <w:bottom w:val="single" w:color="auto" w:sz="4" w:space="0"/>
              <w:right w:val="single" w:color="auto" w:sz="4" w:space="0"/>
            </w:tcBorders>
            <w:vAlign w:val="center"/>
          </w:tcPr>
          <w:p>
            <w:pPr>
              <w:rPr>
                <w:rFonts w:eastAsia="仿宋"/>
                <w:sz w:val="22"/>
              </w:rPr>
            </w:pPr>
          </w:p>
        </w:tc>
      </w:tr>
      <w:tr>
        <w:tblPrEx>
          <w:tblCellMar>
            <w:top w:w="0" w:type="dxa"/>
            <w:left w:w="108" w:type="dxa"/>
            <w:bottom w:w="0" w:type="dxa"/>
            <w:right w:w="108" w:type="dxa"/>
          </w:tblCellMar>
        </w:tblPrEx>
        <w:trPr>
          <w:trHeight w:val="645" w:hRule="atLeast"/>
        </w:trPr>
        <w:tc>
          <w:tcPr>
            <w:tcW w:w="3134" w:type="dxa"/>
            <w:tcBorders>
              <w:top w:val="nil"/>
              <w:left w:val="single" w:color="auto" w:sz="4" w:space="0"/>
              <w:bottom w:val="single" w:color="auto" w:sz="4" w:space="0"/>
              <w:right w:val="single" w:color="auto" w:sz="4" w:space="0"/>
            </w:tcBorders>
            <w:vAlign w:val="center"/>
          </w:tcPr>
          <w:p>
            <w:pPr>
              <w:rPr>
                <w:rFonts w:eastAsia="仿宋"/>
                <w:sz w:val="22"/>
              </w:rPr>
            </w:pPr>
            <w:r>
              <w:rPr>
                <w:rFonts w:hint="eastAsia" w:eastAsia="仿宋"/>
                <w:sz w:val="22"/>
              </w:rPr>
              <w:t>其中：办公用房（平方米）</w:t>
            </w:r>
          </w:p>
        </w:tc>
        <w:tc>
          <w:tcPr>
            <w:tcW w:w="1134" w:type="dxa"/>
            <w:tcBorders>
              <w:top w:val="nil"/>
              <w:left w:val="nil"/>
              <w:bottom w:val="single" w:color="auto" w:sz="4" w:space="0"/>
              <w:right w:val="single" w:color="auto" w:sz="4" w:space="0"/>
            </w:tcBorders>
            <w:vAlign w:val="center"/>
          </w:tcPr>
          <w:p>
            <w:pPr>
              <w:rPr>
                <w:rFonts w:eastAsia="仿宋"/>
                <w:sz w:val="22"/>
              </w:rPr>
            </w:pPr>
          </w:p>
        </w:tc>
        <w:tc>
          <w:tcPr>
            <w:tcW w:w="4111" w:type="dxa"/>
            <w:tcBorders>
              <w:top w:val="nil"/>
              <w:left w:val="nil"/>
              <w:bottom w:val="single" w:color="auto" w:sz="4" w:space="0"/>
              <w:right w:val="single" w:color="auto" w:sz="4" w:space="0"/>
            </w:tcBorders>
            <w:vAlign w:val="center"/>
          </w:tcPr>
          <w:p>
            <w:pPr>
              <w:rPr>
                <w:rFonts w:eastAsia="仿宋"/>
                <w:sz w:val="22"/>
              </w:rPr>
            </w:pPr>
          </w:p>
        </w:tc>
      </w:tr>
      <w:tr>
        <w:tblPrEx>
          <w:tblCellMar>
            <w:top w:w="0" w:type="dxa"/>
            <w:left w:w="108" w:type="dxa"/>
            <w:bottom w:w="0" w:type="dxa"/>
            <w:right w:w="108" w:type="dxa"/>
          </w:tblCellMar>
        </w:tblPrEx>
        <w:trPr>
          <w:trHeight w:val="645" w:hRule="atLeast"/>
        </w:trPr>
        <w:tc>
          <w:tcPr>
            <w:tcW w:w="3134" w:type="dxa"/>
            <w:tcBorders>
              <w:top w:val="nil"/>
              <w:left w:val="single" w:color="auto" w:sz="4" w:space="0"/>
              <w:bottom w:val="single" w:color="auto" w:sz="4" w:space="0"/>
              <w:right w:val="single" w:color="auto" w:sz="4" w:space="0"/>
            </w:tcBorders>
            <w:vAlign w:val="center"/>
          </w:tcPr>
          <w:p>
            <w:pPr>
              <w:rPr>
                <w:rFonts w:eastAsia="仿宋"/>
                <w:sz w:val="22"/>
              </w:rPr>
            </w:pPr>
            <w:r>
              <w:rPr>
                <w:rFonts w:eastAsia="仿宋"/>
                <w:sz w:val="22"/>
              </w:rPr>
              <w:t>2</w:t>
            </w:r>
            <w:r>
              <w:rPr>
                <w:rFonts w:hint="eastAsia" w:eastAsia="仿宋"/>
                <w:sz w:val="22"/>
              </w:rPr>
              <w:t>、车辆（台、辆）</w:t>
            </w:r>
          </w:p>
        </w:tc>
        <w:tc>
          <w:tcPr>
            <w:tcW w:w="1134" w:type="dxa"/>
            <w:tcBorders>
              <w:top w:val="nil"/>
              <w:left w:val="nil"/>
              <w:bottom w:val="single" w:color="auto" w:sz="4" w:space="0"/>
              <w:right w:val="single" w:color="auto" w:sz="4" w:space="0"/>
            </w:tcBorders>
            <w:vAlign w:val="center"/>
          </w:tcPr>
          <w:p>
            <w:pPr>
              <w:rPr>
                <w:rFonts w:eastAsia="仿宋"/>
                <w:sz w:val="22"/>
              </w:rPr>
            </w:pPr>
          </w:p>
        </w:tc>
        <w:tc>
          <w:tcPr>
            <w:tcW w:w="4111" w:type="dxa"/>
            <w:tcBorders>
              <w:top w:val="nil"/>
              <w:left w:val="nil"/>
              <w:bottom w:val="single" w:color="auto" w:sz="4" w:space="0"/>
              <w:right w:val="single" w:color="auto" w:sz="4" w:space="0"/>
            </w:tcBorders>
            <w:vAlign w:val="center"/>
          </w:tcPr>
          <w:p>
            <w:pPr>
              <w:rPr>
                <w:rFonts w:eastAsia="仿宋"/>
                <w:sz w:val="22"/>
              </w:rPr>
            </w:pPr>
          </w:p>
        </w:tc>
      </w:tr>
      <w:tr>
        <w:tblPrEx>
          <w:tblCellMar>
            <w:top w:w="0" w:type="dxa"/>
            <w:left w:w="108" w:type="dxa"/>
            <w:bottom w:w="0" w:type="dxa"/>
            <w:right w:w="108" w:type="dxa"/>
          </w:tblCellMar>
        </w:tblPrEx>
        <w:trPr>
          <w:trHeight w:val="645" w:hRule="atLeast"/>
        </w:trPr>
        <w:tc>
          <w:tcPr>
            <w:tcW w:w="3134" w:type="dxa"/>
            <w:tcBorders>
              <w:top w:val="nil"/>
              <w:left w:val="single" w:color="auto" w:sz="4" w:space="0"/>
              <w:bottom w:val="single" w:color="auto" w:sz="4" w:space="0"/>
              <w:right w:val="single" w:color="auto" w:sz="4" w:space="0"/>
            </w:tcBorders>
            <w:vAlign w:val="center"/>
          </w:tcPr>
          <w:p>
            <w:pPr>
              <w:rPr>
                <w:rFonts w:eastAsia="仿宋"/>
                <w:sz w:val="22"/>
              </w:rPr>
            </w:pPr>
            <w:r>
              <w:rPr>
                <w:rFonts w:eastAsia="仿宋"/>
                <w:sz w:val="22"/>
              </w:rPr>
              <w:t>3</w:t>
            </w:r>
            <w:r>
              <w:rPr>
                <w:rFonts w:hint="eastAsia" w:eastAsia="仿宋"/>
                <w:sz w:val="22"/>
              </w:rPr>
              <w:t>、其他设备</w:t>
            </w:r>
          </w:p>
        </w:tc>
        <w:tc>
          <w:tcPr>
            <w:tcW w:w="1134" w:type="dxa"/>
            <w:tcBorders>
              <w:top w:val="nil"/>
              <w:left w:val="nil"/>
              <w:bottom w:val="single" w:color="auto" w:sz="4" w:space="0"/>
              <w:right w:val="single" w:color="auto" w:sz="4" w:space="0"/>
            </w:tcBorders>
            <w:vAlign w:val="center"/>
          </w:tcPr>
          <w:p>
            <w:pPr>
              <w:rPr>
                <w:rFonts w:eastAsia="仿宋"/>
                <w:sz w:val="22"/>
              </w:rPr>
            </w:pPr>
            <w:r>
              <w:rPr>
                <w:rFonts w:hint="eastAsia" w:eastAsia="仿宋"/>
                <w:sz w:val="22"/>
              </w:rPr>
              <w:t>35</w:t>
            </w:r>
          </w:p>
        </w:tc>
        <w:tc>
          <w:tcPr>
            <w:tcW w:w="4111" w:type="dxa"/>
            <w:tcBorders>
              <w:top w:val="nil"/>
              <w:left w:val="nil"/>
              <w:bottom w:val="single" w:color="auto" w:sz="4" w:space="0"/>
              <w:right w:val="single" w:color="auto" w:sz="4" w:space="0"/>
            </w:tcBorders>
            <w:vAlign w:val="center"/>
          </w:tcPr>
          <w:p>
            <w:pPr>
              <w:rPr>
                <w:rFonts w:eastAsia="仿宋"/>
                <w:sz w:val="22"/>
              </w:rPr>
            </w:pPr>
            <w:r>
              <w:rPr>
                <w:rFonts w:hint="eastAsia" w:eastAsia="仿宋"/>
                <w:sz w:val="22"/>
              </w:rPr>
              <w:t>5.08</w:t>
            </w:r>
          </w:p>
        </w:tc>
      </w:tr>
      <w:tr>
        <w:tblPrEx>
          <w:tblCellMar>
            <w:top w:w="0" w:type="dxa"/>
            <w:left w:w="108" w:type="dxa"/>
            <w:bottom w:w="0" w:type="dxa"/>
            <w:right w:w="108" w:type="dxa"/>
          </w:tblCellMar>
        </w:tblPrEx>
        <w:trPr>
          <w:trHeight w:val="645" w:hRule="atLeast"/>
        </w:trPr>
        <w:tc>
          <w:tcPr>
            <w:tcW w:w="3134" w:type="dxa"/>
            <w:tcBorders>
              <w:top w:val="nil"/>
              <w:left w:val="single" w:color="auto" w:sz="4" w:space="0"/>
              <w:bottom w:val="single" w:color="auto" w:sz="4" w:space="0"/>
              <w:right w:val="single" w:color="auto" w:sz="4" w:space="0"/>
            </w:tcBorders>
            <w:vAlign w:val="center"/>
          </w:tcPr>
          <w:p>
            <w:pPr>
              <w:rPr>
                <w:rFonts w:eastAsia="仿宋"/>
                <w:sz w:val="22"/>
              </w:rPr>
            </w:pPr>
            <w:r>
              <w:rPr>
                <w:rFonts w:eastAsia="仿宋"/>
                <w:sz w:val="22"/>
              </w:rPr>
              <w:t>4</w:t>
            </w:r>
            <w:r>
              <w:rPr>
                <w:rFonts w:hint="eastAsia" w:eastAsia="仿宋"/>
                <w:sz w:val="22"/>
              </w:rPr>
              <w:t>、其他固定资产</w:t>
            </w:r>
          </w:p>
        </w:tc>
        <w:tc>
          <w:tcPr>
            <w:tcW w:w="1134" w:type="dxa"/>
            <w:tcBorders>
              <w:top w:val="nil"/>
              <w:left w:val="nil"/>
              <w:bottom w:val="single" w:color="auto" w:sz="4" w:space="0"/>
              <w:right w:val="single" w:color="auto" w:sz="4" w:space="0"/>
            </w:tcBorders>
            <w:vAlign w:val="center"/>
          </w:tcPr>
          <w:p>
            <w:pPr>
              <w:rPr>
                <w:rFonts w:eastAsia="仿宋"/>
                <w:sz w:val="22"/>
              </w:rPr>
            </w:pPr>
          </w:p>
        </w:tc>
        <w:tc>
          <w:tcPr>
            <w:tcW w:w="4111" w:type="dxa"/>
            <w:tcBorders>
              <w:top w:val="nil"/>
              <w:left w:val="nil"/>
              <w:bottom w:val="single" w:color="auto" w:sz="4" w:space="0"/>
              <w:right w:val="single" w:color="auto" w:sz="4" w:space="0"/>
            </w:tcBorders>
            <w:vAlign w:val="center"/>
          </w:tcPr>
          <w:p>
            <w:pPr>
              <w:rPr>
                <w:rFonts w:eastAsia="仿宋"/>
                <w:sz w:val="22"/>
              </w:rPr>
            </w:pPr>
          </w:p>
        </w:tc>
      </w:tr>
    </w:tbl>
    <w:p>
      <w:pPr>
        <w:ind w:firstLine="640"/>
        <w:rPr>
          <w:rFonts w:hint="eastAsia" w:eastAsiaTheme="minorEastAsia"/>
          <w:color w:val="000000"/>
          <w:sz w:val="28"/>
          <w:lang w:eastAsia="zh-CN"/>
        </w:rPr>
      </w:pPr>
    </w:p>
    <w:p>
      <w:pPr>
        <w:ind w:firstLine="640"/>
        <w:rPr>
          <w:rFonts w:hint="eastAsia" w:eastAsiaTheme="minorEastAsia"/>
          <w:lang w:eastAsia="zh-CN"/>
        </w:rPr>
      </w:pPr>
    </w:p>
    <w:p>
      <w:pPr>
        <w:spacing w:before="10" w:after="10"/>
        <w:ind w:firstLine="640"/>
        <w:outlineLvl w:val="2"/>
      </w:pPr>
      <w:bookmarkStart w:id="15" w:name="_Toc_3_3_0000000019"/>
      <w:r>
        <w:rPr>
          <w:rFonts w:ascii="黑体" w:hAnsi="黑体" w:eastAsia="黑体" w:cs="黑体"/>
          <w:color w:val="000000"/>
          <w:sz w:val="32"/>
        </w:rPr>
        <w:t>十、名词解释</w:t>
      </w:r>
      <w:bookmarkEnd w:id="15"/>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6" w:name="_Toc_3_3_0000000020"/>
      <w:r>
        <w:rPr>
          <w:rFonts w:ascii="黑体" w:hAnsi="黑体" w:eastAsia="黑体" w:cs="黑体"/>
          <w:color w:val="000000"/>
          <w:sz w:val="32"/>
        </w:rPr>
        <w:t>十一、其他需要说明的事项</w:t>
      </w:r>
      <w:bookmarkEnd w:id="16"/>
    </w:p>
    <w:p>
      <w:pPr>
        <w:spacing w:line="500" w:lineRule="exact"/>
        <w:ind w:firstLine="560"/>
      </w:pPr>
      <w:r>
        <w:rPr>
          <w:rFonts w:eastAsia="方正仿宋_GBK"/>
          <w:color w:val="000000"/>
          <w:sz w:val="28"/>
        </w:rPr>
        <w:t>我部门无其他需要说明的事项。</w:t>
      </w:r>
    </w:p>
    <w:sectPr>
      <w:pgSz w:w="11900" w:h="16840"/>
      <w:pgMar w:top="1984" w:right="1417" w:bottom="1417" w:left="1417" w:header="720" w:footer="720" w:gutter="0"/>
      <w:pgNumType w:fmt="decimal"/>
      <w:cols w:space="0" w:num="1"/>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微软雅黑"/>
    <w:panose1 w:val="03000509000000000000"/>
    <w:charset w:val="86"/>
    <w:family w:val="roman"/>
    <w:pitch w:val="default"/>
    <w:sig w:usb0="00000000" w:usb1="00000000" w:usb2="00000000" w:usb3="00000000" w:csb0="00040000" w:csb1="00000000"/>
  </w:font>
  <w:font w:name="方正楷体_GBK">
    <w:altName w:val="微软雅黑"/>
    <w:panose1 w:val="03000509000000000000"/>
    <w:charset w:val="86"/>
    <w:family w:val="roma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29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29</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4"/>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
                            <w:fldChar w:fldCharType="begin"/>
                          </w:r>
                          <w:r>
                            <w:instrText xml:space="preserve">PAGE "page number"</w:instrText>
                          </w:r>
                          <w:r>
                            <w:fldChar w:fldCharType="separate"/>
                          </w:r>
                          <w:r>
                            <w:t>30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r>
                      <w:fldChar w:fldCharType="begin"/>
                    </w:r>
                    <w:r>
                      <w:instrText xml:space="preserve">PAGE "page number"</w:instrText>
                    </w:r>
                    <w:r>
                      <w:fldChar w:fldCharType="separate"/>
                    </w:r>
                    <w:r>
                      <w:t>30</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UyOWExZTdhZTQ4YjUyNTVjYWZhNDc3NGUxOTUwZGQifQ=="/>
  </w:docVars>
  <w:rsids>
    <w:rsidRoot w:val="008853D1"/>
    <w:rsid w:val="000451A8"/>
    <w:rsid w:val="001B73CA"/>
    <w:rsid w:val="004B0CD0"/>
    <w:rsid w:val="00730D63"/>
    <w:rsid w:val="008853D1"/>
    <w:rsid w:val="00AF151D"/>
    <w:rsid w:val="00CC1F05"/>
    <w:rsid w:val="010A74BC"/>
    <w:rsid w:val="053C4CE5"/>
    <w:rsid w:val="0D2E637B"/>
    <w:rsid w:val="4B2838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semiHidden/>
    <w:unhideWhenUsed/>
    <w:uiPriority w:val="99"/>
    <w:pPr>
      <w:tabs>
        <w:tab w:val="center" w:pos="4153"/>
        <w:tab w:val="right" w:pos="8306"/>
      </w:tabs>
      <w:snapToGrid w:val="0"/>
      <w:jc w:val="left"/>
    </w:pPr>
    <w:rPr>
      <w:sz w:val="18"/>
    </w:rPr>
  </w:style>
  <w:style w:type="paragraph" w:styleId="3">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单元格样式23"/>
    <w:basedOn w:val="1"/>
    <w:autoRedefine/>
    <w:qFormat/>
    <w:uiPriority w:val="0"/>
    <w:pPr>
      <w:jc w:val="right"/>
    </w:pPr>
    <w:rPr>
      <w:rFonts w:ascii="方正书宋_GBK" w:hAnsi="方正书宋_GBK" w:eastAsia="方正书宋_GBK" w:cs="方正书宋_GBK"/>
    </w:rPr>
  </w:style>
  <w:style w:type="paragraph" w:customStyle="1" w:styleId="25">
    <w:name w:val="TOC 2"/>
    <w:basedOn w:val="1"/>
    <w:autoRedefine/>
    <w:qFormat/>
    <w:uiPriority w:val="0"/>
    <w:pPr>
      <w:ind w:left="240"/>
    </w:pPr>
  </w:style>
  <w:style w:type="paragraph" w:customStyle="1" w:styleId="26">
    <w:name w:val="TOC 3"/>
    <w:basedOn w:val="1"/>
    <w:autoRedefine/>
    <w:qFormat/>
    <w:uiPriority w:val="0"/>
    <w:pPr>
      <w:ind w:left="480"/>
    </w:pPr>
  </w:style>
  <w:style w:type="paragraph" w:customStyle="1" w:styleId="27">
    <w:name w:val="TOC 1"/>
    <w:basedOn w:val="1"/>
    <w:autoRedefine/>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fontTable.xml" Type="http://schemas.openxmlformats.org/officeDocument/2006/relationships/fontTable"/><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2024-01-31T16:30:44Z</dcterms:created>
  <dcterms:modified xsi:type="dcterms:W3CDTF">2024-01-31T08:30:44Z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2024-01-31T16:30:41Z</dcterms:created>
  <dcterms:modified xsi:type="dcterms:W3CDTF">2024-01-31T08:30:40Z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2024-01-31T16:30:45Z</dcterms:created>
  <dcterms:modified xsi:type="dcterms:W3CDTF">2024-01-31T08:30:45Z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2024-01-31T16:31:14Z</dcterms:created>
  <dcterms:modified xsi:type="dcterms:W3CDTF">2024-01-31T08:31:14Z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2024-01-31T16:31:09Z</dcterms:created>
  <dcterms:modified xsi:type="dcterms:W3CDTF">2024-01-31T08:31:09Z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2024-01-31T16:30:41Z</dcterms:created>
  <dcterms:modified xsi:type="dcterms:W3CDTF">2024-01-31T08:30:41Z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2024-01-31T16:30:39Z</dcterms:created>
  <dcterms:modified xsi:type="dcterms:W3CDTF">2024-01-31T08:30:30Z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2024-01-31T16:31:27Z</dcterms:created>
  <dcterms:modified xsi:type="dcterms:W3CDTF">2024-01-31T08:31:27Z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2024-01-31T16:30:42Z</dcterms:created>
  <dcterms:modified xsi:type="dcterms:W3CDTF">2024-01-31T08:30:42Z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2024-01-31T16:31:07Z</dcterms:created>
  <dcterms:modified xsi:type="dcterms:W3CDTF">2024-01-31T08:31:07Z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2024-01-31T16:31:12Z</dcterms:created>
  <dcterms:modified xsi:type="dcterms:W3CDTF">2024-01-31T08:31:11Z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2024-01-31T16:31:05Z</dcterms:created>
  <dcterms:modified xsi:type="dcterms:W3CDTF">2024-01-31T08:31:05Z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AC13528E-E823-411A-9BD3-F4956A7B954D}">
  <ds:schemaRefs/>
</ds:datastoreItem>
</file>

<file path=customXml/itemProps11.xml><?xml version="1.0" encoding="utf-8"?>
<ds:datastoreItem xmlns:ds="http://schemas.openxmlformats.org/officeDocument/2006/customXml" ds:itemID="{D974CBF2-204A-4CCD-AE97-DD6EED9A344E}">
  <ds:schemaRefs/>
</ds:datastoreItem>
</file>

<file path=customXml/itemProps12.xml><?xml version="1.0" encoding="utf-8"?>
<ds:datastoreItem xmlns:ds="http://schemas.openxmlformats.org/officeDocument/2006/customXml" ds:itemID="{109D76FB-E5AA-48A8-BE6B-0A05662855DE}">
  <ds:schemaRefs/>
</ds:datastoreItem>
</file>

<file path=customXml/itemProps13.xml><?xml version="1.0" encoding="utf-8"?>
<ds:datastoreItem xmlns:ds="http://schemas.openxmlformats.org/officeDocument/2006/customXml" ds:itemID="{B2EB2D44-12D4-4F59-A007-085B79BFE3CB}">
  <ds:schemaRefs/>
</ds:datastoreItem>
</file>

<file path=customXml/itemProps14.xml><?xml version="1.0" encoding="utf-8"?>
<ds:datastoreItem xmlns:ds="http://schemas.openxmlformats.org/officeDocument/2006/customXml" ds:itemID="{8FBE40B4-9F32-4172-9A96-E422058A52A1}">
  <ds:schemaRefs/>
</ds:datastoreItem>
</file>

<file path=customXml/itemProps15.xml><?xml version="1.0" encoding="utf-8"?>
<ds:datastoreItem xmlns:ds="http://schemas.openxmlformats.org/officeDocument/2006/customXml" ds:itemID="{CF171D6B-5D1E-4639-9CA8-DA6DF7F762AA}">
  <ds:schemaRefs/>
</ds:datastoreItem>
</file>

<file path=customXml/itemProps16.xml><?xml version="1.0" encoding="utf-8"?>
<ds:datastoreItem xmlns:ds="http://schemas.openxmlformats.org/officeDocument/2006/customXml" ds:itemID="{6A596BD5-B442-4B18-88BD-BBD8C749FF0A}">
  <ds:schemaRefs/>
</ds:datastoreItem>
</file>

<file path=customXml/itemProps17.xml><?xml version="1.0" encoding="utf-8"?>
<ds:datastoreItem xmlns:ds="http://schemas.openxmlformats.org/officeDocument/2006/customXml" ds:itemID="{46655D6C-6394-4B3C-BAB8-7873153A5F38}">
  <ds:schemaRefs/>
</ds:datastoreItem>
</file>

<file path=customXml/itemProps18.xml><?xml version="1.0" encoding="utf-8"?>
<ds:datastoreItem xmlns:ds="http://schemas.openxmlformats.org/officeDocument/2006/customXml" ds:itemID="{574240D1-FB4E-43C9-93AB-6B534D47BC98}">
  <ds:schemaRefs/>
</ds:datastoreItem>
</file>

<file path=customXml/itemProps19.xml><?xml version="1.0" encoding="utf-8"?>
<ds:datastoreItem xmlns:ds="http://schemas.openxmlformats.org/officeDocument/2006/customXml" ds:itemID="{B866E444-BEA4-452B-8F7D-A333119402A5}">
  <ds:schemaRefs/>
</ds:datastoreItem>
</file>

<file path=customXml/itemProps2.xml><?xml version="1.0" encoding="utf-8"?>
<ds:datastoreItem xmlns:ds="http://schemas.openxmlformats.org/officeDocument/2006/customXml" ds:itemID="{57432C42-22E1-4634-9EEC-7C43A218D1F6}">
  <ds:schemaRefs/>
</ds:datastoreItem>
</file>

<file path=customXml/itemProps20.xml><?xml version="1.0" encoding="utf-8"?>
<ds:datastoreItem xmlns:ds="http://schemas.openxmlformats.org/officeDocument/2006/customXml" ds:itemID="{DEE9C372-C545-4033-B4C7-E5FB46FBF139}">
  <ds:schemaRefs/>
</ds:datastoreItem>
</file>

<file path=customXml/itemProps21.xml><?xml version="1.0" encoding="utf-8"?>
<ds:datastoreItem xmlns:ds="http://schemas.openxmlformats.org/officeDocument/2006/customXml" ds:itemID="{BB33C6E2-F4DE-4070-BB26-B898B6A21537}">
  <ds:schemaRefs/>
</ds:datastoreItem>
</file>

<file path=customXml/itemProps22.xml><?xml version="1.0" encoding="utf-8"?>
<ds:datastoreItem xmlns:ds="http://schemas.openxmlformats.org/officeDocument/2006/customXml" ds:itemID="{CD493E30-324F-468D-88EB-C58D01F146F7}">
  <ds:schemaRefs/>
</ds:datastoreItem>
</file>

<file path=customXml/itemProps23.xml><?xml version="1.0" encoding="utf-8"?>
<ds:datastoreItem xmlns:ds="http://schemas.openxmlformats.org/officeDocument/2006/customXml" ds:itemID="{73BA4A60-2607-4A18-A27F-4EAC178E4EA1}">
  <ds:schemaRefs/>
</ds:datastoreItem>
</file>

<file path=customXml/itemProps24.xml><?xml version="1.0" encoding="utf-8"?>
<ds:datastoreItem xmlns:ds="http://schemas.openxmlformats.org/officeDocument/2006/customXml" ds:itemID="{233FC288-73D2-469E-82AD-20961001CDE4}">
  <ds:schemaRefs/>
</ds:datastoreItem>
</file>

<file path=customXml/itemProps25.xml><?xml version="1.0" encoding="utf-8"?>
<ds:datastoreItem xmlns:ds="http://schemas.openxmlformats.org/officeDocument/2006/customXml" ds:itemID="{3D6ED390-43E4-4818-B1F6-94E03ED69126}">
  <ds:schemaRefs/>
</ds:datastoreItem>
</file>

<file path=customXml/itemProps3.xml><?xml version="1.0" encoding="utf-8"?>
<ds:datastoreItem xmlns:ds="http://schemas.openxmlformats.org/officeDocument/2006/customXml" ds:itemID="{CF94856F-9BD8-4CA7-B440-7A1D956D5DB9}">
  <ds:schemaRefs/>
</ds:datastoreItem>
</file>

<file path=customXml/itemProps4.xml><?xml version="1.0" encoding="utf-8"?>
<ds:datastoreItem xmlns:ds="http://schemas.openxmlformats.org/officeDocument/2006/customXml" ds:itemID="{5EB43693-781C-4B5A-B06B-2361AD26D1E0}">
  <ds:schemaRefs/>
</ds:datastoreItem>
</file>

<file path=customXml/itemProps5.xml><?xml version="1.0" encoding="utf-8"?>
<ds:datastoreItem xmlns:ds="http://schemas.openxmlformats.org/officeDocument/2006/customXml" ds:itemID="{98447A52-C3C3-44D9-9F2F-DA9E9C364517}">
  <ds:schemaRefs/>
</ds:datastoreItem>
</file>

<file path=customXml/itemProps6.xml><?xml version="1.0" encoding="utf-8"?>
<ds:datastoreItem xmlns:ds="http://schemas.openxmlformats.org/officeDocument/2006/customXml" ds:itemID="{B14B1684-E0D9-40A2-942B-F53E1D11996E}">
  <ds:schemaRefs/>
</ds:datastoreItem>
</file>

<file path=customXml/itemProps7.xml><?xml version="1.0" encoding="utf-8"?>
<ds:datastoreItem xmlns:ds="http://schemas.openxmlformats.org/officeDocument/2006/customXml" ds:itemID="{198EFD44-CDF5-4A27-A101-CB1D9B7C5DDC}">
  <ds:schemaRefs/>
</ds:datastoreItem>
</file>

<file path=customXml/itemProps8.xml><?xml version="1.0" encoding="utf-8"?>
<ds:datastoreItem xmlns:ds="http://schemas.openxmlformats.org/officeDocument/2006/customXml" ds:itemID="{81DE9C67-859A-4EC3-BC93-D6723F151EB4}">
  <ds:schemaRefs/>
</ds:datastoreItem>
</file>

<file path=customXml/itemProps9.xml><?xml version="1.0" encoding="utf-8"?>
<ds:datastoreItem xmlns:ds="http://schemas.openxmlformats.org/officeDocument/2006/customXml" ds:itemID="{685504EF-7945-4CF9-BC45-F47AF4EB0433}">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34</Pages>
  <Words>2587</Words>
  <Characters>14749</Characters>
  <Lines>122</Lines>
  <Paragraphs>34</Paragraphs>
  <TotalTime>1</TotalTime>
  <ScaleCrop>false</ScaleCrop>
  <LinksUpToDate>false</LinksUpToDate>
  <CharactersWithSpaces>17302</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2024-01-31T08:48:00Z</dcterms:created>
  <dc:creator>Administrator</dc:creator>
  <cp:lastModifiedBy>微信用户</cp:lastModifiedBy>
  <dcterms:modified xsi:type="dcterms:W3CDTF">2024-03-07T09:07:19Z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6DF412B5085B4BECB6AB35A7B3382330_13</vt:lpwstr>
  </property>
</Properties>
</file>