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600" w:lineRule="exact"/>
        <w:ind w:left="0" w:right="0" w:firstLine="0"/>
        <w:jc w:val="center"/>
        <w:rPr>
          <w:rFonts w:hint="eastAsia" w:ascii="方正小标宋_GBK" w:eastAsia="方正小标宋_GBK" w:cs="方正小标宋_GBK"/>
          <w:b w:val="0"/>
          <w:bCs/>
          <w:sz w:val="44"/>
          <w:szCs w:val="44"/>
          <w:lang w:eastAsia="zh-CN"/>
        </w:rPr>
      </w:pPr>
      <w:r>
        <w:rPr>
          <w:rFonts w:hint="eastAsia" w:ascii="方正小标宋_GBK" w:eastAsia="方正小标宋_GBK" w:cs="方正小标宋_GBK"/>
          <w:b w:val="0"/>
          <w:bCs/>
          <w:sz w:val="44"/>
          <w:szCs w:val="44"/>
        </w:rPr>
        <w:t>隆尧县</w:t>
      </w:r>
      <w:r>
        <w:rPr>
          <w:rFonts w:hint="eastAsia" w:ascii="方正小标宋_GBK" w:eastAsia="方正小标宋_GBK" w:cs="方正小标宋_GBK"/>
          <w:b w:val="0"/>
          <w:bCs/>
          <w:sz w:val="44"/>
          <w:szCs w:val="44"/>
          <w:lang w:eastAsia="zh-CN"/>
        </w:rPr>
        <w:t>人民政府</w:t>
      </w: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600" w:lineRule="exact"/>
        <w:ind w:left="0" w:right="0" w:firstLine="0"/>
        <w:jc w:val="center"/>
        <w:rPr>
          <w:rFonts w:hint="eastAsia" w:ascii="方正小标宋_GBK" w:eastAsia="方正小标宋_GBK" w:cs="方正小标宋_GBK"/>
          <w:b w:val="0"/>
          <w:bCs/>
          <w:sz w:val="44"/>
          <w:szCs w:val="44"/>
        </w:rPr>
      </w:pPr>
      <w:r>
        <w:rPr>
          <w:rFonts w:hint="eastAsia" w:ascii="方正小标宋_GBK" w:eastAsia="方正小标宋_GBK" w:cs="方正小标宋_GBK"/>
          <w:b w:val="0"/>
          <w:bCs/>
          <w:sz w:val="44"/>
          <w:szCs w:val="44"/>
        </w:rPr>
        <w:t>202</w:t>
      </w:r>
      <w:r>
        <w:rPr>
          <w:rFonts w:hint="eastAsia" w:ascii="方正小标宋_GBK" w:eastAsia="方正小标宋_GBK" w:cs="方正小标宋_GBK"/>
          <w:b w:val="0"/>
          <w:bCs/>
          <w:sz w:val="44"/>
          <w:szCs w:val="44"/>
          <w:lang w:val="en-US" w:eastAsia="zh-CN"/>
        </w:rPr>
        <w:t>3</w:t>
      </w:r>
      <w:r>
        <w:rPr>
          <w:rFonts w:hint="eastAsia" w:ascii="方正小标宋_GBK" w:eastAsia="方正小标宋_GBK" w:cs="方正小标宋_GBK"/>
          <w:b w:val="0"/>
          <w:bCs/>
          <w:sz w:val="44"/>
          <w:szCs w:val="44"/>
        </w:rPr>
        <w:t>年政府信息公开工作年度报告</w:t>
      </w: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600" w:lineRule="exact"/>
        <w:ind w:left="0" w:right="0" w:firstLine="0"/>
        <w:jc w:val="center"/>
        <w:rPr>
          <w:rFonts w:hint="eastAsia" w:ascii="方正小标宋_GBK" w:eastAsia="方正小标宋_GBK" w:cs="方正小标宋_GBK"/>
          <w:b w:val="0"/>
          <w:bCs/>
          <w:sz w:val="44"/>
          <w:szCs w:val="44"/>
        </w:rPr>
      </w:pP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_GB2312" w:eastAsia="仿宋_GB2312" w:cs="仿宋_GB2312"/>
          <w:bCs/>
          <w:i w:val="0"/>
          <w:iCs w:val="0"/>
          <w:caps w:val="0"/>
          <w:small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eastAsia="仿宋_GB2312" w:cs="仿宋_GB2312"/>
          <w:bCs/>
          <w:i w:val="0"/>
          <w:iCs w:val="0"/>
          <w:caps w:val="0"/>
          <w:small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/>
        </w:rPr>
        <w:t>本年度报告按照《中华人民共和国政府信息公开条例》和《中华人民共和国政府信息公开工作年度报告格式》要求，在综合各乡镇政府和县政府各部门2023年政府信息公开工作年度报告基础上编制。所列数据统计期限从2023年1月1日至12月31日止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 w:line="600" w:lineRule="exact"/>
        <w:ind w:left="0" w:right="0" w:firstLine="640" w:firstLineChars="200"/>
        <w:jc w:val="both"/>
        <w:rPr>
          <w:rFonts w:hint="eastAsia" w:ascii="黑体" w:eastAsia="黑体" w:cs="黑体"/>
          <w:b w:val="0"/>
          <w:bCs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黑体" w:eastAsia="黑体" w:cs="黑体"/>
          <w:b w:val="0"/>
          <w:bCs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一、</w:t>
      </w:r>
      <w:r>
        <w:rPr>
          <w:rFonts w:hint="eastAsia" w:ascii="黑体" w:eastAsia="黑体" w:cs="黑体"/>
          <w:b w:val="0"/>
          <w:bCs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总体情况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_GB2312" w:eastAsia="仿宋_GB2312" w:cs="仿宋_GB2312"/>
          <w:bCs/>
          <w:i w:val="0"/>
          <w:iCs w:val="0"/>
          <w:caps w:val="0"/>
          <w:small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eastAsia="仿宋_GB2312" w:cs="仿宋_GB2312"/>
          <w:bCs/>
          <w:i w:val="0"/>
          <w:iCs w:val="0"/>
          <w:caps w:val="0"/>
          <w:small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/>
        </w:rPr>
        <w:t>2023年，隆尧县人民政府认真落实党中央、国务院、省委、省政府以及市委、市政府决策部署，紧紧围绕县委、县政府中心工作，不断加大政府信息主动公开力度，规范依申请公开办理，强化政务公开平台建设，全面推进县域政务公开工作提质增效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_GB2312" w:eastAsia="仿宋_GB2312" w:cs="仿宋_GB2312"/>
          <w:bCs/>
          <w:i w:val="0"/>
          <w:iCs w:val="0"/>
          <w:caps w:val="0"/>
          <w:small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eastAsia="仿宋_GB2312" w:cs="仿宋_GB2312"/>
          <w:bCs/>
          <w:i w:val="0"/>
          <w:iCs w:val="0"/>
          <w:caps w:val="0"/>
          <w:small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/>
        </w:rPr>
        <w:t>（一）主动公开进一步加强。全县全年通过隆尧县政府门户网站发布各类政府信息</w:t>
      </w:r>
      <w:r>
        <w:rPr>
          <w:rStyle w:val="8"/>
          <w:rFonts w:hint="eastAsia" w:eastAsia="仿宋_GB2312"/>
          <w:lang w:val="en-US" w:eastAsia="zh-CN"/>
        </w:rPr>
        <w:t>4466</w:t>
      </w:r>
      <w:r>
        <w:rPr>
          <w:rFonts w:hint="eastAsia" w:ascii="仿宋_GB2312" w:eastAsia="仿宋_GB2312" w:cs="仿宋_GB2312"/>
          <w:bCs/>
          <w:i w:val="0"/>
          <w:iCs w:val="0"/>
          <w:caps w:val="0"/>
          <w:small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/>
        </w:rPr>
        <w:t>余条，通过“政务隆尧”微信订阅号推送信息510余篇。公开人大代表建议、政协提案复文26件，按时发布县政府2023年度部门预算、2022年度部门决算等信息。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eastAsia="仿宋_GB2312" w:cs="仿宋_GB2312"/>
          <w:bCs/>
          <w:i w:val="0"/>
          <w:iCs w:val="0"/>
          <w:caps w:val="0"/>
          <w:small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eastAsia="仿宋_GB2312" w:cs="仿宋_GB2312"/>
          <w:bCs/>
          <w:i w:val="0"/>
          <w:iCs w:val="0"/>
          <w:caps w:val="0"/>
          <w:small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/>
        </w:rPr>
        <w:t>（二）依申请公开进一步规范。严格执行办理程序，加强与申请人沟通交流，精准掌握实际诉求，有针对性地提高办理质量；对答复合理合法但群众不理解的，耐心细致做好解释工作。我县高度重视政府信息依申请公开工作，认真贯彻落实《河北省政府信息公开申请办理规范》，进一步完善了政府信息公开申请登记、审核、办理、答复、归档制度，按照标准化流程和答复格式文书，切实担负起答复主体责任。2023年，全县共收到依申请公开案例18例，均依法依规进行了答复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eastAsia="仿宋_GB2312" w:cs="仿宋_GB2312"/>
          <w:bCs/>
          <w:i w:val="0"/>
          <w:iCs w:val="0"/>
          <w:caps w:val="0"/>
          <w:small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eastAsia="仿宋_GB2312" w:cs="仿宋_GB2312"/>
          <w:bCs/>
          <w:i w:val="0"/>
          <w:iCs w:val="0"/>
          <w:caps w:val="0"/>
          <w:small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/>
        </w:rPr>
        <w:t>（三）政府信息管理进一步严格。印发《隆尧县政府信息公开保密审查制度》，将公文属性源头认定和发布审查嵌入发文流程，有效解决政府文件公开不到位问题。印发《关于进一步加强县政府门户网站、政务新媒体信息发布审查工作的通知》，严格落实信息发布前“三审”备案表制度，有效减少信息公开存在的错敏词汇现象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eastAsia="仿宋_GB2312" w:cs="仿宋_GB2312"/>
          <w:bCs/>
          <w:i w:val="0"/>
          <w:iCs w:val="0"/>
          <w:caps w:val="0"/>
          <w:small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eastAsia="仿宋_GB2312" w:cs="仿宋_GB2312"/>
          <w:bCs/>
          <w:i w:val="0"/>
          <w:iCs w:val="0"/>
          <w:caps w:val="0"/>
          <w:small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/>
        </w:rPr>
        <w:t>（四）政府信息公开平台建设进一步推进。畅通政务服务大厅渠道，加强政府信息传播，方便群众查阅。为进一步优化政府网站和信息公开平台服务功能，我县投资50余万元，开展了政府网站和政府信息公开平台整合改造提升项目建设，有效提升政府网站和政府信息公开平台的一站式搜索、错敏字检索、公民隐私信息保护、信息存储和网站安全防护功能，采取三级等保测评服务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 w:line="600" w:lineRule="exact"/>
        <w:ind w:right="0" w:firstLine="640" w:firstLineChars="200"/>
        <w:jc w:val="both"/>
        <w:rPr>
          <w:rFonts w:hint="eastAsia" w:ascii="仿宋_GB2312" w:eastAsia="仿宋_GB2312" w:cs="仿宋_GB2312"/>
          <w:bCs/>
          <w:i w:val="0"/>
          <w:iCs w:val="0"/>
          <w:caps w:val="0"/>
          <w:small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eastAsia="仿宋_GB2312" w:cs="仿宋_GB2312"/>
          <w:bCs/>
          <w:i w:val="0"/>
          <w:iCs w:val="0"/>
          <w:caps w:val="0"/>
          <w:small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/>
        </w:rPr>
        <w:t>（五）监督保障进一步强化。我县继续将政务公开工作纳入绩效考核，结合年度政务公开工作要点，不断完善考核方案，优化考核内容。认真做好政务新媒体打卡工作，每周汇总各单位政务新媒体信息发布情况并上报。组织召开全县政务公开工作培训会，对政府网站信息发布存在的内容表述错误、信息携带外链、主动公开和政策解读不到位等问题进行了专题培训，督促引导各乡镇、各部门积极主动公开，有效保障群众知情权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 w:line="600" w:lineRule="exact"/>
        <w:ind w:right="0" w:firstLine="640" w:firstLineChars="200"/>
        <w:jc w:val="both"/>
        <w:rPr>
          <w:rFonts w:hint="eastAsia" w:ascii="黑体" w:eastAsia="黑体" w:cs="黑体"/>
          <w:b w:val="0"/>
          <w:bCs/>
          <w:i w:val="0"/>
          <w:caps w:val="0"/>
          <w:smallCaps w:val="0"/>
          <w:color w:val="333333"/>
          <w:spacing w:val="0"/>
          <w:sz w:val="32"/>
          <w:szCs w:val="32"/>
        </w:rPr>
      </w:pPr>
      <w:r>
        <w:rPr>
          <w:rFonts w:hint="eastAsia" w:ascii="黑体" w:eastAsia="黑体" w:cs="黑体"/>
          <w:b w:val="0"/>
          <w:bCs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二、主动公开政府信息情况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 w:line="600" w:lineRule="exact"/>
        <w:ind w:left="0" w:right="0" w:firstLine="420"/>
        <w:jc w:val="both"/>
        <w:rPr>
          <w:rFonts w:hint="eastAsia" w:ascii="宋体" w:eastAsia="宋体" w:cs="宋体"/>
          <w:i w:val="0"/>
          <w:caps w:val="0"/>
          <w:smallCaps w:val="0"/>
          <w:color w:val="333333"/>
          <w:spacing w:val="0"/>
          <w:sz w:val="24"/>
          <w:szCs w:val="24"/>
        </w:rPr>
      </w:pPr>
    </w:p>
    <w:tbl>
      <w:tblPr>
        <w:tblStyle w:val="4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00" w:lineRule="exact"/>
              <w:ind w:left="0" w:right="0"/>
              <w:jc w:val="center"/>
            </w:pPr>
            <w:r>
              <w:rPr>
                <w:rFonts w:hint="eastAsia" w:asci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00" w:lineRule="exact"/>
              <w:ind w:left="0" w:right="0"/>
              <w:jc w:val="center"/>
              <w:rPr>
                <w:rFonts w:hint="eastAsia" w:ascii="宋体" w:eastAsia="宋体" w:cs="宋体"/>
                <w:sz w:val="20"/>
                <w:szCs w:val="20"/>
              </w:rPr>
            </w:pPr>
            <w:r>
              <w:rPr>
                <w:rFonts w:hint="eastAsia" w:asci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00" w:lineRule="exact"/>
              <w:ind w:left="0" w:right="0"/>
              <w:jc w:val="center"/>
              <w:rPr>
                <w:rFonts w:hint="eastAsia" w:ascii="宋体" w:eastAsia="宋体" w:cs="宋体"/>
                <w:sz w:val="20"/>
                <w:szCs w:val="20"/>
              </w:rPr>
            </w:pPr>
            <w:r>
              <w:rPr>
                <w:rFonts w:hint="eastAsia" w:asci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本年</w:t>
            </w:r>
            <w:r>
              <w:rPr>
                <w:rFonts w:hint="eastAsia" w:ascii="宋体" w:eastAsia="宋体" w:cs="宋体"/>
                <w:kern w:val="0"/>
                <w:sz w:val="20"/>
                <w:szCs w:val="20"/>
                <w:lang w:val="en-US" w:eastAsia="zh-CN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00" w:lineRule="exact"/>
              <w:ind w:left="0" w:right="0"/>
              <w:jc w:val="center"/>
              <w:rPr>
                <w:rFonts w:hint="eastAsia" w:ascii="宋体" w:eastAsia="宋体" w:cs="宋体"/>
                <w:sz w:val="20"/>
                <w:szCs w:val="20"/>
              </w:rPr>
            </w:pPr>
            <w:r>
              <w:rPr>
                <w:rFonts w:hint="eastAsia" w:asci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00" w:lineRule="exact"/>
              <w:ind w:left="0" w:right="0"/>
              <w:jc w:val="center"/>
              <w:rPr>
                <w:rFonts w:hint="eastAsia" w:ascii="宋体" w:eastAsia="宋体" w:cs="宋体"/>
                <w:sz w:val="20"/>
                <w:szCs w:val="20"/>
              </w:rPr>
            </w:pPr>
            <w:r>
              <w:rPr>
                <w:rFonts w:hint="eastAsia" w:asci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现行有效件</w:t>
            </w:r>
            <w:r>
              <w:rPr>
                <w:rFonts w:hint="eastAsia" w:ascii="宋体" w:eastAsia="宋体" w:cs="宋体"/>
                <w:kern w:val="0"/>
                <w:sz w:val="20"/>
                <w:szCs w:val="20"/>
                <w:lang w:val="en-US" w:eastAsia="zh-CN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00" w:lineRule="exact"/>
              <w:ind w:left="0" w:right="0"/>
              <w:jc w:val="left"/>
              <w:rPr>
                <w:rFonts w:hint="eastAsia" w:ascii="宋体" w:eastAsia="宋体" w:cs="宋体"/>
                <w:sz w:val="20"/>
                <w:szCs w:val="20"/>
              </w:rPr>
            </w:pPr>
            <w:r>
              <w:rPr>
                <w:rFonts w:hint="eastAsia" w:asci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00" w:lineRule="exact"/>
              <w:ind w:left="0" w:right="0"/>
              <w:jc w:val="left"/>
              <w:rPr>
                <w:rFonts w:hint="eastAsia" w:ascii="宋体" w:eastAsia="宋体" w:cs="宋体"/>
                <w:sz w:val="20"/>
                <w:szCs w:val="20"/>
                <w:lang w:val="en-US"/>
              </w:rPr>
            </w:pPr>
            <w:r>
              <w:rPr>
                <w:rFonts w:hint="eastAsia" w:asci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00" w:lineRule="exact"/>
              <w:ind w:left="0" w:right="0"/>
              <w:jc w:val="left"/>
              <w:rPr>
                <w:rFonts w:hint="eastAsia" w:ascii="宋体" w:eastAsia="宋体" w:cs="宋体"/>
                <w:sz w:val="20"/>
                <w:szCs w:val="20"/>
                <w:lang w:val="en-US"/>
              </w:rPr>
            </w:pPr>
            <w:r>
              <w:rPr>
                <w:rFonts w:hint="eastAsia" w:asci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00" w:lineRule="exact"/>
              <w:ind w:left="0" w:right="0"/>
              <w:jc w:val="left"/>
              <w:rPr>
                <w:rFonts w:hint="eastAsia" w:ascii="宋体" w:eastAsia="宋体" w:cs="宋体"/>
                <w:sz w:val="20"/>
                <w:szCs w:val="20"/>
                <w:lang w:val="en-US"/>
              </w:rPr>
            </w:pPr>
            <w:r>
              <w:rPr>
                <w:rFonts w:hint="eastAsia" w:ascii="宋体" w:eastAsia="宋体" w:cs="宋体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00" w:lineRule="exact"/>
              <w:ind w:left="0" w:right="0"/>
              <w:jc w:val="left"/>
              <w:rPr>
                <w:rFonts w:hint="eastAsia" w:ascii="宋体" w:eastAsia="宋体" w:cs="宋体"/>
                <w:sz w:val="20"/>
                <w:szCs w:val="20"/>
              </w:rPr>
            </w:pPr>
            <w:r>
              <w:rPr>
                <w:rFonts w:hint="eastAsia" w:asci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00" w:lineRule="exact"/>
              <w:ind w:left="0" w:right="0"/>
              <w:jc w:val="left"/>
              <w:rPr>
                <w:rFonts w:ascii="宋体" w:eastAsia="宋体" w:cs="宋体"/>
                <w:sz w:val="20"/>
                <w:szCs w:val="20"/>
                <w:lang w:val="en-US"/>
              </w:rPr>
            </w:pPr>
            <w:r>
              <w:rPr>
                <w:rFonts w:hint="eastAsia" w:asci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　　</w:t>
            </w:r>
            <w:r>
              <w:rPr>
                <w:rFonts w:hint="eastAsia" w:ascii="宋体" w:cs="宋体"/>
                <w:color w:val="000000"/>
                <w:kern w:val="0"/>
                <w:sz w:val="20"/>
                <w:szCs w:val="20"/>
                <w:lang w:val="en-US" w:eastAsia="zh-CN"/>
              </w:rPr>
              <w:t>8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00" w:lineRule="exact"/>
              <w:ind w:left="0" w:right="0"/>
              <w:jc w:val="left"/>
              <w:rPr>
                <w:rFonts w:ascii="宋体" w:eastAsia="宋体" w:cs="宋体"/>
                <w:sz w:val="20"/>
                <w:szCs w:val="20"/>
                <w:lang w:val="en-US"/>
              </w:rPr>
            </w:pPr>
            <w:r>
              <w:rPr>
                <w:rFonts w:hint="eastAsia" w:asci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 　</w:t>
            </w:r>
            <w:r>
              <w:rPr>
                <w:rFonts w:hint="eastAsia" w:ascii="宋体" w:cs="宋体"/>
                <w:color w:val="000000"/>
                <w:kern w:val="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00" w:lineRule="exact"/>
              <w:ind w:left="0" w:right="0"/>
              <w:jc w:val="left"/>
              <w:rPr>
                <w:rFonts w:hint="default" w:ascii="宋体" w:eastAsia="宋体" w:cs="宋体"/>
                <w:sz w:val="20"/>
                <w:szCs w:val="20"/>
                <w:lang w:val="en-US"/>
              </w:rPr>
            </w:pPr>
            <w:r>
              <w:rPr>
                <w:rFonts w:hint="eastAsia" w:ascii="宋体" w:eastAsia="宋体" w:cs="宋体"/>
                <w:kern w:val="0"/>
                <w:sz w:val="20"/>
                <w:szCs w:val="20"/>
                <w:lang w:val="en-US" w:eastAsia="zh-CN"/>
              </w:rPr>
              <w:t>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00" w:lineRule="exact"/>
              <w:ind w:left="0" w:right="0"/>
              <w:jc w:val="center"/>
              <w:rPr>
                <w:rFonts w:hint="eastAsia" w:ascii="宋体" w:eastAsia="宋体" w:cs="宋体"/>
                <w:sz w:val="20"/>
                <w:szCs w:val="20"/>
              </w:rPr>
            </w:pPr>
            <w:r>
              <w:rPr>
                <w:rFonts w:hint="eastAsia" w:asci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00" w:lineRule="exact"/>
              <w:ind w:left="0" w:right="0"/>
              <w:jc w:val="center"/>
              <w:rPr>
                <w:rFonts w:hint="eastAsia" w:ascii="宋体" w:eastAsia="宋体" w:cs="宋体"/>
                <w:sz w:val="20"/>
                <w:szCs w:val="20"/>
              </w:rPr>
            </w:pPr>
            <w:r>
              <w:rPr>
                <w:rFonts w:hint="eastAsia" w:asci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00" w:lineRule="exact"/>
              <w:ind w:left="0" w:right="0"/>
              <w:jc w:val="center"/>
              <w:rPr>
                <w:rFonts w:hint="eastAsia" w:ascii="宋体" w:eastAsia="宋体" w:cs="宋体"/>
                <w:sz w:val="20"/>
                <w:szCs w:val="20"/>
              </w:rPr>
            </w:pPr>
            <w:r>
              <w:rPr>
                <w:rFonts w:hint="eastAsia" w:asci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00" w:lineRule="exact"/>
              <w:ind w:left="0" w:right="0"/>
              <w:jc w:val="left"/>
              <w:rPr>
                <w:rFonts w:hint="eastAsia" w:ascii="宋体" w:eastAsia="宋体" w:cs="宋体"/>
                <w:sz w:val="20"/>
                <w:szCs w:val="20"/>
              </w:rPr>
            </w:pPr>
            <w:r>
              <w:rPr>
                <w:rFonts w:hint="eastAsia" w:asci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00" w:lineRule="exact"/>
              <w:ind w:left="0" w:right="0"/>
              <w:jc w:val="left"/>
              <w:rPr>
                <w:rFonts w:hint="default" w:ascii="宋体" w:eastAsia="宋体" w:cs="宋体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eastAsia="宋体" w:cs="宋体"/>
                <w:sz w:val="20"/>
                <w:szCs w:val="20"/>
                <w:lang w:val="en-US" w:eastAsia="zh-CN"/>
              </w:rPr>
              <w:t>8952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00" w:lineRule="exact"/>
              <w:ind w:left="0" w:right="0"/>
              <w:jc w:val="center"/>
              <w:rPr>
                <w:rFonts w:hint="eastAsia" w:ascii="宋体" w:eastAsia="宋体" w:cs="宋体"/>
                <w:sz w:val="20"/>
                <w:szCs w:val="20"/>
              </w:rPr>
            </w:pPr>
            <w:r>
              <w:rPr>
                <w:rFonts w:hint="eastAsia" w:asci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00" w:lineRule="exact"/>
              <w:ind w:left="0" w:right="0" w:firstLine="0"/>
              <w:jc w:val="center"/>
              <w:rPr>
                <w:rFonts w:hint="eastAsia" w:ascii="宋体" w:eastAsia="宋体" w:cs="宋体"/>
                <w:sz w:val="20"/>
                <w:szCs w:val="20"/>
              </w:rPr>
            </w:pPr>
            <w:r>
              <w:rPr>
                <w:rFonts w:hint="eastAsia" w:asci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00" w:lineRule="exact"/>
              <w:ind w:left="0" w:right="0" w:firstLine="0"/>
              <w:jc w:val="center"/>
              <w:rPr>
                <w:rFonts w:hint="eastAsia" w:ascii="宋体" w:eastAsia="宋体" w:cs="宋体"/>
                <w:sz w:val="20"/>
                <w:szCs w:val="20"/>
              </w:rPr>
            </w:pPr>
            <w:r>
              <w:rPr>
                <w:rFonts w:hint="eastAsia" w:asci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00" w:lineRule="exact"/>
              <w:ind w:left="0" w:right="0"/>
              <w:jc w:val="left"/>
              <w:rPr>
                <w:rFonts w:hint="eastAsia" w:ascii="宋体" w:eastAsia="宋体" w:cs="宋体"/>
                <w:sz w:val="20"/>
                <w:szCs w:val="20"/>
              </w:rPr>
            </w:pPr>
            <w:r>
              <w:rPr>
                <w:rFonts w:hint="eastAsia" w:asci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00" w:lineRule="exact"/>
              <w:ind w:left="0" w:right="0"/>
              <w:jc w:val="left"/>
              <w:rPr>
                <w:rFonts w:hint="default" w:ascii="宋体" w:eastAsia="宋体" w:cs="宋体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eastAsia="宋体" w:cs="宋体"/>
                <w:sz w:val="20"/>
                <w:szCs w:val="20"/>
                <w:lang w:val="en-US" w:eastAsia="zh-CN"/>
              </w:rPr>
              <w:t>2517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00" w:lineRule="exact"/>
              <w:ind w:left="0" w:right="0"/>
              <w:jc w:val="left"/>
              <w:rPr>
                <w:rFonts w:hint="eastAsia" w:ascii="宋体" w:eastAsia="宋体" w:cs="宋体"/>
                <w:sz w:val="20"/>
                <w:szCs w:val="20"/>
              </w:rPr>
            </w:pPr>
            <w:r>
              <w:rPr>
                <w:rFonts w:hint="eastAsia" w:asci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00" w:lineRule="exact"/>
              <w:ind w:left="0" w:right="0"/>
              <w:jc w:val="left"/>
              <w:rPr>
                <w:rFonts w:hint="default" w:ascii="宋体" w:eastAsia="宋体" w:cs="宋体"/>
                <w:sz w:val="20"/>
                <w:szCs w:val="20"/>
                <w:lang w:val="en-US"/>
              </w:rPr>
            </w:pPr>
            <w:r>
              <w:rPr>
                <w:rFonts w:hint="eastAsia" w:ascii="宋体" w:cs="宋体"/>
                <w:color w:val="000000"/>
                <w:kern w:val="0"/>
                <w:sz w:val="20"/>
                <w:szCs w:val="20"/>
                <w:lang w:val="en-US" w:eastAsia="zh-CN"/>
              </w:rPr>
              <w:t>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00" w:lineRule="exact"/>
              <w:ind w:left="0" w:right="0"/>
              <w:jc w:val="center"/>
              <w:rPr>
                <w:rFonts w:hint="eastAsia" w:ascii="宋体" w:eastAsia="宋体" w:cs="宋体"/>
                <w:sz w:val="20"/>
                <w:szCs w:val="20"/>
              </w:rPr>
            </w:pPr>
            <w:r>
              <w:rPr>
                <w:rFonts w:hint="eastAsia" w:asci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00" w:lineRule="exact"/>
              <w:ind w:left="0" w:right="0"/>
              <w:jc w:val="center"/>
              <w:rPr>
                <w:rFonts w:hint="eastAsia" w:ascii="宋体" w:eastAsia="宋体" w:cs="宋体"/>
                <w:sz w:val="20"/>
                <w:szCs w:val="20"/>
              </w:rPr>
            </w:pPr>
            <w:r>
              <w:rPr>
                <w:rFonts w:hint="eastAsia" w:asci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00" w:lineRule="exact"/>
              <w:ind w:left="0" w:right="0"/>
              <w:jc w:val="center"/>
              <w:rPr>
                <w:rFonts w:hint="eastAsia" w:ascii="宋体" w:eastAsia="宋体" w:cs="宋体"/>
                <w:sz w:val="20"/>
                <w:szCs w:val="20"/>
              </w:rPr>
            </w:pPr>
            <w:r>
              <w:rPr>
                <w:rFonts w:hint="eastAsia" w:asci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 w:line="600" w:lineRule="exact"/>
              <w:ind w:left="0" w:right="0"/>
              <w:jc w:val="left"/>
              <w:rPr>
                <w:rFonts w:hint="eastAsia" w:ascii="宋体" w:eastAsia="宋体" w:cs="宋体"/>
                <w:sz w:val="20"/>
                <w:szCs w:val="20"/>
              </w:rPr>
            </w:pPr>
            <w:r>
              <w:rPr>
                <w:rFonts w:hint="eastAsia" w:asci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57" w:type="dxa"/>
              <w:right w:w="57" w:type="dxa"/>
            </w:tcMar>
            <w:vAlign w:val="center"/>
          </w:tcPr>
          <w:p>
            <w:pPr>
              <w:spacing w:line="600" w:lineRule="exact"/>
              <w:rPr>
                <w:rFonts w:hint="default" w:ascii="宋体" w:eastAsia="宋体" w:cs="宋体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eastAsia="宋体" w:cs="宋体"/>
                <w:sz w:val="20"/>
                <w:szCs w:val="20"/>
                <w:lang w:val="en-US" w:eastAsia="zh-CN"/>
              </w:rPr>
              <w:t>1583.89</w:t>
            </w:r>
          </w:p>
        </w:tc>
      </w:tr>
    </w:tbl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 w:line="600" w:lineRule="exact"/>
        <w:ind w:right="0"/>
        <w:jc w:val="both"/>
        <w:rPr>
          <w:rFonts w:hint="eastAsia" w:ascii="黑体" w:eastAsia="黑体" w:cs="黑体"/>
          <w:b w:val="0"/>
          <w:bCs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540" w:lineRule="exact"/>
        <w:ind w:right="0" w:rightChars="0" w:firstLine="640" w:firstLineChars="200"/>
        <w:jc w:val="both"/>
        <w:textAlignment w:val="auto"/>
        <w:rPr>
          <w:rFonts w:hint="eastAsia" w:ascii="宋体" w:hAnsi="宋体" w:eastAsia="宋体" w:cs="宋体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三、收到和处理政府信息公开申请情况</w:t>
      </w:r>
    </w:p>
    <w:tbl>
      <w:tblPr>
        <w:tblStyle w:val="4"/>
        <w:tblW w:w="8359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56"/>
        <w:gridCol w:w="806"/>
        <w:gridCol w:w="2756"/>
        <w:gridCol w:w="590"/>
        <w:gridCol w:w="587"/>
        <w:gridCol w:w="590"/>
        <w:gridCol w:w="587"/>
        <w:gridCol w:w="590"/>
        <w:gridCol w:w="596"/>
        <w:gridCol w:w="60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  <w:jc w:val="center"/>
        </w:trPr>
        <w:tc>
          <w:tcPr>
            <w:tcW w:w="4218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141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  <w:jc w:val="center"/>
        </w:trPr>
        <w:tc>
          <w:tcPr>
            <w:tcW w:w="4218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9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295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01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39" w:hRule="atLeast"/>
          <w:jc w:val="center"/>
        </w:trPr>
        <w:tc>
          <w:tcPr>
            <w:tcW w:w="4218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9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58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59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59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01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0" w:hRule="atLeast"/>
          <w:jc w:val="center"/>
        </w:trPr>
        <w:tc>
          <w:tcPr>
            <w:tcW w:w="4218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17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both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18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0" w:hRule="atLeast"/>
          <w:jc w:val="center"/>
        </w:trPr>
        <w:tc>
          <w:tcPr>
            <w:tcW w:w="4218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  <w:jc w:val="center"/>
        </w:trPr>
        <w:tc>
          <w:tcPr>
            <w:tcW w:w="656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3562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562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1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 w:eastAsiaTheme="minorEastAsia"/>
                <w:lang w:val="en-US" w:eastAsia="zh-CN"/>
              </w:rPr>
              <w:t>8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both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59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5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both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74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both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06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75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 w:eastAsiaTheme="minor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  <w:jc w:val="center"/>
        </w:trPr>
        <w:tc>
          <w:tcPr>
            <w:tcW w:w="65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562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17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 w:eastAsia="等线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18</w:t>
            </w:r>
            <w:bookmarkStart w:id="0" w:name="_GoBack"/>
            <w:bookmarkEnd w:id="0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8" w:hRule="atLeast"/>
          <w:jc w:val="center"/>
        </w:trPr>
        <w:tc>
          <w:tcPr>
            <w:tcW w:w="4218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/>
              <w:jc w:val="center"/>
              <w:textAlignment w:val="auto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</w:tbl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540" w:lineRule="exact"/>
        <w:ind w:right="0" w:rightChars="0" w:firstLine="64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四、政府信息公开行政复议、行政诉讼情况</w:t>
      </w:r>
    </w:p>
    <w:tbl>
      <w:tblPr>
        <w:tblStyle w:val="4"/>
        <w:tblW w:w="8659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75"/>
        <w:gridCol w:w="575"/>
        <w:gridCol w:w="575"/>
        <w:gridCol w:w="575"/>
        <w:gridCol w:w="582"/>
        <w:gridCol w:w="575"/>
        <w:gridCol w:w="575"/>
        <w:gridCol w:w="576"/>
        <w:gridCol w:w="576"/>
        <w:gridCol w:w="583"/>
        <w:gridCol w:w="577"/>
        <w:gridCol w:w="577"/>
        <w:gridCol w:w="577"/>
        <w:gridCol w:w="577"/>
        <w:gridCol w:w="584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4" w:hRule="atLeast"/>
          <w:jc w:val="center"/>
        </w:trPr>
        <w:tc>
          <w:tcPr>
            <w:tcW w:w="2882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5777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4" w:hRule="atLeast"/>
          <w:jc w:val="center"/>
        </w:trPr>
        <w:tc>
          <w:tcPr>
            <w:tcW w:w="575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575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57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57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58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288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2892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4" w:hRule="atLeast"/>
          <w:jc w:val="center"/>
        </w:trPr>
        <w:tc>
          <w:tcPr>
            <w:tcW w:w="57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7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7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7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8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57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57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58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57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57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57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57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58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  <w:jc w:val="center"/>
        </w:trPr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8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8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6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8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kern w:val="1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1"/>
          <w:sz w:val="32"/>
          <w:szCs w:val="32"/>
          <w:lang w:val="en-US" w:eastAsia="zh-CN" w:bidi="ar-SA"/>
        </w:rPr>
        <w:t>五、存在的主要问题及改进情况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bottom w:val="single" w:color="FFFFFF" w:sz="4" w:space="31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right="0" w:rightChars="0" w:firstLine="640" w:firstLineChars="200"/>
        <w:jc w:val="both"/>
        <w:textAlignment w:val="top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2023年，我县在政府信息公开工作中存在的主要问题是：一是在制度机制上，政府信息公开配套制度体系建设还不够健全和完善，更加成熟完备的公开工作运行机制有待构建。二是政策解读方式需要丰富，精准解读效果仍需加强。三是教育培训力度还不够大，有些部门工作人员素质还有待提升，政府信息公开基层工作有待加强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bottom w:val="single" w:color="FFFFFF" w:sz="4" w:space="31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right="0" w:rightChars="0" w:firstLine="640" w:firstLineChars="200"/>
        <w:jc w:val="both"/>
        <w:textAlignment w:val="top"/>
        <w:outlineLvl w:val="9"/>
        <w:rPr>
          <w:rFonts w:hint="eastAsia" w:ascii="仿宋_GB2312" w:eastAsia="仿宋_GB2312" w:cs="仿宋_GB2312"/>
          <w:color w:val="333333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下一步，我县将采取以下措施加强政府信息公开工作：一是按照上级文件要求，对2024年政务公开和政府信息公开工作进行认真研究和周密部署，通过制发政务公开工作要点和任务分工，对各项工作任务进行细化分解和明确责任，确保各项工作任务落地见效。二是优化提升政府信息公开平台，健全完善全县政务新媒体矩阵体系，做优做强政府公报、图书馆、档案馆、政务公开专区等多种公开渠道，进一步加大主动公开力度，切实保障人民群众对政府信息的知情权。三是严格落实《河北省政府信息公开申请办理规范》要求，对本部门的工作制度和流程进一步修改和完善，依规办理依申请公开事项，扎实推进政府信息公开申请办理工作规范化标准化。四是贯彻落实《政务公开专区建设指南》河北地方标准,在完成各级政务服务大厅政务公开专区建设基础上,进一步健全政务公开专区工作机制，完善政府信息查询、信息公开申请、办事咨询服务、政策宣传解读等功能设置,推动政务公开专区线上线下一体化融合发展。五是贯彻落实《河北省政务公开工作考核办法》，围绕2024年度政务公开工作要点和任务分工，对我县政务公开工作考核指标进行进一步优化完善，加强政务公开考核工作。六是围绕主动公开、依申请公开、政策解读、基层政务公开、政务新媒体等重点工作，开展形式多样的政务公开和政府信息公开业务培训和政策宣讲活动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bottom w:val="single" w:color="FFFFFF" w:sz="4" w:space="31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right="0" w:rightChars="0" w:firstLine="640" w:firstLineChars="200"/>
        <w:jc w:val="both"/>
        <w:textAlignment w:val="top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六、其他需要报告的事项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bottom w:val="single" w:color="FFFFFF" w:sz="4" w:space="31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right="0" w:rightChars="0" w:firstLine="640" w:firstLineChars="200"/>
        <w:jc w:val="both"/>
        <w:textAlignment w:val="top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认真贯彻执行国务</w:t>
      </w:r>
      <w:r>
        <w:rPr>
          <w:rFonts w:hint="eastAsia" w:ascii="仿宋_GB2312" w:hAnsi="仿宋_GB2312" w:eastAsia="仿宋_GB2312" w:cs="仿宋_GB2312"/>
          <w:sz w:val="32"/>
          <w:szCs w:val="32"/>
        </w:rPr>
        <w:t>院办公厅《政府信息公开信息处理费管理办法》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和</w:t>
      </w:r>
      <w:r>
        <w:rPr>
          <w:rFonts w:hint="eastAsia" w:ascii="仿宋_GB2312" w:hAnsi="仿宋_GB2312" w:eastAsia="仿宋_GB2312" w:cs="仿宋_GB2312"/>
          <w:sz w:val="32"/>
          <w:szCs w:val="32"/>
        </w:rPr>
        <w:t>《关于政府信息公开处理费管理有关事项的通知》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，落细落实信息处理费政策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全县各部门未收取信息处理费。</w:t>
      </w:r>
    </w:p>
    <w:p>
      <w:pPr>
        <w:pStyle w:val="2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p>
      <w:pPr>
        <w:wordWrap w:val="0"/>
        <w:jc w:val="righ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隆尧县人民政府    </w:t>
      </w:r>
    </w:p>
    <w:p>
      <w:pPr>
        <w:pStyle w:val="2"/>
        <w:wordWrap w:val="0"/>
        <w:jc w:val="right"/>
        <w:rPr>
          <w:rFonts w:hint="default"/>
          <w:lang w:val="en-US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2024年2月19日   </w:t>
      </w:r>
    </w:p>
    <w:sectPr>
      <w:pgSz w:w="11907" w:h="16840"/>
      <w:pgMar w:top="2041" w:right="1474" w:bottom="2041" w:left="147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00007A87" w:usb1="80000000" w:usb2="00000008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59EE"/>
    <w:rsid w:val="001A22AB"/>
    <w:rsid w:val="001A4E8C"/>
    <w:rsid w:val="00AA2125"/>
    <w:rsid w:val="00C859EE"/>
    <w:rsid w:val="6FBDB30F"/>
    <w:rsid w:val="FFF65136"/>
    <w:rsid w:val="FFFE38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bCs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0"/>
    <w:pPr>
      <w:ind w:firstLine="420"/>
    </w:pPr>
    <w:rPr>
      <w:rFonts w:ascii="Times New Roman" w:hAnsi="Times New Roman" w:eastAsia="宋体" w:cs="Times New Roman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  <w:style w:type="paragraph" w:customStyle="1" w:styleId="6">
    <w:name w:val="样式1"/>
    <w:basedOn w:val="1"/>
    <w:link w:val="7"/>
    <w:qFormat/>
    <w:uiPriority w:val="0"/>
    <w:rPr>
      <w:b/>
      <w:color w:val="548235" w:themeColor="accent6" w:themeShade="BF"/>
      <w:sz w:val="28"/>
    </w:rPr>
  </w:style>
  <w:style w:type="character" w:customStyle="1" w:styleId="7">
    <w:name w:val="样式1 Char"/>
    <w:basedOn w:val="5"/>
    <w:link w:val="6"/>
    <w:qFormat/>
    <w:uiPriority w:val="0"/>
    <w:rPr>
      <w:b/>
      <w:color w:val="548235" w:themeColor="accent6" w:themeShade="BF"/>
      <w:sz w:val="28"/>
    </w:rPr>
  </w:style>
  <w:style w:type="character" w:customStyle="1" w:styleId="8">
    <w:name w:val="fontstyle01"/>
    <w:basedOn w:val="5"/>
    <w:qFormat/>
    <w:uiPriority w:val="0"/>
    <w:rPr>
      <w:rFonts w:ascii="仿宋_GB2312" w:hAnsi="仿宋_GB2312" w:eastAsia="仿宋_GB2312" w:cs="仿宋_GB2312"/>
      <w:color w:val="000000"/>
      <w:sz w:val="32"/>
      <w:szCs w:val="32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Yozosoft</Company>
  <Pages>7</Pages>
  <Words>2765</Words>
  <Characters>2849</Characters>
  <Lines>0</Lines>
  <Paragraphs>0</Paragraphs>
  <TotalTime>41</TotalTime>
  <ScaleCrop>false</ScaleCrop>
  <LinksUpToDate>false</LinksUpToDate>
  <CharactersWithSpaces>2865</CharactersWithSpaces>
  <Application>WPS Office_11.8.2.1120_F1E327BC-269C-435d-A152-05C5408002CA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2020-05-09T06:11:00Z</dcterms:created>
  <dc:creator>User274</dc:creator>
  <cp:lastModifiedBy>work</cp:lastModifiedBy>
  <cp:lastPrinted>2024-02-20T19:23:00Z</cp:lastPrinted>
  <dcterms:modified xsi:type="dcterms:W3CDTF">2024-02-28T11:08:49Z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2052-11.8.2.1120</vt:lpwstr>
  </property>
  <property fmtid="{D5CDD505-2E9C-101B-9397-08002B2CF9AE}" pid="3" name="ICV">
    <vt:lpwstr>62E33BD9638CEE84A420D465B535C0C6</vt:lpwstr>
  </property>
</Properties>
</file>