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pPr>
        <w:pStyle w:val="24"/>
        <w:tabs>
          <w:tab w:val="right" w:leader="dot" w:pos="14562"/>
        </w:tabs>
        <w:rPr>
          <w:rFonts w:hint="eastAsia"/>
        </w:rPr>
      </w:pPr>
      <w:r>
        <w:fldChar w:fldCharType="begin"/>
      </w:r>
      <w:r>
        <w:instrText xml:space="preserve">TOC \o "4-4" \h \z \u</w:instrText>
      </w:r>
      <w:r>
        <w:fldChar w:fldCharType="separate"/>
      </w:r>
    </w:p>
    <w:p>
      <w:pPr>
        <w:pStyle w:val="24"/>
        <w:tabs>
          <w:tab w:val="right" w:leader="dot" w:pos="14562"/>
        </w:tabs>
        <w:rPr>
          <w:rFonts w:hint="eastAsia"/>
        </w:rPr>
      </w:pPr>
      <w:r>
        <w:rPr>
          <w:rFonts w:hint="eastAsia"/>
        </w:rPr>
        <w:t>单位预算公开表</w:t>
      </w:r>
    </w:p>
    <w:p>
      <w:pPr>
        <w:pStyle w:val="24"/>
        <w:tabs>
          <w:tab w:val="right" w:leader="dot" w:pos="14562"/>
        </w:tabs>
        <w:rPr>
          <w:rFonts w:hint="eastAsia"/>
        </w:rPr>
      </w:pPr>
      <w:r>
        <w:rPr>
          <w:rFonts w:hint="eastAsia"/>
        </w:rPr>
        <w:t>单位预算收支总表</w:t>
      </w:r>
      <w:r>
        <w:rPr>
          <w:rFonts w:hint="eastAsia"/>
        </w:rPr>
        <w:tab/>
      </w:r>
      <w:r>
        <w:rPr>
          <w:rFonts w:hint="eastAsia"/>
        </w:rPr>
        <w:t>1</w:t>
      </w:r>
    </w:p>
    <w:p>
      <w:pPr>
        <w:pStyle w:val="24"/>
        <w:tabs>
          <w:tab w:val="right" w:leader="dot" w:pos="14562"/>
        </w:tabs>
        <w:rPr>
          <w:rFonts w:hint="eastAsia"/>
        </w:rPr>
      </w:pPr>
      <w:r>
        <w:rPr>
          <w:rFonts w:hint="eastAsia"/>
        </w:rPr>
        <w:t>单位预算收入总表</w:t>
      </w:r>
      <w:r>
        <w:rPr>
          <w:rFonts w:hint="eastAsia"/>
        </w:rPr>
        <w:tab/>
      </w:r>
      <w:r>
        <w:rPr>
          <w:rFonts w:hint="eastAsia"/>
        </w:rPr>
        <w:t>3</w:t>
      </w:r>
    </w:p>
    <w:p>
      <w:pPr>
        <w:pStyle w:val="24"/>
        <w:tabs>
          <w:tab w:val="right" w:leader="dot" w:pos="14562"/>
        </w:tabs>
        <w:rPr>
          <w:rFonts w:hint="eastAsia"/>
          <w:lang w:val="en-US" w:eastAsia="zh-CN"/>
        </w:rPr>
      </w:pPr>
      <w:r>
        <w:rPr>
          <w:rFonts w:hint="eastAsia"/>
        </w:rPr>
        <w:t>单位预算支出总表</w:t>
      </w:r>
      <w:r>
        <w:rPr>
          <w:rFonts w:hint="eastAsia"/>
        </w:rPr>
        <w:tab/>
      </w:r>
      <w:r>
        <w:rPr>
          <w:rFonts w:hint="eastAsia"/>
          <w:lang w:val="en-US" w:eastAsia="zh-CN"/>
        </w:rPr>
        <w:t>4</w:t>
      </w:r>
    </w:p>
    <w:p>
      <w:pPr>
        <w:pStyle w:val="24"/>
        <w:tabs>
          <w:tab w:val="right" w:leader="dot" w:pos="14562"/>
        </w:tabs>
        <w:rPr>
          <w:rFonts w:hint="eastAsia" w:eastAsia="方正仿宋_GBK"/>
          <w:lang w:val="en-US" w:eastAsia="zh-CN"/>
        </w:rPr>
      </w:pPr>
      <w:r>
        <w:rPr>
          <w:rFonts w:hint="eastAsia"/>
        </w:rPr>
        <w:t>单位预算财政拨款收支总表</w:t>
      </w:r>
      <w:r>
        <w:rPr>
          <w:rFonts w:hint="eastAsia"/>
        </w:rPr>
        <w:tab/>
      </w:r>
      <w:r>
        <w:rPr>
          <w:rFonts w:hint="eastAsia"/>
          <w:lang w:val="en-US" w:eastAsia="zh-CN"/>
        </w:rPr>
        <w:t>5</w:t>
      </w:r>
    </w:p>
    <w:p>
      <w:pPr>
        <w:pStyle w:val="24"/>
        <w:tabs>
          <w:tab w:val="right" w:leader="dot" w:pos="14562"/>
        </w:tabs>
        <w:rPr>
          <w:rFonts w:hint="eastAsia"/>
          <w:lang w:val="en-US" w:eastAsia="zh-CN"/>
        </w:rPr>
      </w:pPr>
      <w:r>
        <w:rPr>
          <w:rFonts w:hint="eastAsia"/>
        </w:rPr>
        <w:t>单位预算一般公共预算财政拨款支出表</w:t>
      </w:r>
      <w:r>
        <w:rPr>
          <w:rFonts w:hint="eastAsia"/>
        </w:rPr>
        <w:tab/>
      </w:r>
      <w:r>
        <w:rPr>
          <w:rFonts w:hint="eastAsia"/>
          <w:lang w:val="en-US" w:eastAsia="zh-CN"/>
        </w:rPr>
        <w:t>7</w:t>
      </w:r>
    </w:p>
    <w:p>
      <w:pPr>
        <w:pStyle w:val="24"/>
        <w:tabs>
          <w:tab w:val="right" w:leader="dot" w:pos="14562"/>
        </w:tabs>
        <w:rPr>
          <w:rFonts w:hint="eastAsia" w:eastAsia="方正仿宋_GBK"/>
          <w:lang w:eastAsia="zh-CN"/>
        </w:rPr>
      </w:pPr>
      <w:r>
        <w:rPr>
          <w:rFonts w:hint="eastAsia"/>
        </w:rPr>
        <w:t>单位预算一般公共预算财政拨款基本支出表</w:t>
      </w:r>
      <w:r>
        <w:rPr>
          <w:rFonts w:hint="eastAsia"/>
        </w:rPr>
        <w:tab/>
      </w:r>
      <w:r>
        <w:rPr>
          <w:rFonts w:hint="eastAsia"/>
          <w:lang w:val="en-US" w:eastAsia="zh-CN"/>
        </w:rPr>
        <w:t>8</w:t>
      </w:r>
    </w:p>
    <w:p>
      <w:pPr>
        <w:pStyle w:val="24"/>
        <w:tabs>
          <w:tab w:val="right" w:leader="dot" w:pos="14562"/>
        </w:tabs>
        <w:rPr>
          <w:rFonts w:hint="eastAsia"/>
          <w:lang w:val="en-US" w:eastAsia="zh-CN"/>
        </w:rPr>
      </w:pPr>
      <w:r>
        <w:rPr>
          <w:rFonts w:hint="eastAsia"/>
        </w:rPr>
        <w:t>单位预算政府基金预算财政拨款支出表</w:t>
      </w:r>
      <w:r>
        <w:rPr>
          <w:rFonts w:hint="eastAsia"/>
        </w:rPr>
        <w:tab/>
      </w:r>
      <w:r>
        <w:rPr>
          <w:rFonts w:hint="eastAsia"/>
          <w:lang w:val="en-US" w:eastAsia="zh-CN"/>
        </w:rPr>
        <w:t>9</w:t>
      </w:r>
    </w:p>
    <w:p>
      <w:pPr>
        <w:pStyle w:val="24"/>
        <w:tabs>
          <w:tab w:val="right" w:leader="dot" w:pos="14562"/>
        </w:tabs>
        <w:rPr>
          <w:rFonts w:hint="default" w:eastAsia="方正仿宋_GBK"/>
          <w:lang w:val="en-US" w:eastAsia="zh-CN"/>
        </w:rPr>
      </w:pPr>
      <w:r>
        <w:rPr>
          <w:rFonts w:hint="eastAsia"/>
        </w:rPr>
        <w:t>单位预算国有资本经营预算财政拨款支出表</w:t>
      </w:r>
      <w:r>
        <w:rPr>
          <w:rFonts w:hint="eastAsia"/>
        </w:rPr>
        <w:tab/>
      </w:r>
      <w:r>
        <w:rPr>
          <w:rFonts w:hint="eastAsia"/>
          <w:lang w:val="en-US" w:eastAsia="zh-CN"/>
        </w:rPr>
        <w:t>10</w:t>
      </w:r>
    </w:p>
    <w:p>
      <w:pPr>
        <w:pStyle w:val="24"/>
        <w:tabs>
          <w:tab w:val="right" w:leader="dot" w:pos="14562"/>
        </w:tabs>
        <w:rPr>
          <w:rFonts w:hint="default" w:eastAsia="方正仿宋_GBK"/>
          <w:lang w:val="en-US" w:eastAsia="zh-CN"/>
        </w:rPr>
      </w:pPr>
      <w:r>
        <w:rPr>
          <w:rFonts w:hint="eastAsia"/>
        </w:rPr>
        <w:t>单位预算财政拨款“三公”经费支出表</w:t>
      </w:r>
      <w:r>
        <w:rPr>
          <w:rFonts w:hint="eastAsia"/>
        </w:rPr>
        <w:tab/>
      </w:r>
      <w:r>
        <w:rPr>
          <w:rFonts w:hint="eastAsia"/>
          <w:lang w:val="en-US" w:eastAsia="zh-CN"/>
        </w:rPr>
        <w:t>11</w:t>
      </w:r>
    </w:p>
    <w:p>
      <w:pPr>
        <w:pStyle w:val="24"/>
        <w:tabs>
          <w:tab w:val="right" w:leader="dot" w:pos="14562"/>
        </w:tabs>
        <w:rPr>
          <w:rFonts w:hint="eastAsia"/>
        </w:rPr>
      </w:pPr>
      <w:r>
        <w:rPr>
          <w:rFonts w:hint="eastAsia"/>
        </w:rPr>
        <w:t>单位预算信息公开情况说明</w:t>
      </w:r>
    </w:p>
    <w:p>
      <w:pPr>
        <w:pStyle w:val="24"/>
        <w:tabs>
          <w:tab w:val="right" w:leader="dot" w:pos="14562"/>
        </w:tabs>
        <w:rPr>
          <w:rFonts w:hint="default" w:eastAsia="方正仿宋_GBK"/>
          <w:lang w:val="en-US" w:eastAsia="zh-CN"/>
        </w:rPr>
      </w:pPr>
      <w:r>
        <w:rPr>
          <w:rFonts w:hint="eastAsia"/>
        </w:rPr>
        <w:t>一、单位职责及机构设置情况</w:t>
      </w:r>
      <w:r>
        <w:rPr>
          <w:rFonts w:hint="eastAsia"/>
        </w:rPr>
        <w:tab/>
      </w:r>
      <w:r>
        <w:rPr>
          <w:rFonts w:hint="eastAsia"/>
          <w:lang w:val="en-US" w:eastAsia="zh-CN"/>
        </w:rPr>
        <w:t>12</w:t>
      </w:r>
    </w:p>
    <w:p>
      <w:pPr>
        <w:pStyle w:val="24"/>
        <w:tabs>
          <w:tab w:val="right" w:leader="dot" w:pos="14562"/>
        </w:tabs>
        <w:rPr>
          <w:rFonts w:hint="eastAsia" w:eastAsia="方正仿宋_GBK"/>
          <w:lang w:eastAsia="zh-CN"/>
        </w:rPr>
      </w:pPr>
      <w:r>
        <w:rPr>
          <w:rFonts w:hint="eastAsia"/>
        </w:rPr>
        <w:t>二、单位预算安排的总体情况</w:t>
      </w:r>
      <w:r>
        <w:rPr>
          <w:rFonts w:hint="eastAsia"/>
        </w:rPr>
        <w:tab/>
      </w:r>
      <w:r>
        <w:rPr>
          <w:rFonts w:hint="eastAsia"/>
        </w:rPr>
        <w:t>1</w:t>
      </w:r>
      <w:r>
        <w:rPr>
          <w:rFonts w:hint="eastAsia"/>
          <w:lang w:val="en-US" w:eastAsia="zh-CN"/>
        </w:rPr>
        <w:t>2</w:t>
      </w:r>
    </w:p>
    <w:p>
      <w:pPr>
        <w:pStyle w:val="24"/>
        <w:tabs>
          <w:tab w:val="right" w:leader="dot" w:pos="14562"/>
        </w:tabs>
        <w:rPr>
          <w:rFonts w:hint="eastAsia" w:eastAsia="方正仿宋_GBK"/>
          <w:lang w:eastAsia="zh-CN"/>
        </w:rPr>
      </w:pPr>
      <w:r>
        <w:rPr>
          <w:rFonts w:hint="eastAsia"/>
        </w:rPr>
        <w:t>三、机关运行经费安排情况</w:t>
      </w:r>
      <w:r>
        <w:rPr>
          <w:rFonts w:hint="eastAsia"/>
        </w:rPr>
        <w:tab/>
      </w:r>
      <w:r>
        <w:rPr>
          <w:rFonts w:hint="eastAsia"/>
        </w:rPr>
        <w:t>1</w:t>
      </w:r>
      <w:r>
        <w:rPr>
          <w:rFonts w:hint="eastAsia"/>
          <w:lang w:val="en-US" w:eastAsia="zh-CN"/>
        </w:rPr>
        <w:t>3</w:t>
      </w:r>
    </w:p>
    <w:p>
      <w:pPr>
        <w:pStyle w:val="24"/>
        <w:tabs>
          <w:tab w:val="right" w:leader="dot" w:pos="14562"/>
        </w:tabs>
        <w:rPr>
          <w:rFonts w:hint="default" w:eastAsia="方正仿宋_GBK"/>
          <w:lang w:val="en-US" w:eastAsia="zh-CN"/>
        </w:rPr>
      </w:pPr>
      <w:r>
        <w:rPr>
          <w:rFonts w:hint="eastAsia"/>
        </w:rPr>
        <w:t>四、财政拨款“三公”经费预算情况及增减变化原因</w:t>
      </w:r>
      <w:r>
        <w:rPr>
          <w:rFonts w:hint="eastAsia"/>
        </w:rPr>
        <w:tab/>
      </w:r>
      <w:r>
        <w:rPr>
          <w:rFonts w:hint="eastAsia"/>
          <w:lang w:val="en-US" w:eastAsia="zh-CN"/>
        </w:rPr>
        <w:t>13</w:t>
      </w:r>
    </w:p>
    <w:p>
      <w:pPr>
        <w:pStyle w:val="24"/>
        <w:tabs>
          <w:tab w:val="right" w:leader="dot" w:pos="14562"/>
        </w:tabs>
        <w:rPr>
          <w:rFonts w:hint="default" w:eastAsia="方正仿宋_GBK"/>
          <w:lang w:val="en-US" w:eastAsia="zh-CN"/>
        </w:rPr>
      </w:pPr>
      <w:r>
        <w:rPr>
          <w:rFonts w:hint="eastAsia"/>
        </w:rPr>
        <w:t>五、单位项目预算安排情况及绩效目标</w:t>
      </w:r>
      <w:r>
        <w:rPr>
          <w:rFonts w:hint="eastAsia"/>
        </w:rPr>
        <w:tab/>
      </w:r>
      <w:r>
        <w:rPr>
          <w:rFonts w:hint="eastAsia"/>
          <w:lang w:val="en-US" w:eastAsia="zh-CN"/>
        </w:rPr>
        <w:t>13</w:t>
      </w:r>
    </w:p>
    <w:p>
      <w:pPr>
        <w:pStyle w:val="24"/>
        <w:tabs>
          <w:tab w:val="right" w:leader="dot" w:pos="14562"/>
        </w:tabs>
        <w:rPr>
          <w:rFonts w:hint="default" w:eastAsia="方正仿宋_GBK"/>
          <w:lang w:val="en-US" w:eastAsia="zh-CN"/>
        </w:rPr>
      </w:pPr>
      <w:r>
        <w:rPr>
          <w:rFonts w:hint="eastAsia"/>
        </w:rPr>
        <w:t>六、政府采购预算情况</w:t>
      </w:r>
      <w:r>
        <w:rPr>
          <w:rFonts w:hint="eastAsia"/>
        </w:rPr>
        <w:tab/>
      </w:r>
      <w:r>
        <w:rPr>
          <w:rFonts w:hint="eastAsia"/>
          <w:lang w:val="en-US" w:eastAsia="zh-CN"/>
        </w:rPr>
        <w:t>17</w:t>
      </w:r>
    </w:p>
    <w:p>
      <w:pPr>
        <w:pStyle w:val="24"/>
        <w:tabs>
          <w:tab w:val="right" w:leader="dot" w:pos="14562"/>
        </w:tabs>
        <w:rPr>
          <w:rFonts w:hint="default" w:eastAsia="方正仿宋_GBK"/>
          <w:lang w:val="en-US" w:eastAsia="zh-CN"/>
        </w:rPr>
      </w:pPr>
      <w:r>
        <w:rPr>
          <w:rFonts w:hint="eastAsia"/>
        </w:rPr>
        <w:t>七、国有资产信息</w:t>
      </w:r>
      <w:r>
        <w:rPr>
          <w:rFonts w:hint="eastAsia"/>
        </w:rPr>
        <w:tab/>
      </w:r>
      <w:r>
        <w:rPr>
          <w:rFonts w:hint="eastAsia"/>
          <w:lang w:val="en-US" w:eastAsia="zh-CN"/>
        </w:rPr>
        <w:t>17</w:t>
      </w:r>
    </w:p>
    <w:p>
      <w:pPr>
        <w:pStyle w:val="24"/>
        <w:tabs>
          <w:tab w:val="right" w:leader="dot" w:pos="14562"/>
        </w:tabs>
        <w:rPr>
          <w:rFonts w:hint="eastAsia"/>
          <w:lang w:val="en-US" w:eastAsia="zh-CN"/>
        </w:rPr>
      </w:pPr>
      <w:r>
        <w:rPr>
          <w:rFonts w:hint="eastAsia"/>
        </w:rPr>
        <w:t>八、名词解释</w:t>
      </w:r>
      <w:r>
        <w:rPr>
          <w:rFonts w:hint="eastAsia"/>
        </w:rPr>
        <w:tab/>
      </w:r>
      <w:r>
        <w:rPr>
          <w:rFonts w:hint="eastAsia"/>
          <w:lang w:val="en-US" w:eastAsia="zh-CN"/>
        </w:rPr>
        <w:t>17</w:t>
      </w:r>
    </w:p>
    <w:p>
      <w:pPr>
        <w:pStyle w:val="24"/>
        <w:tabs>
          <w:tab w:val="right" w:leader="dot" w:pos="14562"/>
        </w:tabs>
        <w:rPr>
          <w:rFonts w:hint="default" w:eastAsia="方正仿宋_GBK"/>
          <w:lang w:val="en-US" w:eastAsia="zh-CN"/>
        </w:rPr>
      </w:pPr>
      <w:r>
        <w:rPr>
          <w:rFonts w:hint="eastAsia"/>
        </w:rPr>
        <w:t>九、其他需要说明的事项</w:t>
      </w:r>
      <w:r>
        <w:rPr>
          <w:rFonts w:hint="eastAsia"/>
        </w:rPr>
        <w:tab/>
      </w:r>
      <w:r>
        <w:rPr>
          <w:rFonts w:hint="eastAsia"/>
          <w:lang w:val="en-US" w:eastAsia="zh-CN"/>
        </w:rPr>
        <w:t>19</w:t>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一、隆尧县工商业联合会本级收支预算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215001隆尧县工商业联合会本级</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47.32</w:t>
            </w:r>
          </w:p>
        </w:tc>
        <w:tc>
          <w:tcPr>
            <w:tcW w:w="4535" w:type="dxa"/>
            <w:vAlign w:val="center"/>
          </w:tcPr>
          <w:p>
            <w:pPr>
              <w:pStyle w:val="13"/>
            </w:pPr>
            <w:r>
              <w:t>一、一般公共服务支出</w:t>
            </w:r>
          </w:p>
        </w:tc>
        <w:tc>
          <w:tcPr>
            <w:tcW w:w="2126" w:type="dxa"/>
            <w:vAlign w:val="center"/>
          </w:tcPr>
          <w:p>
            <w:pPr>
              <w:pStyle w:val="12"/>
            </w:pPr>
            <w:r>
              <w:t>42.47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47.32</w:t>
            </w:r>
          </w:p>
        </w:tc>
        <w:tc>
          <w:tcPr>
            <w:tcW w:w="4535" w:type="dxa"/>
            <w:vAlign w:val="center"/>
          </w:tcPr>
          <w:p>
            <w:pPr>
              <w:pStyle w:val="15"/>
            </w:pPr>
            <w:r>
              <w:t>本年支出合计</w:t>
            </w:r>
          </w:p>
        </w:tc>
        <w:tc>
          <w:tcPr>
            <w:tcW w:w="2126" w:type="dxa"/>
            <w:vAlign w:val="center"/>
          </w:tcPr>
          <w:p>
            <w:pPr>
              <w:pStyle w:val="16"/>
            </w:pPr>
            <w:r>
              <w:t>47.32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47.32</w:t>
            </w:r>
          </w:p>
        </w:tc>
        <w:tc>
          <w:tcPr>
            <w:tcW w:w="4535" w:type="dxa"/>
            <w:vAlign w:val="center"/>
          </w:tcPr>
          <w:p>
            <w:pPr>
              <w:pStyle w:val="15"/>
            </w:pPr>
            <w:r>
              <w:t>支出总计</w:t>
            </w:r>
          </w:p>
        </w:tc>
        <w:tc>
          <w:tcPr>
            <w:tcW w:w="2126" w:type="dxa"/>
            <w:vAlign w:val="center"/>
          </w:tcPr>
          <w:p>
            <w:pPr>
              <w:pStyle w:val="16"/>
            </w:pPr>
            <w:r>
              <w:t>47.32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215001隆尧县工商业联合会本级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47.32</w:t>
            </w:r>
          </w:p>
        </w:tc>
        <w:tc>
          <w:tcPr>
            <w:tcW w:w="1134" w:type="dxa"/>
            <w:vAlign w:val="center"/>
          </w:tcPr>
          <w:p>
            <w:pPr>
              <w:pStyle w:val="16"/>
            </w:pPr>
            <w:r>
              <w:t>47.32</w:t>
            </w:r>
          </w:p>
        </w:tc>
        <w:tc>
          <w:tcPr>
            <w:tcW w:w="1134" w:type="dxa"/>
            <w:vAlign w:val="center"/>
          </w:tcPr>
          <w:p>
            <w:pPr>
              <w:pStyle w:val="16"/>
            </w:pPr>
            <w:r>
              <w:t>47.32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42.47</w:t>
            </w:r>
          </w:p>
        </w:tc>
        <w:tc>
          <w:tcPr>
            <w:tcW w:w="1134" w:type="dxa"/>
            <w:vAlign w:val="center"/>
          </w:tcPr>
          <w:p>
            <w:pPr>
              <w:pStyle w:val="12"/>
            </w:pPr>
            <w:r>
              <w:t>42.47</w:t>
            </w:r>
          </w:p>
        </w:tc>
        <w:tc>
          <w:tcPr>
            <w:tcW w:w="1134" w:type="dxa"/>
            <w:vAlign w:val="center"/>
          </w:tcPr>
          <w:p>
            <w:pPr>
              <w:pStyle w:val="12"/>
            </w:pPr>
            <w:r>
              <w:t>42.47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20128</w:t>
            </w:r>
          </w:p>
        </w:tc>
        <w:tc>
          <w:tcPr>
            <w:tcW w:w="1559" w:type="dxa"/>
            <w:vAlign w:val="center"/>
          </w:tcPr>
          <w:p>
            <w:pPr>
              <w:pStyle w:val="13"/>
            </w:pPr>
            <w:r>
              <w:t>民主党派及工商联事务</w:t>
            </w:r>
          </w:p>
        </w:tc>
        <w:tc>
          <w:tcPr>
            <w:tcW w:w="1134" w:type="dxa"/>
            <w:vAlign w:val="center"/>
          </w:tcPr>
          <w:p>
            <w:pPr>
              <w:pStyle w:val="12"/>
            </w:pPr>
            <w:r>
              <w:t>42.47</w:t>
            </w:r>
          </w:p>
        </w:tc>
        <w:tc>
          <w:tcPr>
            <w:tcW w:w="1134" w:type="dxa"/>
            <w:vAlign w:val="center"/>
          </w:tcPr>
          <w:p>
            <w:pPr>
              <w:pStyle w:val="12"/>
            </w:pPr>
            <w:r>
              <w:t>42.47</w:t>
            </w:r>
          </w:p>
        </w:tc>
        <w:tc>
          <w:tcPr>
            <w:tcW w:w="1134" w:type="dxa"/>
            <w:vAlign w:val="center"/>
          </w:tcPr>
          <w:p>
            <w:pPr>
              <w:pStyle w:val="12"/>
            </w:pPr>
            <w:r>
              <w:t>42.47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2012801</w:t>
            </w:r>
          </w:p>
        </w:tc>
        <w:tc>
          <w:tcPr>
            <w:tcW w:w="1559" w:type="dxa"/>
            <w:vAlign w:val="center"/>
          </w:tcPr>
          <w:p>
            <w:pPr>
              <w:pStyle w:val="13"/>
            </w:pPr>
            <w:r>
              <w:t>行政运行</w:t>
            </w:r>
          </w:p>
        </w:tc>
        <w:tc>
          <w:tcPr>
            <w:tcW w:w="1134" w:type="dxa"/>
            <w:vAlign w:val="center"/>
          </w:tcPr>
          <w:p>
            <w:pPr>
              <w:pStyle w:val="12"/>
            </w:pPr>
            <w:r>
              <w:t>21.27</w:t>
            </w:r>
          </w:p>
        </w:tc>
        <w:tc>
          <w:tcPr>
            <w:tcW w:w="1134" w:type="dxa"/>
            <w:vAlign w:val="center"/>
          </w:tcPr>
          <w:p>
            <w:pPr>
              <w:pStyle w:val="12"/>
            </w:pPr>
            <w:r>
              <w:t>21.27</w:t>
            </w:r>
          </w:p>
        </w:tc>
        <w:tc>
          <w:tcPr>
            <w:tcW w:w="1134" w:type="dxa"/>
            <w:vAlign w:val="center"/>
          </w:tcPr>
          <w:p>
            <w:pPr>
              <w:pStyle w:val="12"/>
            </w:pPr>
            <w:r>
              <w:t>21.27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2012802</w:t>
            </w:r>
          </w:p>
        </w:tc>
        <w:tc>
          <w:tcPr>
            <w:tcW w:w="1559" w:type="dxa"/>
            <w:vAlign w:val="center"/>
          </w:tcPr>
          <w:p>
            <w:pPr>
              <w:pStyle w:val="13"/>
            </w:pPr>
            <w:r>
              <w:t>一般行政管理事务</w:t>
            </w:r>
          </w:p>
        </w:tc>
        <w:tc>
          <w:tcPr>
            <w:tcW w:w="1134" w:type="dxa"/>
            <w:vAlign w:val="center"/>
          </w:tcPr>
          <w:p>
            <w:pPr>
              <w:pStyle w:val="12"/>
            </w:pPr>
            <w:r>
              <w:t>21.20</w:t>
            </w:r>
          </w:p>
        </w:tc>
        <w:tc>
          <w:tcPr>
            <w:tcW w:w="1134" w:type="dxa"/>
            <w:vAlign w:val="center"/>
          </w:tcPr>
          <w:p>
            <w:pPr>
              <w:pStyle w:val="12"/>
            </w:pPr>
            <w:r>
              <w:t>21.20</w:t>
            </w:r>
          </w:p>
        </w:tc>
        <w:tc>
          <w:tcPr>
            <w:tcW w:w="1134" w:type="dxa"/>
            <w:vAlign w:val="center"/>
          </w:tcPr>
          <w:p>
            <w:pPr>
              <w:pStyle w:val="12"/>
            </w:pPr>
            <w:r>
              <w:t>21.20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2.15</w:t>
            </w:r>
          </w:p>
        </w:tc>
        <w:tc>
          <w:tcPr>
            <w:tcW w:w="1134" w:type="dxa"/>
            <w:vAlign w:val="center"/>
          </w:tcPr>
          <w:p>
            <w:pPr>
              <w:pStyle w:val="12"/>
            </w:pPr>
            <w:r>
              <w:t>2.15</w:t>
            </w:r>
          </w:p>
        </w:tc>
        <w:tc>
          <w:tcPr>
            <w:tcW w:w="1134" w:type="dxa"/>
            <w:vAlign w:val="center"/>
          </w:tcPr>
          <w:p>
            <w:pPr>
              <w:pStyle w:val="12"/>
            </w:pPr>
            <w:r>
              <w:t>2.15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2.15</w:t>
            </w:r>
          </w:p>
        </w:tc>
        <w:tc>
          <w:tcPr>
            <w:tcW w:w="1134" w:type="dxa"/>
            <w:vAlign w:val="center"/>
          </w:tcPr>
          <w:p>
            <w:pPr>
              <w:pStyle w:val="12"/>
            </w:pPr>
            <w:r>
              <w:t>2.15</w:t>
            </w:r>
          </w:p>
        </w:tc>
        <w:tc>
          <w:tcPr>
            <w:tcW w:w="1134" w:type="dxa"/>
            <w:vAlign w:val="center"/>
          </w:tcPr>
          <w:p>
            <w:pPr>
              <w:pStyle w:val="12"/>
            </w:pPr>
            <w:r>
              <w:t>2.15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2.15</w:t>
            </w:r>
          </w:p>
        </w:tc>
        <w:tc>
          <w:tcPr>
            <w:tcW w:w="1134" w:type="dxa"/>
            <w:vAlign w:val="center"/>
          </w:tcPr>
          <w:p>
            <w:pPr>
              <w:pStyle w:val="12"/>
            </w:pPr>
            <w:r>
              <w:t>2.15</w:t>
            </w:r>
          </w:p>
        </w:tc>
        <w:tc>
          <w:tcPr>
            <w:tcW w:w="1134" w:type="dxa"/>
            <w:vAlign w:val="center"/>
          </w:tcPr>
          <w:p>
            <w:pPr>
              <w:pStyle w:val="12"/>
            </w:pPr>
            <w:r>
              <w:t>2.15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0.97</w:t>
            </w:r>
          </w:p>
        </w:tc>
        <w:tc>
          <w:tcPr>
            <w:tcW w:w="1134" w:type="dxa"/>
            <w:vAlign w:val="center"/>
          </w:tcPr>
          <w:p>
            <w:pPr>
              <w:pStyle w:val="12"/>
            </w:pPr>
            <w:r>
              <w:t>0.97</w:t>
            </w:r>
          </w:p>
        </w:tc>
        <w:tc>
          <w:tcPr>
            <w:tcW w:w="1134" w:type="dxa"/>
            <w:vAlign w:val="center"/>
          </w:tcPr>
          <w:p>
            <w:pPr>
              <w:pStyle w:val="12"/>
            </w:pPr>
            <w:r>
              <w:t>0.97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0.97</w:t>
            </w:r>
          </w:p>
        </w:tc>
        <w:tc>
          <w:tcPr>
            <w:tcW w:w="1134" w:type="dxa"/>
            <w:vAlign w:val="center"/>
          </w:tcPr>
          <w:p>
            <w:pPr>
              <w:pStyle w:val="12"/>
            </w:pPr>
            <w:r>
              <w:t>0.97</w:t>
            </w:r>
          </w:p>
        </w:tc>
        <w:tc>
          <w:tcPr>
            <w:tcW w:w="1134" w:type="dxa"/>
            <w:vAlign w:val="center"/>
          </w:tcPr>
          <w:p>
            <w:pPr>
              <w:pStyle w:val="12"/>
            </w:pPr>
            <w:r>
              <w:t>0.97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0.97</w:t>
            </w:r>
          </w:p>
        </w:tc>
        <w:tc>
          <w:tcPr>
            <w:tcW w:w="1134" w:type="dxa"/>
            <w:vAlign w:val="center"/>
          </w:tcPr>
          <w:p>
            <w:pPr>
              <w:pStyle w:val="12"/>
            </w:pPr>
            <w:r>
              <w:t>0.97</w:t>
            </w:r>
          </w:p>
        </w:tc>
        <w:tc>
          <w:tcPr>
            <w:tcW w:w="1134" w:type="dxa"/>
            <w:vAlign w:val="center"/>
          </w:tcPr>
          <w:p>
            <w:pPr>
              <w:pStyle w:val="12"/>
            </w:pPr>
            <w:r>
              <w:t>0.97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1.72</w:t>
            </w:r>
          </w:p>
        </w:tc>
        <w:tc>
          <w:tcPr>
            <w:tcW w:w="1134" w:type="dxa"/>
            <w:vAlign w:val="center"/>
          </w:tcPr>
          <w:p>
            <w:pPr>
              <w:pStyle w:val="12"/>
            </w:pPr>
            <w:r>
              <w:t>1.72</w:t>
            </w:r>
          </w:p>
        </w:tc>
        <w:tc>
          <w:tcPr>
            <w:tcW w:w="1134" w:type="dxa"/>
            <w:vAlign w:val="center"/>
          </w:tcPr>
          <w:p>
            <w:pPr>
              <w:pStyle w:val="12"/>
            </w:pPr>
            <w:r>
              <w:t>1.72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1.72</w:t>
            </w:r>
          </w:p>
        </w:tc>
        <w:tc>
          <w:tcPr>
            <w:tcW w:w="1134" w:type="dxa"/>
            <w:vAlign w:val="center"/>
          </w:tcPr>
          <w:p>
            <w:pPr>
              <w:pStyle w:val="12"/>
            </w:pPr>
            <w:r>
              <w:t>1.72</w:t>
            </w:r>
          </w:p>
        </w:tc>
        <w:tc>
          <w:tcPr>
            <w:tcW w:w="1134" w:type="dxa"/>
            <w:vAlign w:val="center"/>
          </w:tcPr>
          <w:p>
            <w:pPr>
              <w:pStyle w:val="12"/>
            </w:pPr>
            <w:r>
              <w:t>1.72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1.72</w:t>
            </w:r>
          </w:p>
        </w:tc>
        <w:tc>
          <w:tcPr>
            <w:tcW w:w="1134" w:type="dxa"/>
            <w:vAlign w:val="center"/>
          </w:tcPr>
          <w:p>
            <w:pPr>
              <w:pStyle w:val="12"/>
            </w:pPr>
            <w:r>
              <w:t>1.72</w:t>
            </w:r>
          </w:p>
        </w:tc>
        <w:tc>
          <w:tcPr>
            <w:tcW w:w="1134" w:type="dxa"/>
            <w:vAlign w:val="center"/>
          </w:tcPr>
          <w:p>
            <w:pPr>
              <w:pStyle w:val="12"/>
            </w:pPr>
            <w:r>
              <w:t>1.72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215001隆尧县工商业联合会本级</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47.32</w:t>
            </w:r>
          </w:p>
        </w:tc>
        <w:tc>
          <w:tcPr>
            <w:tcW w:w="1361" w:type="dxa"/>
            <w:vAlign w:val="center"/>
          </w:tcPr>
          <w:p>
            <w:pPr>
              <w:pStyle w:val="16"/>
            </w:pPr>
            <w:r>
              <w:t>26.12</w:t>
            </w:r>
          </w:p>
        </w:tc>
        <w:tc>
          <w:tcPr>
            <w:tcW w:w="1361" w:type="dxa"/>
            <w:vAlign w:val="center"/>
          </w:tcPr>
          <w:p>
            <w:pPr>
              <w:pStyle w:val="16"/>
            </w:pPr>
            <w:r>
              <w:t>21.20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42.47</w:t>
            </w:r>
          </w:p>
        </w:tc>
        <w:tc>
          <w:tcPr>
            <w:tcW w:w="1361" w:type="dxa"/>
            <w:vAlign w:val="center"/>
          </w:tcPr>
          <w:p>
            <w:pPr>
              <w:pStyle w:val="12"/>
            </w:pPr>
            <w:r>
              <w:t>21.27</w:t>
            </w:r>
          </w:p>
        </w:tc>
        <w:tc>
          <w:tcPr>
            <w:tcW w:w="1361" w:type="dxa"/>
            <w:vAlign w:val="center"/>
          </w:tcPr>
          <w:p>
            <w:pPr>
              <w:pStyle w:val="12"/>
            </w:pPr>
            <w:r>
              <w:t>21.20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20128</w:t>
            </w:r>
          </w:p>
        </w:tc>
        <w:tc>
          <w:tcPr>
            <w:tcW w:w="4535" w:type="dxa"/>
            <w:vAlign w:val="center"/>
          </w:tcPr>
          <w:p>
            <w:pPr>
              <w:pStyle w:val="13"/>
            </w:pPr>
            <w:r>
              <w:t>民主党派及工商联事务</w:t>
            </w:r>
          </w:p>
        </w:tc>
        <w:tc>
          <w:tcPr>
            <w:tcW w:w="1361" w:type="dxa"/>
            <w:vAlign w:val="center"/>
          </w:tcPr>
          <w:p>
            <w:pPr>
              <w:pStyle w:val="12"/>
            </w:pPr>
            <w:r>
              <w:t>42.47</w:t>
            </w:r>
          </w:p>
        </w:tc>
        <w:tc>
          <w:tcPr>
            <w:tcW w:w="1361" w:type="dxa"/>
            <w:vAlign w:val="center"/>
          </w:tcPr>
          <w:p>
            <w:pPr>
              <w:pStyle w:val="12"/>
            </w:pPr>
            <w:r>
              <w:t>21.27</w:t>
            </w:r>
          </w:p>
        </w:tc>
        <w:tc>
          <w:tcPr>
            <w:tcW w:w="1361" w:type="dxa"/>
            <w:vAlign w:val="center"/>
          </w:tcPr>
          <w:p>
            <w:pPr>
              <w:pStyle w:val="12"/>
            </w:pPr>
            <w:r>
              <w:t>21.20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2012801</w:t>
            </w:r>
          </w:p>
        </w:tc>
        <w:tc>
          <w:tcPr>
            <w:tcW w:w="4535" w:type="dxa"/>
            <w:vAlign w:val="center"/>
          </w:tcPr>
          <w:p>
            <w:pPr>
              <w:pStyle w:val="13"/>
            </w:pPr>
            <w:r>
              <w:t>行政运行</w:t>
            </w:r>
          </w:p>
        </w:tc>
        <w:tc>
          <w:tcPr>
            <w:tcW w:w="1361" w:type="dxa"/>
            <w:vAlign w:val="center"/>
          </w:tcPr>
          <w:p>
            <w:pPr>
              <w:pStyle w:val="12"/>
            </w:pPr>
            <w:r>
              <w:t>21.27</w:t>
            </w:r>
          </w:p>
        </w:tc>
        <w:tc>
          <w:tcPr>
            <w:tcW w:w="1361" w:type="dxa"/>
            <w:vAlign w:val="center"/>
          </w:tcPr>
          <w:p>
            <w:pPr>
              <w:pStyle w:val="12"/>
            </w:pPr>
            <w:r>
              <w:t>21.27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2012802</w:t>
            </w:r>
          </w:p>
        </w:tc>
        <w:tc>
          <w:tcPr>
            <w:tcW w:w="4535" w:type="dxa"/>
            <w:vAlign w:val="center"/>
          </w:tcPr>
          <w:p>
            <w:pPr>
              <w:pStyle w:val="13"/>
            </w:pPr>
            <w:r>
              <w:t>一般行政管理事务</w:t>
            </w:r>
          </w:p>
        </w:tc>
        <w:tc>
          <w:tcPr>
            <w:tcW w:w="1361" w:type="dxa"/>
            <w:vAlign w:val="center"/>
          </w:tcPr>
          <w:p>
            <w:pPr>
              <w:pStyle w:val="12"/>
            </w:pPr>
            <w:r>
              <w:t>21.20</w:t>
            </w:r>
          </w:p>
        </w:tc>
        <w:tc>
          <w:tcPr>
            <w:tcW w:w="1361" w:type="dxa"/>
            <w:vAlign w:val="center"/>
          </w:tcPr>
          <w:p>
            <w:pPr>
              <w:pStyle w:val="12"/>
            </w:pPr>
          </w:p>
        </w:tc>
        <w:tc>
          <w:tcPr>
            <w:tcW w:w="1361" w:type="dxa"/>
            <w:vAlign w:val="center"/>
          </w:tcPr>
          <w:p>
            <w:pPr>
              <w:pStyle w:val="12"/>
            </w:pPr>
            <w:r>
              <w:t>21.20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2.15</w:t>
            </w:r>
          </w:p>
        </w:tc>
        <w:tc>
          <w:tcPr>
            <w:tcW w:w="1361" w:type="dxa"/>
            <w:vAlign w:val="center"/>
          </w:tcPr>
          <w:p>
            <w:pPr>
              <w:pStyle w:val="12"/>
            </w:pPr>
            <w:r>
              <w:t>2.15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2.15</w:t>
            </w:r>
          </w:p>
        </w:tc>
        <w:tc>
          <w:tcPr>
            <w:tcW w:w="1361" w:type="dxa"/>
            <w:vAlign w:val="center"/>
          </w:tcPr>
          <w:p>
            <w:pPr>
              <w:pStyle w:val="12"/>
            </w:pPr>
            <w:r>
              <w:t>2.15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2.15</w:t>
            </w:r>
          </w:p>
        </w:tc>
        <w:tc>
          <w:tcPr>
            <w:tcW w:w="1361" w:type="dxa"/>
            <w:vAlign w:val="center"/>
          </w:tcPr>
          <w:p>
            <w:pPr>
              <w:pStyle w:val="12"/>
            </w:pPr>
            <w:r>
              <w:t>2.15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0.97</w:t>
            </w:r>
          </w:p>
        </w:tc>
        <w:tc>
          <w:tcPr>
            <w:tcW w:w="1361" w:type="dxa"/>
            <w:vAlign w:val="center"/>
          </w:tcPr>
          <w:p>
            <w:pPr>
              <w:pStyle w:val="12"/>
            </w:pPr>
            <w:r>
              <w:t>0.97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0.97</w:t>
            </w:r>
          </w:p>
        </w:tc>
        <w:tc>
          <w:tcPr>
            <w:tcW w:w="1361" w:type="dxa"/>
            <w:vAlign w:val="center"/>
          </w:tcPr>
          <w:p>
            <w:pPr>
              <w:pStyle w:val="12"/>
            </w:pPr>
            <w:r>
              <w:t>0.97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0.97</w:t>
            </w:r>
          </w:p>
        </w:tc>
        <w:tc>
          <w:tcPr>
            <w:tcW w:w="1361" w:type="dxa"/>
            <w:vAlign w:val="center"/>
          </w:tcPr>
          <w:p>
            <w:pPr>
              <w:pStyle w:val="12"/>
            </w:pPr>
            <w:r>
              <w:t>0.97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1.72</w:t>
            </w:r>
          </w:p>
        </w:tc>
        <w:tc>
          <w:tcPr>
            <w:tcW w:w="1361" w:type="dxa"/>
            <w:vAlign w:val="center"/>
          </w:tcPr>
          <w:p>
            <w:pPr>
              <w:pStyle w:val="12"/>
            </w:pPr>
            <w:r>
              <w:t>1.72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1.72</w:t>
            </w:r>
          </w:p>
        </w:tc>
        <w:tc>
          <w:tcPr>
            <w:tcW w:w="1361" w:type="dxa"/>
            <w:vAlign w:val="center"/>
          </w:tcPr>
          <w:p>
            <w:pPr>
              <w:pStyle w:val="12"/>
            </w:pPr>
            <w:r>
              <w:t>1.72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1.72</w:t>
            </w:r>
          </w:p>
        </w:tc>
        <w:tc>
          <w:tcPr>
            <w:tcW w:w="1361" w:type="dxa"/>
            <w:vAlign w:val="center"/>
          </w:tcPr>
          <w:p>
            <w:pPr>
              <w:pStyle w:val="12"/>
            </w:pPr>
            <w:r>
              <w:t>1.72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215001隆尧县工商业联合会本级</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47.32</w:t>
            </w:r>
          </w:p>
        </w:tc>
        <w:tc>
          <w:tcPr>
            <w:tcW w:w="3402" w:type="dxa"/>
            <w:vAlign w:val="center"/>
          </w:tcPr>
          <w:p>
            <w:pPr>
              <w:pStyle w:val="13"/>
            </w:pPr>
            <w:r>
              <w:t>一、一般公共服务支出</w:t>
            </w:r>
          </w:p>
        </w:tc>
        <w:tc>
          <w:tcPr>
            <w:tcW w:w="1474" w:type="dxa"/>
            <w:vAlign w:val="center"/>
          </w:tcPr>
          <w:p>
            <w:pPr>
              <w:pStyle w:val="12"/>
            </w:pPr>
            <w:r>
              <w:t>42.47</w:t>
            </w:r>
          </w:p>
        </w:tc>
        <w:tc>
          <w:tcPr>
            <w:tcW w:w="1474" w:type="dxa"/>
            <w:vAlign w:val="center"/>
          </w:tcPr>
          <w:p>
            <w:pPr>
              <w:pStyle w:val="12"/>
            </w:pPr>
            <w:r>
              <w:t>42.47</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2.15</w:t>
            </w:r>
          </w:p>
        </w:tc>
        <w:tc>
          <w:tcPr>
            <w:tcW w:w="1474" w:type="dxa"/>
            <w:vAlign w:val="center"/>
          </w:tcPr>
          <w:p>
            <w:pPr>
              <w:pStyle w:val="12"/>
            </w:pPr>
            <w:r>
              <w:t>2.15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0.97</w:t>
            </w:r>
          </w:p>
        </w:tc>
        <w:tc>
          <w:tcPr>
            <w:tcW w:w="1474" w:type="dxa"/>
            <w:vAlign w:val="center"/>
          </w:tcPr>
          <w:p>
            <w:pPr>
              <w:pStyle w:val="12"/>
            </w:pPr>
            <w:r>
              <w:t>0.97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1.72</w:t>
            </w:r>
          </w:p>
        </w:tc>
        <w:tc>
          <w:tcPr>
            <w:tcW w:w="1474" w:type="dxa"/>
            <w:vAlign w:val="center"/>
          </w:tcPr>
          <w:p>
            <w:pPr>
              <w:pStyle w:val="12"/>
            </w:pPr>
            <w:r>
              <w:t>1.72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47.32</w:t>
            </w:r>
          </w:p>
        </w:tc>
        <w:tc>
          <w:tcPr>
            <w:tcW w:w="3402" w:type="dxa"/>
            <w:vAlign w:val="center"/>
          </w:tcPr>
          <w:p>
            <w:pPr>
              <w:pStyle w:val="15"/>
            </w:pPr>
            <w:r>
              <w:t>本年支出合计</w:t>
            </w:r>
          </w:p>
        </w:tc>
        <w:tc>
          <w:tcPr>
            <w:tcW w:w="1474" w:type="dxa"/>
            <w:vAlign w:val="center"/>
          </w:tcPr>
          <w:p>
            <w:pPr>
              <w:pStyle w:val="16"/>
            </w:pPr>
            <w:r>
              <w:t>47.32</w:t>
            </w:r>
          </w:p>
        </w:tc>
        <w:tc>
          <w:tcPr>
            <w:tcW w:w="1474" w:type="dxa"/>
            <w:vAlign w:val="center"/>
          </w:tcPr>
          <w:p>
            <w:pPr>
              <w:pStyle w:val="16"/>
            </w:pPr>
            <w:r>
              <w:t>47.32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47.32</w:t>
            </w:r>
          </w:p>
        </w:tc>
        <w:tc>
          <w:tcPr>
            <w:tcW w:w="3402" w:type="dxa"/>
            <w:vAlign w:val="center"/>
          </w:tcPr>
          <w:p>
            <w:pPr>
              <w:pStyle w:val="15"/>
            </w:pPr>
            <w:r>
              <w:t>支出总计</w:t>
            </w:r>
          </w:p>
        </w:tc>
        <w:tc>
          <w:tcPr>
            <w:tcW w:w="1474" w:type="dxa"/>
            <w:vAlign w:val="center"/>
          </w:tcPr>
          <w:p>
            <w:pPr>
              <w:pStyle w:val="16"/>
            </w:pPr>
            <w:r>
              <w:t>47.32</w:t>
            </w:r>
          </w:p>
        </w:tc>
        <w:tc>
          <w:tcPr>
            <w:tcW w:w="1474" w:type="dxa"/>
            <w:vAlign w:val="center"/>
          </w:tcPr>
          <w:p>
            <w:pPr>
              <w:pStyle w:val="16"/>
            </w:pPr>
            <w:r>
              <w:t>47.32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215001隆尧县工商业联合会本级</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47.32</w:t>
            </w:r>
          </w:p>
        </w:tc>
        <w:tc>
          <w:tcPr>
            <w:tcW w:w="2551" w:type="dxa"/>
            <w:vAlign w:val="center"/>
          </w:tcPr>
          <w:p>
            <w:pPr>
              <w:pStyle w:val="16"/>
            </w:pPr>
            <w:r>
              <w:t>26.12</w:t>
            </w:r>
          </w:p>
        </w:tc>
        <w:tc>
          <w:tcPr>
            <w:tcW w:w="2551" w:type="dxa"/>
            <w:vAlign w:val="center"/>
          </w:tcPr>
          <w:p>
            <w:pPr>
              <w:pStyle w:val="16"/>
            </w:pPr>
            <w:r>
              <w:t>21.20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42.47</w:t>
            </w:r>
          </w:p>
        </w:tc>
        <w:tc>
          <w:tcPr>
            <w:tcW w:w="2551" w:type="dxa"/>
            <w:vAlign w:val="center"/>
          </w:tcPr>
          <w:p>
            <w:pPr>
              <w:pStyle w:val="12"/>
            </w:pPr>
            <w:r>
              <w:t>21.27</w:t>
            </w:r>
          </w:p>
        </w:tc>
        <w:tc>
          <w:tcPr>
            <w:tcW w:w="2551" w:type="dxa"/>
            <w:vAlign w:val="center"/>
          </w:tcPr>
          <w:p>
            <w:pPr>
              <w:pStyle w:val="12"/>
            </w:pPr>
            <w:r>
              <w:t>21.20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20128</w:t>
            </w:r>
          </w:p>
        </w:tc>
        <w:tc>
          <w:tcPr>
            <w:tcW w:w="4535" w:type="dxa"/>
            <w:vAlign w:val="center"/>
          </w:tcPr>
          <w:p>
            <w:pPr>
              <w:pStyle w:val="13"/>
            </w:pPr>
            <w:r>
              <w:t>民主党派及工商联事务</w:t>
            </w:r>
          </w:p>
        </w:tc>
        <w:tc>
          <w:tcPr>
            <w:tcW w:w="2551" w:type="dxa"/>
            <w:vAlign w:val="center"/>
          </w:tcPr>
          <w:p>
            <w:pPr>
              <w:pStyle w:val="12"/>
            </w:pPr>
            <w:r>
              <w:t>42.47</w:t>
            </w:r>
          </w:p>
        </w:tc>
        <w:tc>
          <w:tcPr>
            <w:tcW w:w="2551" w:type="dxa"/>
            <w:vAlign w:val="center"/>
          </w:tcPr>
          <w:p>
            <w:pPr>
              <w:pStyle w:val="12"/>
            </w:pPr>
            <w:r>
              <w:t>21.27</w:t>
            </w:r>
          </w:p>
        </w:tc>
        <w:tc>
          <w:tcPr>
            <w:tcW w:w="2551" w:type="dxa"/>
            <w:vAlign w:val="center"/>
          </w:tcPr>
          <w:p>
            <w:pPr>
              <w:pStyle w:val="12"/>
            </w:pPr>
            <w:r>
              <w:t>21.20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2012801</w:t>
            </w:r>
          </w:p>
        </w:tc>
        <w:tc>
          <w:tcPr>
            <w:tcW w:w="4535" w:type="dxa"/>
            <w:vAlign w:val="center"/>
          </w:tcPr>
          <w:p>
            <w:pPr>
              <w:pStyle w:val="13"/>
            </w:pPr>
            <w:r>
              <w:t>行政运行</w:t>
            </w:r>
          </w:p>
        </w:tc>
        <w:tc>
          <w:tcPr>
            <w:tcW w:w="2551" w:type="dxa"/>
            <w:vAlign w:val="center"/>
          </w:tcPr>
          <w:p>
            <w:pPr>
              <w:pStyle w:val="12"/>
            </w:pPr>
            <w:r>
              <w:t>21.27</w:t>
            </w:r>
          </w:p>
        </w:tc>
        <w:tc>
          <w:tcPr>
            <w:tcW w:w="2551" w:type="dxa"/>
            <w:vAlign w:val="center"/>
          </w:tcPr>
          <w:p>
            <w:pPr>
              <w:pStyle w:val="12"/>
            </w:pPr>
            <w:r>
              <w:t>21.27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2012802</w:t>
            </w:r>
          </w:p>
        </w:tc>
        <w:tc>
          <w:tcPr>
            <w:tcW w:w="4535" w:type="dxa"/>
            <w:vAlign w:val="center"/>
          </w:tcPr>
          <w:p>
            <w:pPr>
              <w:pStyle w:val="13"/>
            </w:pPr>
            <w:r>
              <w:t>一般行政管理事务</w:t>
            </w:r>
          </w:p>
        </w:tc>
        <w:tc>
          <w:tcPr>
            <w:tcW w:w="2551" w:type="dxa"/>
            <w:vAlign w:val="center"/>
          </w:tcPr>
          <w:p>
            <w:pPr>
              <w:pStyle w:val="12"/>
            </w:pPr>
            <w:r>
              <w:t>21.20</w:t>
            </w:r>
          </w:p>
        </w:tc>
        <w:tc>
          <w:tcPr>
            <w:tcW w:w="2551" w:type="dxa"/>
            <w:vAlign w:val="center"/>
          </w:tcPr>
          <w:p>
            <w:pPr>
              <w:pStyle w:val="12"/>
            </w:pPr>
          </w:p>
        </w:tc>
        <w:tc>
          <w:tcPr>
            <w:tcW w:w="2551" w:type="dxa"/>
            <w:vAlign w:val="center"/>
          </w:tcPr>
          <w:p>
            <w:pPr>
              <w:pStyle w:val="12"/>
            </w:pPr>
            <w:r>
              <w:t>21.20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2.15</w:t>
            </w:r>
          </w:p>
        </w:tc>
        <w:tc>
          <w:tcPr>
            <w:tcW w:w="2551" w:type="dxa"/>
            <w:vAlign w:val="center"/>
          </w:tcPr>
          <w:p>
            <w:pPr>
              <w:pStyle w:val="12"/>
            </w:pPr>
            <w:r>
              <w:t>2.15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2.15</w:t>
            </w:r>
          </w:p>
        </w:tc>
        <w:tc>
          <w:tcPr>
            <w:tcW w:w="2551" w:type="dxa"/>
            <w:vAlign w:val="center"/>
          </w:tcPr>
          <w:p>
            <w:pPr>
              <w:pStyle w:val="12"/>
            </w:pPr>
            <w:r>
              <w:t>2.15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2.15</w:t>
            </w:r>
          </w:p>
        </w:tc>
        <w:tc>
          <w:tcPr>
            <w:tcW w:w="2551" w:type="dxa"/>
            <w:vAlign w:val="center"/>
          </w:tcPr>
          <w:p>
            <w:pPr>
              <w:pStyle w:val="12"/>
            </w:pPr>
            <w:r>
              <w:t>2.15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0.97</w:t>
            </w:r>
          </w:p>
        </w:tc>
        <w:tc>
          <w:tcPr>
            <w:tcW w:w="2551" w:type="dxa"/>
            <w:vAlign w:val="center"/>
          </w:tcPr>
          <w:p>
            <w:pPr>
              <w:pStyle w:val="12"/>
            </w:pPr>
            <w:r>
              <w:t>0.97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0.97</w:t>
            </w:r>
          </w:p>
        </w:tc>
        <w:tc>
          <w:tcPr>
            <w:tcW w:w="2551" w:type="dxa"/>
            <w:vAlign w:val="center"/>
          </w:tcPr>
          <w:p>
            <w:pPr>
              <w:pStyle w:val="12"/>
            </w:pPr>
            <w:r>
              <w:t>0.97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0.97</w:t>
            </w:r>
          </w:p>
        </w:tc>
        <w:tc>
          <w:tcPr>
            <w:tcW w:w="2551" w:type="dxa"/>
            <w:vAlign w:val="center"/>
          </w:tcPr>
          <w:p>
            <w:pPr>
              <w:pStyle w:val="12"/>
            </w:pPr>
            <w:r>
              <w:t>0.97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1.72</w:t>
            </w:r>
          </w:p>
        </w:tc>
        <w:tc>
          <w:tcPr>
            <w:tcW w:w="2551" w:type="dxa"/>
            <w:vAlign w:val="center"/>
          </w:tcPr>
          <w:p>
            <w:pPr>
              <w:pStyle w:val="12"/>
            </w:pPr>
            <w:r>
              <w:t>1.72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1.72</w:t>
            </w:r>
          </w:p>
        </w:tc>
        <w:tc>
          <w:tcPr>
            <w:tcW w:w="2551" w:type="dxa"/>
            <w:vAlign w:val="center"/>
          </w:tcPr>
          <w:p>
            <w:pPr>
              <w:pStyle w:val="12"/>
            </w:pPr>
            <w:r>
              <w:t>1.72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1.72</w:t>
            </w:r>
          </w:p>
        </w:tc>
        <w:tc>
          <w:tcPr>
            <w:tcW w:w="2551" w:type="dxa"/>
            <w:vAlign w:val="center"/>
          </w:tcPr>
          <w:p>
            <w:pPr>
              <w:pStyle w:val="12"/>
            </w:pPr>
            <w:r>
              <w:t>1.72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215001隆尧县工商业联合会本级</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26.12</w:t>
            </w:r>
          </w:p>
        </w:tc>
        <w:tc>
          <w:tcPr>
            <w:tcW w:w="2551" w:type="dxa"/>
            <w:vAlign w:val="center"/>
          </w:tcPr>
          <w:p>
            <w:pPr>
              <w:pStyle w:val="16"/>
            </w:pPr>
            <w:r>
              <w:t>23.74</w:t>
            </w:r>
          </w:p>
        </w:tc>
        <w:tc>
          <w:tcPr>
            <w:tcW w:w="2551" w:type="dxa"/>
            <w:vAlign w:val="center"/>
          </w:tcPr>
          <w:p>
            <w:pPr>
              <w:pStyle w:val="16"/>
            </w:pPr>
            <w:r>
              <w:t>2.38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20.62</w:t>
            </w:r>
          </w:p>
        </w:tc>
        <w:tc>
          <w:tcPr>
            <w:tcW w:w="2551" w:type="dxa"/>
            <w:vAlign w:val="center"/>
          </w:tcPr>
          <w:p>
            <w:pPr>
              <w:pStyle w:val="12"/>
            </w:pPr>
            <w:r>
              <w:t>20.62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8.06</w:t>
            </w:r>
          </w:p>
        </w:tc>
        <w:tc>
          <w:tcPr>
            <w:tcW w:w="2551" w:type="dxa"/>
            <w:vAlign w:val="center"/>
          </w:tcPr>
          <w:p>
            <w:pPr>
              <w:pStyle w:val="12"/>
            </w:pPr>
            <w:r>
              <w:t>8.06</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3.32</w:t>
            </w:r>
          </w:p>
        </w:tc>
        <w:tc>
          <w:tcPr>
            <w:tcW w:w="2551" w:type="dxa"/>
            <w:vAlign w:val="center"/>
          </w:tcPr>
          <w:p>
            <w:pPr>
              <w:pStyle w:val="12"/>
            </w:pPr>
            <w:r>
              <w:t>3.32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4.33</w:t>
            </w:r>
          </w:p>
        </w:tc>
        <w:tc>
          <w:tcPr>
            <w:tcW w:w="2551" w:type="dxa"/>
            <w:vAlign w:val="center"/>
          </w:tcPr>
          <w:p>
            <w:pPr>
              <w:pStyle w:val="12"/>
            </w:pPr>
            <w:r>
              <w:t>4.33</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2.15</w:t>
            </w:r>
          </w:p>
        </w:tc>
        <w:tc>
          <w:tcPr>
            <w:tcW w:w="2551" w:type="dxa"/>
            <w:vAlign w:val="center"/>
          </w:tcPr>
          <w:p>
            <w:pPr>
              <w:pStyle w:val="12"/>
            </w:pPr>
            <w:r>
              <w:t>2.15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0.97</w:t>
            </w:r>
          </w:p>
        </w:tc>
        <w:tc>
          <w:tcPr>
            <w:tcW w:w="2551" w:type="dxa"/>
            <w:vAlign w:val="center"/>
          </w:tcPr>
          <w:p>
            <w:pPr>
              <w:pStyle w:val="12"/>
            </w:pPr>
            <w:r>
              <w:t>0.97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0.06</w:t>
            </w:r>
          </w:p>
        </w:tc>
        <w:tc>
          <w:tcPr>
            <w:tcW w:w="2551" w:type="dxa"/>
            <w:vAlign w:val="center"/>
          </w:tcPr>
          <w:p>
            <w:pPr>
              <w:pStyle w:val="12"/>
            </w:pPr>
            <w:r>
              <w:t>0.06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1.72</w:t>
            </w:r>
          </w:p>
        </w:tc>
        <w:tc>
          <w:tcPr>
            <w:tcW w:w="2551" w:type="dxa"/>
            <w:vAlign w:val="center"/>
          </w:tcPr>
          <w:p>
            <w:pPr>
              <w:pStyle w:val="12"/>
            </w:pPr>
            <w:r>
              <w:t>1.72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2.38</w:t>
            </w:r>
          </w:p>
        </w:tc>
        <w:tc>
          <w:tcPr>
            <w:tcW w:w="2551" w:type="dxa"/>
            <w:vAlign w:val="center"/>
          </w:tcPr>
          <w:p>
            <w:pPr>
              <w:pStyle w:val="12"/>
            </w:pPr>
          </w:p>
        </w:tc>
        <w:tc>
          <w:tcPr>
            <w:tcW w:w="2551" w:type="dxa"/>
            <w:vAlign w:val="center"/>
          </w:tcPr>
          <w:p>
            <w:pPr>
              <w:pStyle w:val="12"/>
            </w:pPr>
            <w:r>
              <w:t>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0.33</w:t>
            </w:r>
          </w:p>
        </w:tc>
        <w:tc>
          <w:tcPr>
            <w:tcW w:w="2551" w:type="dxa"/>
            <w:vAlign w:val="center"/>
          </w:tcPr>
          <w:p>
            <w:pPr>
              <w:pStyle w:val="12"/>
            </w:pPr>
          </w:p>
        </w:tc>
        <w:tc>
          <w:tcPr>
            <w:tcW w:w="2551" w:type="dxa"/>
            <w:vAlign w:val="center"/>
          </w:tcPr>
          <w:p>
            <w:pPr>
              <w:pStyle w:val="12"/>
            </w:pPr>
            <w: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0.02</w:t>
            </w:r>
          </w:p>
        </w:tc>
        <w:tc>
          <w:tcPr>
            <w:tcW w:w="2551" w:type="dxa"/>
            <w:vAlign w:val="center"/>
          </w:tcPr>
          <w:p>
            <w:pPr>
              <w:pStyle w:val="12"/>
            </w:pPr>
          </w:p>
        </w:tc>
        <w:tc>
          <w:tcPr>
            <w:tcW w:w="2551"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0.02</w:t>
            </w:r>
          </w:p>
        </w:tc>
        <w:tc>
          <w:tcPr>
            <w:tcW w:w="2551" w:type="dxa"/>
            <w:vAlign w:val="center"/>
          </w:tcPr>
          <w:p>
            <w:pPr>
              <w:pStyle w:val="12"/>
            </w:pPr>
          </w:p>
        </w:tc>
        <w:tc>
          <w:tcPr>
            <w:tcW w:w="2551"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0.07</w:t>
            </w:r>
          </w:p>
        </w:tc>
        <w:tc>
          <w:tcPr>
            <w:tcW w:w="2551" w:type="dxa"/>
            <w:vAlign w:val="center"/>
          </w:tcPr>
          <w:p>
            <w:pPr>
              <w:pStyle w:val="12"/>
            </w:pPr>
          </w:p>
        </w:tc>
        <w:tc>
          <w:tcPr>
            <w:tcW w:w="2551" w:type="dxa"/>
            <w:vAlign w:val="center"/>
          </w:tcPr>
          <w:p>
            <w:pPr>
              <w:pStyle w:val="12"/>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0.06</w:t>
            </w:r>
          </w:p>
        </w:tc>
        <w:tc>
          <w:tcPr>
            <w:tcW w:w="2551" w:type="dxa"/>
            <w:vAlign w:val="center"/>
          </w:tcPr>
          <w:p>
            <w:pPr>
              <w:pStyle w:val="12"/>
            </w:pPr>
          </w:p>
        </w:tc>
        <w:tc>
          <w:tcPr>
            <w:tcW w:w="2551" w:type="dxa"/>
            <w:vAlign w:val="center"/>
          </w:tcPr>
          <w:p>
            <w:pPr>
              <w:pStyle w:val="12"/>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1.38</w:t>
            </w:r>
          </w:p>
        </w:tc>
        <w:tc>
          <w:tcPr>
            <w:tcW w:w="2551" w:type="dxa"/>
            <w:vAlign w:val="center"/>
          </w:tcPr>
          <w:p>
            <w:pPr>
              <w:pStyle w:val="12"/>
            </w:pPr>
          </w:p>
        </w:tc>
        <w:tc>
          <w:tcPr>
            <w:tcW w:w="2551" w:type="dxa"/>
            <w:vAlign w:val="center"/>
          </w:tcPr>
          <w:p>
            <w:pPr>
              <w:pStyle w:val="12"/>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3.12</w:t>
            </w:r>
          </w:p>
        </w:tc>
        <w:tc>
          <w:tcPr>
            <w:tcW w:w="2551" w:type="dxa"/>
            <w:vAlign w:val="center"/>
          </w:tcPr>
          <w:p>
            <w:pPr>
              <w:pStyle w:val="12"/>
            </w:pPr>
            <w:r>
              <w:t>3.12</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3.12</w:t>
            </w:r>
          </w:p>
        </w:tc>
        <w:tc>
          <w:tcPr>
            <w:tcW w:w="2551" w:type="dxa"/>
            <w:vAlign w:val="center"/>
          </w:tcPr>
          <w:p>
            <w:pPr>
              <w:pStyle w:val="12"/>
            </w:pPr>
            <w:r>
              <w:t>3.12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215001隆尧县工商业联合会本级</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215001隆尧县工商业联合会本级</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215001隆尧县工商业联合会本级</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隆尧县工商业联合会本级2024年单位预算信息公开情况说明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按照《中华人民共和国预算法》、《地方预决算公开操作规程》和《关于进一步推进预算公开工作的实施意见》规定，现将隆尧县工商业联合会本级2024年单位预算公开如下：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8"/>
        <w:rPr>
          <w:rFonts w:eastAsiaTheme="minorEastAsia"/>
          <w:lang w:eastAsia="zh-CN"/>
        </w:rPr>
      </w:pPr>
      <w:r>
        <w:rPr>
          <w:rFonts w:hint="eastAsia"/>
        </w:rPr>
        <w:t>贯彻落实党的</w:t>
      </w:r>
      <w:bookmarkStart w:id="1" w:name="_GoBack"/>
      <w:bookmarkEnd w:id="1"/>
      <w:r>
        <w:rPr>
          <w:rFonts w:hint="eastAsia"/>
        </w:rPr>
        <w:t>理论、政策和法律法规，充分发挥党委、政府和非公经济人士之间桥梁纽带作用，全面构建亲清政商关系，促进非公有制经济健康发展和非公有制经济人士健康成长</w:t>
      </w:r>
      <w:r>
        <w:rPr>
          <w:rFonts w:hint="eastAsia" w:eastAsiaTheme="minorEastAsia"/>
          <w:lang w:eastAsia="zh-CN"/>
        </w:rPr>
        <w:t>。</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隆尧县工商业联合会本级</w:t>
            </w:r>
          </w:p>
        </w:tc>
        <w:tc>
          <w:tcPr>
            <w:tcW w:w="1843" w:type="dxa"/>
            <w:vAlign w:val="center"/>
          </w:tcPr>
          <w:p>
            <w:pPr>
              <w:pStyle w:val="14"/>
              <w:rPr>
                <w:rFonts w:hint="eastAsia" w:eastAsiaTheme="minorEastAsia"/>
                <w:lang w:eastAsia="zh-CN"/>
              </w:rPr>
            </w:pPr>
            <w:r>
              <w:rPr>
                <w:rFonts w:hint="eastAsia" w:eastAsiaTheme="minorEastAsia"/>
                <w:lang w:eastAsia="zh-CN"/>
              </w:rPr>
              <w:t>行政</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9"/>
      </w:pPr>
      <w:r>
        <w:t>按照预算管理有关规定，目前我</w:t>
      </w:r>
      <w:r>
        <w:rPr>
          <w:rFonts w:hint="eastAsia" w:eastAsiaTheme="minorEastAsia"/>
          <w:lang w:eastAsia="zh-CN"/>
        </w:rPr>
        <w:t>县</w:t>
      </w:r>
      <w:r>
        <w:t>单位预算的编制实行综合预算管理，即全部收入和支出都反映在预算中。隆尧县工商业联合会机关及所属事业单位的收支包含在单位预算中。</w:t>
      </w:r>
    </w:p>
    <w:p>
      <w:pPr>
        <w:pStyle w:val="19"/>
      </w:pPr>
      <w:r>
        <w:t>1.收入说明：反映本单位当年全部收入。2024年预算收入总计47.32万元，其中：一般公共预算47.32万元，政府性基金预算0万元，财政专户核拨0万元，其他来源收入（包括事业收入）0万元。</w:t>
      </w:r>
    </w:p>
    <w:p>
      <w:pPr>
        <w:pStyle w:val="19"/>
      </w:pPr>
      <w:r>
        <w:t>2.支出说明：收支预算总表支出栏、基本支出表、项目支出表按经济分类和支出功能分类科目编制，反映本年度单位预算中支出预算的总体情况。2024年支出预算总计47.32万元，其中：人员经费23.74万元，日常公用经费2.38万元，项目支出21.2万元。项目支出主要为：民营企业家培训费项目，14</w:t>
      </w:r>
      <w:r>
        <w:rPr>
          <w:rFonts w:hint="eastAsia"/>
          <w:lang w:val="en-US" w:eastAsia="zh-CN"/>
        </w:rPr>
        <w:t>.4</w:t>
      </w:r>
      <w:r>
        <w:t>万元；商（协）会建设经费项目，6万元。</w:t>
      </w:r>
    </w:p>
    <w:p>
      <w:pPr>
        <w:pStyle w:val="19"/>
      </w:pPr>
      <w:r>
        <w:t>3.比上年增减情况：2024年预算收支安排47.32万元，较2023年预算增加47.32万元，主要原因是：新增单位。</w:t>
      </w:r>
    </w:p>
    <w:p>
      <w:pPr>
        <w:spacing w:before="10" w:after="10"/>
        <w:ind w:firstLine="640"/>
        <w:outlineLvl w:val="5"/>
      </w:pPr>
      <w:r>
        <w:rPr>
          <w:rFonts w:ascii="黑体" w:hAnsi="黑体" w:eastAsia="黑体" w:cs="黑体"/>
          <w:color w:val="000000"/>
          <w:sz w:val="32"/>
        </w:rPr>
        <w:t>三、机关运行经费安排情况</w:t>
      </w:r>
    </w:p>
    <w:p>
      <w:pPr>
        <w:pStyle w:val="20"/>
      </w:pPr>
      <w:r>
        <w:t>2024年，我单位机关运行经费共计安排2.38万元，主要用于保证机关正常运转的办公支出。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1"/>
      </w:pPr>
      <w:r>
        <w:t>2024年，我单位财政拨款“三公”经费预算安排0万元，其中：因公出国（境）费0万元；公务用车购置及运维费0万元（其中：公务用车购置费0万元，公务用车运行维护费0万元)；公务接待费0万元。与上年比无增减。</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1、工商联经费绩效目标表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13052524P00001010445Q</w:t>
            </w:r>
          </w:p>
        </w:tc>
        <w:tc>
          <w:tcPr>
            <w:tcW w:w="2835" w:type="dxa"/>
            <w:vAlign w:val="center"/>
          </w:tcPr>
          <w:p>
            <w:pPr>
              <w:pStyle w:val="11"/>
            </w:pPr>
            <w:r>
              <w:t>项目名称</w:t>
            </w:r>
          </w:p>
        </w:tc>
        <w:tc>
          <w:tcPr>
            <w:tcW w:w="6094" w:type="dxa"/>
            <w:gridSpan w:val="3"/>
            <w:vAlign w:val="center"/>
          </w:tcPr>
          <w:p>
            <w:pPr>
              <w:pStyle w:val="13"/>
            </w:pPr>
            <w:r>
              <w:t>工商联经费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2024年度工商联日常办公经费。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eastAsia" w:eastAsiaTheme="minorEastAsia"/>
                <w:lang w:eastAsia="zh-CN"/>
              </w:rPr>
            </w:pPr>
            <w:r>
              <w:rPr>
                <w:rFonts w:hint="eastAsia" w:eastAsiaTheme="minorEastAsia"/>
                <w:lang w:eastAsia="zh-CN"/>
              </w:rPr>
              <w:t>25%</w:t>
            </w:r>
          </w:p>
        </w:tc>
        <w:tc>
          <w:tcPr>
            <w:tcW w:w="2835" w:type="dxa"/>
            <w:vAlign w:val="center"/>
          </w:tcPr>
          <w:p>
            <w:pPr>
              <w:pStyle w:val="14"/>
              <w:rPr>
                <w:rFonts w:hint="eastAsia" w:eastAsiaTheme="minorEastAsia"/>
                <w:lang w:eastAsia="zh-CN"/>
              </w:rPr>
            </w:pPr>
            <w:r>
              <w:rPr>
                <w:rFonts w:hint="eastAsia" w:eastAsiaTheme="minorEastAsia"/>
                <w:lang w:eastAsia="zh-CN"/>
              </w:rPr>
              <w:t>50%</w:t>
            </w:r>
          </w:p>
        </w:tc>
        <w:tc>
          <w:tcPr>
            <w:tcW w:w="2551" w:type="dxa"/>
            <w:vAlign w:val="center"/>
          </w:tcPr>
          <w:p>
            <w:pPr>
              <w:pStyle w:val="14"/>
              <w:rPr>
                <w:rFonts w:hint="eastAsia" w:eastAsiaTheme="minorEastAsia"/>
                <w:lang w:eastAsia="zh-CN"/>
              </w:rPr>
            </w:pPr>
            <w:r>
              <w:rPr>
                <w:rFonts w:hint="eastAsia" w:eastAsiaTheme="minorEastAsia"/>
                <w:lang w:eastAsia="zh-CN"/>
              </w:rPr>
              <w:t>75%</w:t>
            </w:r>
          </w:p>
        </w:tc>
        <w:tc>
          <w:tcPr>
            <w:tcW w:w="3543" w:type="dxa"/>
            <w:gridSpan w:val="2"/>
            <w:vAlign w:val="center"/>
          </w:tcPr>
          <w:p>
            <w:pPr>
              <w:pStyle w:val="14"/>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1.1、联系非公有制企业。2、加强对非公有制经济代表人士思想政治引领。</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开展次数</w:t>
            </w:r>
          </w:p>
        </w:tc>
        <w:tc>
          <w:tcPr>
            <w:tcW w:w="5386" w:type="dxa"/>
            <w:vAlign w:val="center"/>
          </w:tcPr>
          <w:p>
            <w:pPr>
              <w:pStyle w:val="13"/>
            </w:pPr>
            <w:r>
              <w:t>本年度思想政治引领活动次数</w:t>
            </w:r>
          </w:p>
        </w:tc>
        <w:tc>
          <w:tcPr>
            <w:tcW w:w="2268" w:type="dxa"/>
            <w:vAlign w:val="center"/>
          </w:tcPr>
          <w:p>
            <w:pPr>
              <w:pStyle w:val="13"/>
            </w:pPr>
            <w:r>
              <w:t>≥10次</w:t>
            </w:r>
          </w:p>
        </w:tc>
        <w:tc>
          <w:tcPr>
            <w:tcW w:w="1276" w:type="dxa"/>
            <w:vAlign w:val="center"/>
          </w:tcPr>
          <w:p>
            <w:pPr>
              <w:pStyle w:val="13"/>
            </w:pPr>
            <w:r>
              <w:t>隆办字【2002】43号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工作保障率</w:t>
            </w:r>
          </w:p>
        </w:tc>
        <w:tc>
          <w:tcPr>
            <w:tcW w:w="5386" w:type="dxa"/>
            <w:vAlign w:val="center"/>
          </w:tcPr>
          <w:p>
            <w:pPr>
              <w:pStyle w:val="13"/>
            </w:pPr>
            <w:r>
              <w:t>工作保障率</w:t>
            </w:r>
          </w:p>
        </w:tc>
        <w:tc>
          <w:tcPr>
            <w:tcW w:w="2268" w:type="dxa"/>
            <w:vAlign w:val="center"/>
          </w:tcPr>
          <w:p>
            <w:pPr>
              <w:pStyle w:val="13"/>
            </w:pPr>
            <w:r>
              <w:t>≥95百分比</w:t>
            </w:r>
          </w:p>
        </w:tc>
        <w:tc>
          <w:tcPr>
            <w:tcW w:w="1276" w:type="dxa"/>
            <w:vAlign w:val="center"/>
          </w:tcPr>
          <w:p>
            <w:pPr>
              <w:pStyle w:val="13"/>
            </w:pPr>
            <w:r>
              <w:t>隆办字【2002】43号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工作进度率</w:t>
            </w:r>
          </w:p>
        </w:tc>
        <w:tc>
          <w:tcPr>
            <w:tcW w:w="5386" w:type="dxa"/>
            <w:vAlign w:val="center"/>
          </w:tcPr>
          <w:p>
            <w:pPr>
              <w:pStyle w:val="13"/>
            </w:pPr>
            <w:r>
              <w:t>工作进度率</w:t>
            </w:r>
          </w:p>
        </w:tc>
        <w:tc>
          <w:tcPr>
            <w:tcW w:w="2268" w:type="dxa"/>
            <w:vAlign w:val="center"/>
          </w:tcPr>
          <w:p>
            <w:pPr>
              <w:pStyle w:val="13"/>
            </w:pPr>
            <w:r>
              <w:t>≥95百分比</w:t>
            </w:r>
          </w:p>
        </w:tc>
        <w:tc>
          <w:tcPr>
            <w:tcW w:w="1276" w:type="dxa"/>
            <w:vAlign w:val="center"/>
          </w:tcPr>
          <w:p>
            <w:pPr>
              <w:pStyle w:val="13"/>
            </w:pPr>
            <w:r>
              <w:t>隆办字【2002】43号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≥95百分比</w:t>
            </w:r>
          </w:p>
        </w:tc>
        <w:tc>
          <w:tcPr>
            <w:tcW w:w="1276" w:type="dxa"/>
            <w:vAlign w:val="center"/>
          </w:tcPr>
          <w:p>
            <w:pPr>
              <w:pStyle w:val="13"/>
            </w:pPr>
            <w:r>
              <w:t>隆办字【2002】43号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重点工作完成率</w:t>
            </w:r>
          </w:p>
        </w:tc>
        <w:tc>
          <w:tcPr>
            <w:tcW w:w="5386" w:type="dxa"/>
            <w:vAlign w:val="center"/>
          </w:tcPr>
          <w:p>
            <w:pPr>
              <w:pStyle w:val="13"/>
            </w:pPr>
            <w:r>
              <w:t>重点工作完成率</w:t>
            </w:r>
          </w:p>
        </w:tc>
        <w:tc>
          <w:tcPr>
            <w:tcW w:w="2268" w:type="dxa"/>
            <w:vAlign w:val="center"/>
          </w:tcPr>
          <w:p>
            <w:pPr>
              <w:pStyle w:val="13"/>
            </w:pPr>
            <w:r>
              <w:t>≥95百分比</w:t>
            </w:r>
          </w:p>
        </w:tc>
        <w:tc>
          <w:tcPr>
            <w:tcW w:w="1276" w:type="dxa"/>
            <w:vAlign w:val="center"/>
          </w:tcPr>
          <w:p>
            <w:pPr>
              <w:pStyle w:val="13"/>
            </w:pPr>
            <w:r>
              <w:t>隆办字【2002】43号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综合事务保障率</w:t>
            </w:r>
          </w:p>
        </w:tc>
        <w:tc>
          <w:tcPr>
            <w:tcW w:w="5386" w:type="dxa"/>
            <w:vAlign w:val="center"/>
          </w:tcPr>
          <w:p>
            <w:pPr>
              <w:pStyle w:val="13"/>
            </w:pPr>
            <w:r>
              <w:t>综合事务保障率</w:t>
            </w:r>
          </w:p>
        </w:tc>
        <w:tc>
          <w:tcPr>
            <w:tcW w:w="2268" w:type="dxa"/>
            <w:vAlign w:val="center"/>
          </w:tcPr>
          <w:p>
            <w:pPr>
              <w:pStyle w:val="13"/>
            </w:pPr>
            <w:r>
              <w:t>≥95百分比</w:t>
            </w:r>
          </w:p>
        </w:tc>
        <w:tc>
          <w:tcPr>
            <w:tcW w:w="1276" w:type="dxa"/>
            <w:vAlign w:val="center"/>
          </w:tcPr>
          <w:p>
            <w:pPr>
              <w:pStyle w:val="13"/>
            </w:pPr>
            <w:r>
              <w:t>隆办字【2002】43号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2、民营企业家培训费绩效目标表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13052524P00001010446C</w:t>
            </w:r>
          </w:p>
        </w:tc>
        <w:tc>
          <w:tcPr>
            <w:tcW w:w="2835" w:type="dxa"/>
            <w:vAlign w:val="center"/>
          </w:tcPr>
          <w:p>
            <w:pPr>
              <w:pStyle w:val="11"/>
            </w:pPr>
            <w:r>
              <w:t>项目名称</w:t>
            </w:r>
          </w:p>
        </w:tc>
        <w:tc>
          <w:tcPr>
            <w:tcW w:w="6094" w:type="dxa"/>
            <w:gridSpan w:val="3"/>
            <w:vAlign w:val="center"/>
          </w:tcPr>
          <w:p>
            <w:pPr>
              <w:pStyle w:val="13"/>
            </w:pPr>
            <w:r>
              <w:t>民营企业家培训费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14.40</w:t>
            </w:r>
          </w:p>
        </w:tc>
        <w:tc>
          <w:tcPr>
            <w:tcW w:w="2835" w:type="dxa"/>
            <w:vAlign w:val="center"/>
          </w:tcPr>
          <w:p>
            <w:pPr>
              <w:pStyle w:val="11"/>
            </w:pPr>
            <w:r>
              <w:t>其中：财政    资金</w:t>
            </w:r>
          </w:p>
        </w:tc>
        <w:tc>
          <w:tcPr>
            <w:tcW w:w="2551" w:type="dxa"/>
            <w:vAlign w:val="center"/>
          </w:tcPr>
          <w:p>
            <w:pPr>
              <w:pStyle w:val="13"/>
            </w:pPr>
            <w:r>
              <w:t>14.40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2024年度民营企业家培训。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eastAsia" w:eastAsiaTheme="minorEastAsia"/>
                <w:lang w:eastAsia="zh-CN"/>
              </w:rPr>
            </w:pPr>
            <w:r>
              <w:rPr>
                <w:rFonts w:hint="eastAsia" w:eastAsiaTheme="minorEastAsia"/>
                <w:lang w:eastAsia="zh-CN"/>
              </w:rPr>
              <w:t>25%</w:t>
            </w:r>
          </w:p>
        </w:tc>
        <w:tc>
          <w:tcPr>
            <w:tcW w:w="2835" w:type="dxa"/>
            <w:vAlign w:val="center"/>
          </w:tcPr>
          <w:p>
            <w:pPr>
              <w:pStyle w:val="14"/>
              <w:rPr>
                <w:rFonts w:hint="eastAsia" w:eastAsiaTheme="minorEastAsia"/>
                <w:lang w:eastAsia="zh-CN"/>
              </w:rPr>
            </w:pPr>
            <w:r>
              <w:rPr>
                <w:rFonts w:hint="eastAsia" w:eastAsiaTheme="minorEastAsia"/>
                <w:lang w:eastAsia="zh-CN"/>
              </w:rPr>
              <w:t>50%</w:t>
            </w:r>
          </w:p>
        </w:tc>
        <w:tc>
          <w:tcPr>
            <w:tcW w:w="2551" w:type="dxa"/>
            <w:vAlign w:val="center"/>
          </w:tcPr>
          <w:p>
            <w:pPr>
              <w:pStyle w:val="14"/>
              <w:rPr>
                <w:rFonts w:hint="eastAsia" w:eastAsiaTheme="minorEastAsia"/>
                <w:lang w:eastAsia="zh-CN"/>
              </w:rPr>
            </w:pPr>
            <w:r>
              <w:rPr>
                <w:rFonts w:hint="eastAsia" w:eastAsiaTheme="minorEastAsia"/>
                <w:lang w:eastAsia="zh-CN"/>
              </w:rPr>
              <w:t>75%</w:t>
            </w:r>
          </w:p>
        </w:tc>
        <w:tc>
          <w:tcPr>
            <w:tcW w:w="3543" w:type="dxa"/>
            <w:gridSpan w:val="2"/>
            <w:vAlign w:val="center"/>
          </w:tcPr>
          <w:p>
            <w:pPr>
              <w:pStyle w:val="14"/>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1.促进非公有制企业健康发展、帮助企业提质升级。</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民营企业培训率</w:t>
            </w:r>
          </w:p>
        </w:tc>
        <w:tc>
          <w:tcPr>
            <w:tcW w:w="5386" w:type="dxa"/>
            <w:vAlign w:val="center"/>
          </w:tcPr>
          <w:p>
            <w:pPr>
              <w:pStyle w:val="13"/>
            </w:pPr>
            <w:r>
              <w:t>民营企业培训率</w:t>
            </w:r>
          </w:p>
        </w:tc>
        <w:tc>
          <w:tcPr>
            <w:tcW w:w="2268" w:type="dxa"/>
            <w:vAlign w:val="center"/>
          </w:tcPr>
          <w:p>
            <w:pPr>
              <w:pStyle w:val="13"/>
            </w:pPr>
            <w:r>
              <w:t>≥95百分比</w:t>
            </w:r>
          </w:p>
        </w:tc>
        <w:tc>
          <w:tcPr>
            <w:tcW w:w="1276" w:type="dxa"/>
            <w:vAlign w:val="center"/>
          </w:tcPr>
          <w:p>
            <w:pPr>
              <w:pStyle w:val="13"/>
            </w:pPr>
            <w:r>
              <w:t>邢发〔2011〕12号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培训质量标准</w:t>
            </w:r>
          </w:p>
        </w:tc>
        <w:tc>
          <w:tcPr>
            <w:tcW w:w="5386" w:type="dxa"/>
            <w:vAlign w:val="center"/>
          </w:tcPr>
          <w:p>
            <w:pPr>
              <w:pStyle w:val="13"/>
            </w:pPr>
            <w:r>
              <w:t>培训质量标准</w:t>
            </w:r>
          </w:p>
        </w:tc>
        <w:tc>
          <w:tcPr>
            <w:tcW w:w="2268" w:type="dxa"/>
            <w:vAlign w:val="center"/>
          </w:tcPr>
          <w:p>
            <w:pPr>
              <w:pStyle w:val="13"/>
            </w:pPr>
            <w:r>
              <w:t>≥95百分比</w:t>
            </w:r>
          </w:p>
        </w:tc>
        <w:tc>
          <w:tcPr>
            <w:tcW w:w="1276" w:type="dxa"/>
            <w:vAlign w:val="center"/>
          </w:tcPr>
          <w:p>
            <w:pPr>
              <w:pStyle w:val="13"/>
            </w:pPr>
            <w:r>
              <w:t>邢发〔2011〕12号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培训进度率</w:t>
            </w:r>
          </w:p>
        </w:tc>
        <w:tc>
          <w:tcPr>
            <w:tcW w:w="5386" w:type="dxa"/>
            <w:vAlign w:val="center"/>
          </w:tcPr>
          <w:p>
            <w:pPr>
              <w:pStyle w:val="13"/>
            </w:pPr>
            <w:r>
              <w:t>培训进度率</w:t>
            </w:r>
          </w:p>
        </w:tc>
        <w:tc>
          <w:tcPr>
            <w:tcW w:w="2268" w:type="dxa"/>
            <w:vAlign w:val="center"/>
          </w:tcPr>
          <w:p>
            <w:pPr>
              <w:pStyle w:val="13"/>
            </w:pPr>
            <w:r>
              <w:t>≥95百分比</w:t>
            </w:r>
          </w:p>
        </w:tc>
        <w:tc>
          <w:tcPr>
            <w:tcW w:w="1276" w:type="dxa"/>
            <w:vAlign w:val="center"/>
          </w:tcPr>
          <w:p>
            <w:pPr>
              <w:pStyle w:val="13"/>
            </w:pPr>
            <w:r>
              <w:t>邢发〔2011〕12号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≥95百分比</w:t>
            </w:r>
          </w:p>
        </w:tc>
        <w:tc>
          <w:tcPr>
            <w:tcW w:w="1276" w:type="dxa"/>
            <w:vAlign w:val="center"/>
          </w:tcPr>
          <w:p>
            <w:pPr>
              <w:pStyle w:val="13"/>
            </w:pPr>
            <w:r>
              <w:t>邢发〔2011〕12号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预定目标占比率</w:t>
            </w:r>
          </w:p>
        </w:tc>
        <w:tc>
          <w:tcPr>
            <w:tcW w:w="5386" w:type="dxa"/>
            <w:vAlign w:val="center"/>
          </w:tcPr>
          <w:p>
            <w:pPr>
              <w:pStyle w:val="13"/>
            </w:pPr>
            <w:r>
              <w:t>预定目标占比率</w:t>
            </w:r>
          </w:p>
        </w:tc>
        <w:tc>
          <w:tcPr>
            <w:tcW w:w="2268" w:type="dxa"/>
            <w:vAlign w:val="center"/>
          </w:tcPr>
          <w:p>
            <w:pPr>
              <w:pStyle w:val="13"/>
            </w:pPr>
            <w:r>
              <w:t>≥95百分比</w:t>
            </w:r>
          </w:p>
        </w:tc>
        <w:tc>
          <w:tcPr>
            <w:tcW w:w="1276" w:type="dxa"/>
            <w:vAlign w:val="center"/>
          </w:tcPr>
          <w:p>
            <w:pPr>
              <w:pStyle w:val="13"/>
            </w:pPr>
            <w:r>
              <w:t>邢发〔2011〕12号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受训人员满意率</w:t>
            </w:r>
          </w:p>
        </w:tc>
        <w:tc>
          <w:tcPr>
            <w:tcW w:w="5386" w:type="dxa"/>
            <w:vAlign w:val="center"/>
          </w:tcPr>
          <w:p>
            <w:pPr>
              <w:pStyle w:val="13"/>
            </w:pPr>
            <w:r>
              <w:t>受训人员满意率</w:t>
            </w:r>
          </w:p>
        </w:tc>
        <w:tc>
          <w:tcPr>
            <w:tcW w:w="2268" w:type="dxa"/>
            <w:vAlign w:val="center"/>
          </w:tcPr>
          <w:p>
            <w:pPr>
              <w:pStyle w:val="13"/>
            </w:pPr>
            <w:r>
              <w:t>≥95百分比</w:t>
            </w:r>
          </w:p>
        </w:tc>
        <w:tc>
          <w:tcPr>
            <w:tcW w:w="1276" w:type="dxa"/>
            <w:vAlign w:val="center"/>
          </w:tcPr>
          <w:p>
            <w:pPr>
              <w:pStyle w:val="13"/>
            </w:pPr>
            <w:r>
              <w:t>邢发〔2011〕12号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3、商（协）会建设经费绩效目标表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13052524P00001010448K</w:t>
            </w:r>
          </w:p>
        </w:tc>
        <w:tc>
          <w:tcPr>
            <w:tcW w:w="2835" w:type="dxa"/>
            <w:vAlign w:val="center"/>
          </w:tcPr>
          <w:p>
            <w:pPr>
              <w:pStyle w:val="11"/>
            </w:pPr>
            <w:r>
              <w:t>项目名称</w:t>
            </w:r>
          </w:p>
        </w:tc>
        <w:tc>
          <w:tcPr>
            <w:tcW w:w="6094" w:type="dxa"/>
            <w:gridSpan w:val="3"/>
            <w:vAlign w:val="center"/>
          </w:tcPr>
          <w:p>
            <w:pPr>
              <w:pStyle w:val="13"/>
            </w:pPr>
            <w:r>
              <w:t>商（协）会建设经费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2024年度商（协）会建设。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eastAsia" w:eastAsiaTheme="minorEastAsia"/>
                <w:lang w:eastAsia="zh-CN"/>
              </w:rPr>
            </w:pPr>
            <w:r>
              <w:rPr>
                <w:rFonts w:hint="eastAsia" w:eastAsiaTheme="minorEastAsia"/>
                <w:lang w:eastAsia="zh-CN"/>
              </w:rPr>
              <w:t>25%</w:t>
            </w:r>
          </w:p>
        </w:tc>
        <w:tc>
          <w:tcPr>
            <w:tcW w:w="2835" w:type="dxa"/>
            <w:vAlign w:val="center"/>
          </w:tcPr>
          <w:p>
            <w:pPr>
              <w:pStyle w:val="14"/>
              <w:rPr>
                <w:rFonts w:hint="eastAsia" w:eastAsiaTheme="minorEastAsia"/>
                <w:lang w:eastAsia="zh-CN"/>
              </w:rPr>
            </w:pPr>
            <w:r>
              <w:rPr>
                <w:rFonts w:hint="eastAsia" w:eastAsiaTheme="minorEastAsia"/>
                <w:lang w:eastAsia="zh-CN"/>
              </w:rPr>
              <w:t>50%</w:t>
            </w:r>
          </w:p>
        </w:tc>
        <w:tc>
          <w:tcPr>
            <w:tcW w:w="2551" w:type="dxa"/>
            <w:vAlign w:val="center"/>
          </w:tcPr>
          <w:p>
            <w:pPr>
              <w:pStyle w:val="14"/>
              <w:rPr>
                <w:rFonts w:hint="eastAsia" w:eastAsiaTheme="minorEastAsia"/>
                <w:lang w:eastAsia="zh-CN"/>
              </w:rPr>
            </w:pPr>
            <w:r>
              <w:rPr>
                <w:rFonts w:hint="eastAsia" w:eastAsiaTheme="minorEastAsia"/>
                <w:lang w:eastAsia="zh-CN"/>
              </w:rPr>
              <w:t>75%</w:t>
            </w:r>
          </w:p>
        </w:tc>
        <w:tc>
          <w:tcPr>
            <w:tcW w:w="3543" w:type="dxa"/>
            <w:gridSpan w:val="2"/>
            <w:vAlign w:val="center"/>
          </w:tcPr>
          <w:p>
            <w:pPr>
              <w:pStyle w:val="14"/>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1.规范提升现有商（协）会，充分发挥商（协）会内引外联优势。</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商协会数量</w:t>
            </w:r>
          </w:p>
        </w:tc>
        <w:tc>
          <w:tcPr>
            <w:tcW w:w="5386" w:type="dxa"/>
            <w:vAlign w:val="center"/>
          </w:tcPr>
          <w:p>
            <w:pPr>
              <w:pStyle w:val="13"/>
            </w:pPr>
            <w:r>
              <w:t>建成商协会数量</w:t>
            </w:r>
          </w:p>
        </w:tc>
        <w:tc>
          <w:tcPr>
            <w:tcW w:w="2268" w:type="dxa"/>
            <w:vAlign w:val="center"/>
          </w:tcPr>
          <w:p>
            <w:pPr>
              <w:pStyle w:val="13"/>
            </w:pPr>
            <w:r>
              <w:t>≥8家</w:t>
            </w:r>
          </w:p>
        </w:tc>
        <w:tc>
          <w:tcPr>
            <w:tcW w:w="1276" w:type="dxa"/>
            <w:vAlign w:val="center"/>
          </w:tcPr>
          <w:p>
            <w:pPr>
              <w:pStyle w:val="13"/>
            </w:pPr>
            <w:r>
              <w:t>邢统字〔2022〕9号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商协会质量率</w:t>
            </w:r>
          </w:p>
        </w:tc>
        <w:tc>
          <w:tcPr>
            <w:tcW w:w="5386" w:type="dxa"/>
            <w:vAlign w:val="center"/>
          </w:tcPr>
          <w:p>
            <w:pPr>
              <w:pStyle w:val="13"/>
            </w:pPr>
            <w:r>
              <w:t>商协会建设标准占总体率</w:t>
            </w:r>
          </w:p>
        </w:tc>
        <w:tc>
          <w:tcPr>
            <w:tcW w:w="2268" w:type="dxa"/>
            <w:vAlign w:val="center"/>
          </w:tcPr>
          <w:p>
            <w:pPr>
              <w:pStyle w:val="13"/>
            </w:pPr>
            <w:r>
              <w:t>≥95百分比</w:t>
            </w:r>
          </w:p>
        </w:tc>
        <w:tc>
          <w:tcPr>
            <w:tcW w:w="1276" w:type="dxa"/>
            <w:vAlign w:val="center"/>
          </w:tcPr>
          <w:p>
            <w:pPr>
              <w:pStyle w:val="13"/>
            </w:pPr>
            <w:r>
              <w:t>邢统字〔2022〕9号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商协会完成时间</w:t>
            </w:r>
          </w:p>
        </w:tc>
        <w:tc>
          <w:tcPr>
            <w:tcW w:w="5386" w:type="dxa"/>
            <w:vAlign w:val="center"/>
          </w:tcPr>
          <w:p>
            <w:pPr>
              <w:pStyle w:val="13"/>
            </w:pPr>
            <w:r>
              <w:t>工作进度率</w:t>
            </w:r>
          </w:p>
        </w:tc>
        <w:tc>
          <w:tcPr>
            <w:tcW w:w="2268" w:type="dxa"/>
            <w:vAlign w:val="center"/>
          </w:tcPr>
          <w:p>
            <w:pPr>
              <w:pStyle w:val="13"/>
            </w:pPr>
            <w:r>
              <w:t>≥95百分比</w:t>
            </w:r>
          </w:p>
        </w:tc>
        <w:tc>
          <w:tcPr>
            <w:tcW w:w="1276" w:type="dxa"/>
            <w:vAlign w:val="center"/>
          </w:tcPr>
          <w:p>
            <w:pPr>
              <w:pStyle w:val="13"/>
            </w:pPr>
            <w:r>
              <w:t>邢统字〔2022〕9号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≥95百分比</w:t>
            </w:r>
          </w:p>
        </w:tc>
        <w:tc>
          <w:tcPr>
            <w:tcW w:w="1276" w:type="dxa"/>
            <w:vAlign w:val="center"/>
          </w:tcPr>
          <w:p>
            <w:pPr>
              <w:pStyle w:val="13"/>
            </w:pPr>
            <w:r>
              <w:t>邢统字〔2022〕9号</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商协会发挥作用在民营企业中可持续影响率</w:t>
            </w:r>
          </w:p>
        </w:tc>
        <w:tc>
          <w:tcPr>
            <w:tcW w:w="5386" w:type="dxa"/>
            <w:vAlign w:val="center"/>
          </w:tcPr>
          <w:p>
            <w:pPr>
              <w:pStyle w:val="13"/>
            </w:pPr>
            <w:r>
              <w:t>商协会发挥作用在民营企业中可持续影响率</w:t>
            </w:r>
          </w:p>
        </w:tc>
        <w:tc>
          <w:tcPr>
            <w:tcW w:w="2268" w:type="dxa"/>
            <w:vAlign w:val="center"/>
          </w:tcPr>
          <w:p>
            <w:pPr>
              <w:pStyle w:val="13"/>
            </w:pPr>
            <w:r>
              <w:t>≥95百分比</w:t>
            </w:r>
          </w:p>
        </w:tc>
        <w:tc>
          <w:tcPr>
            <w:tcW w:w="1276" w:type="dxa"/>
            <w:vAlign w:val="center"/>
          </w:tcPr>
          <w:p>
            <w:pPr>
              <w:pStyle w:val="13"/>
            </w:pPr>
            <w:r>
              <w:t>邢统字〔2022〕9号</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商协会成员满意度</w:t>
            </w:r>
          </w:p>
        </w:tc>
        <w:tc>
          <w:tcPr>
            <w:tcW w:w="5386" w:type="dxa"/>
            <w:vAlign w:val="center"/>
          </w:tcPr>
          <w:p>
            <w:pPr>
              <w:pStyle w:val="13"/>
            </w:pPr>
            <w:r>
              <w:t>商协会成员满意度</w:t>
            </w:r>
          </w:p>
        </w:tc>
        <w:tc>
          <w:tcPr>
            <w:tcW w:w="2268" w:type="dxa"/>
            <w:vAlign w:val="center"/>
          </w:tcPr>
          <w:p>
            <w:pPr>
              <w:pStyle w:val="13"/>
            </w:pPr>
            <w:r>
              <w:t>≥95百分比</w:t>
            </w:r>
          </w:p>
        </w:tc>
        <w:tc>
          <w:tcPr>
            <w:tcW w:w="1276" w:type="dxa"/>
            <w:vAlign w:val="center"/>
          </w:tcPr>
          <w:p>
            <w:pPr>
              <w:pStyle w:val="13"/>
            </w:pPr>
            <w:r>
              <w:t>邢统字〔2022〕9号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215001隆尧县工商业联合会本级</w:t>
            </w:r>
          </w:p>
        </w:tc>
        <w:tc>
          <w:tcPr>
            <w:tcW w:w="7710"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0.05</w:t>
            </w:r>
          </w:p>
        </w:tc>
        <w:tc>
          <w:tcPr>
            <w:tcW w:w="964" w:type="dxa"/>
            <w:vAlign w:val="center"/>
          </w:tcPr>
          <w:p>
            <w:pPr>
              <w:pStyle w:val="16"/>
            </w:pPr>
            <w:r>
              <w:t>0.05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隆尧县工商业联合会本级小计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0.05</w:t>
            </w:r>
          </w:p>
        </w:tc>
        <w:tc>
          <w:tcPr>
            <w:tcW w:w="964" w:type="dxa"/>
            <w:vAlign w:val="center"/>
          </w:tcPr>
          <w:p>
            <w:pPr>
              <w:pStyle w:val="16"/>
            </w:pPr>
            <w:r>
              <w:t>0.05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2024年运转类公用项目(三保）</w:t>
            </w:r>
          </w:p>
        </w:tc>
        <w:tc>
          <w:tcPr>
            <w:tcW w:w="964" w:type="dxa"/>
            <w:vAlign w:val="center"/>
          </w:tcPr>
          <w:p>
            <w:pPr>
              <w:pStyle w:val="12"/>
            </w:pPr>
            <w:r>
              <w:t>1.00</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件</w:t>
            </w:r>
          </w:p>
        </w:tc>
        <w:tc>
          <w:tcPr>
            <w:tcW w:w="850" w:type="dxa"/>
            <w:vAlign w:val="center"/>
          </w:tcPr>
          <w:p>
            <w:pPr>
              <w:pStyle w:val="12"/>
            </w:pPr>
            <w:r>
              <w:t>3</w:t>
            </w:r>
          </w:p>
        </w:tc>
        <w:tc>
          <w:tcPr>
            <w:tcW w:w="850" w:type="dxa"/>
            <w:vAlign w:val="center"/>
          </w:tcPr>
          <w:p>
            <w:pPr>
              <w:pStyle w:val="12"/>
            </w:pPr>
            <w:r>
              <w:t>0.02</w:t>
            </w:r>
          </w:p>
        </w:tc>
        <w:tc>
          <w:tcPr>
            <w:tcW w:w="964" w:type="dxa"/>
            <w:vAlign w:val="center"/>
          </w:tcPr>
          <w:p>
            <w:pPr>
              <w:pStyle w:val="12"/>
            </w:pPr>
            <w:r>
              <w:t>0.05</w:t>
            </w:r>
          </w:p>
        </w:tc>
        <w:tc>
          <w:tcPr>
            <w:tcW w:w="964" w:type="dxa"/>
            <w:vAlign w:val="center"/>
          </w:tcPr>
          <w:p>
            <w:pPr>
              <w:pStyle w:val="12"/>
            </w:pPr>
            <w:r>
              <w:t>0.05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0.05</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隆尧县工商业联合会本级上年末固定资产金额为0.00万元（详见下表）。本年度拟购置固定资产总额为0.0</w:t>
      </w:r>
      <w:r>
        <w:rPr>
          <w:rFonts w:hint="eastAsia" w:eastAsiaTheme="minorEastAsia"/>
          <w:color w:val="000000"/>
          <w:sz w:val="28"/>
          <w:lang w:eastAsia="zh-CN"/>
        </w:rPr>
        <w:t>5</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215001隆尧县工商业联合会本级</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GU4ZTAzMTU1MjczZmEyMjg4NmVkYTFiYzdiNjYwYjAifQ=="/>
  </w:docVars>
  <w:rsids>
    <w:rsidRoot w:val="00F0363B"/>
    <w:rsid w:val="00105456"/>
    <w:rsid w:val="007A5FA3"/>
    <w:rsid w:val="00F0363B"/>
    <w:rsid w:val="51217A46"/>
    <w:rsid w:val="569F4C07"/>
    <w:rsid w:val="7EFC5C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26"/>
    <w:autoRedefine/>
    <w:semiHidden/>
    <w:unhideWhenUsed/>
    <w:qFormat/>
    <w:uiPriority w:val="99"/>
    <w:pPr>
      <w:tabs>
        <w:tab w:val="center" w:pos="4153"/>
        <w:tab w:val="right" w:pos="8306"/>
      </w:tabs>
      <w:snapToGrid w:val="0"/>
    </w:pPr>
    <w:rPr>
      <w:sz w:val="18"/>
      <w:szCs w:val="18"/>
    </w:rPr>
  </w:style>
  <w:style w:type="paragraph" w:styleId="3">
    <w:name w:val="header"/>
    <w:basedOn w:val="1"/>
    <w:link w:val="25"/>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autoRedefine/>
    <w:qFormat/>
    <w:uiPriority w:val="0"/>
    <w:pPr>
      <w:spacing w:before="120"/>
      <w:ind w:firstLine="560"/>
    </w:pPr>
    <w:rPr>
      <w:rFonts w:eastAsia="方正仿宋_GBK" w:cs="Times New Roman"/>
      <w:color w:val="000000"/>
      <w:sz w:val="28"/>
    </w:r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9">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0">
    <w:name w:val="单元格样式20"/>
    <w:basedOn w:val="1"/>
    <w:autoRedefine/>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3">
    <w:name w:val="单元格样式2"/>
    <w:basedOn w:val="1"/>
    <w:autoRedefine/>
    <w:qFormat/>
    <w:uiPriority w:val="0"/>
    <w:rPr>
      <w:rFonts w:ascii="方正书宋_GBK" w:hAnsi="方正书宋_GBK" w:eastAsia="方正书宋_GBK" w:cs="方正书宋_GBK"/>
      <w:sz w:val="21"/>
    </w:rPr>
  </w:style>
  <w:style w:type="paragraph" w:customStyle="1" w:styleId="14">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5">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6">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7">
    <w:name w:val="单元格样式5"/>
    <w:basedOn w:val="1"/>
    <w:autoRedefine/>
    <w:qFormat/>
    <w:uiPriority w:val="0"/>
    <w:rPr>
      <w:rFonts w:ascii="方正书宋_GBK" w:hAnsi="方正书宋_GBK" w:eastAsia="方正书宋_GBK" w:cs="方正书宋_GBK"/>
      <w:b/>
      <w:sz w:val="21"/>
    </w:rPr>
  </w:style>
  <w:style w:type="paragraph" w:customStyle="1" w:styleId="18">
    <w:name w:val="插入文本样式-插入单位职责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1">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2">
    <w:name w:val="单元格样式23"/>
    <w:basedOn w:val="1"/>
    <w:autoRedefine/>
    <w:qFormat/>
    <w:uiPriority w:val="0"/>
    <w:pPr>
      <w:jc w:val="right"/>
    </w:pPr>
    <w:rPr>
      <w:rFonts w:ascii="方正书宋_GBK" w:hAnsi="方正书宋_GBK" w:eastAsia="方正书宋_GBK" w:cs="方正书宋_GBK"/>
    </w:rPr>
  </w:style>
  <w:style w:type="paragraph" w:customStyle="1" w:styleId="23">
    <w:name w:val="TOC 4"/>
    <w:basedOn w:val="1"/>
    <w:autoRedefine/>
    <w:qFormat/>
    <w:uiPriority w:val="0"/>
    <w:pPr>
      <w:ind w:left="720"/>
    </w:pPr>
  </w:style>
  <w:style w:type="paragraph" w:customStyle="1" w:styleId="24">
    <w:name w:val="TOC 1"/>
    <w:basedOn w:val="1"/>
    <w:autoRedefine/>
    <w:qFormat/>
    <w:uiPriority w:val="0"/>
    <w:pPr>
      <w:spacing w:before="120"/>
      <w:ind w:firstLine="560"/>
    </w:pPr>
    <w:rPr>
      <w:rFonts w:eastAsia="方正仿宋_GBK"/>
      <w:color w:val="000000"/>
      <w:sz w:val="28"/>
    </w:rPr>
  </w:style>
  <w:style w:type="character" w:customStyle="1" w:styleId="25">
    <w:name w:val="页眉 Char"/>
    <w:basedOn w:val="7"/>
    <w:link w:val="3"/>
    <w:autoRedefine/>
    <w:semiHidden/>
    <w:qFormat/>
    <w:uiPriority w:val="99"/>
    <w:rPr>
      <w:rFonts w:eastAsia="Times New Roman"/>
      <w:sz w:val="18"/>
      <w:szCs w:val="18"/>
      <w:lang w:eastAsia="uk-UA"/>
    </w:rPr>
  </w:style>
  <w:style w:type="character" w:customStyle="1" w:styleId="26">
    <w:name w:val="页脚 Char"/>
    <w:basedOn w:val="7"/>
    <w:link w:val="2"/>
    <w:autoRedefine/>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2024-02-05T15:14:28Z</dcterms:created>
  <dcterms:modified xsi:type="dcterms:W3CDTF">2024-02-05T07:14:28Z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2024-02-05T15:14:29Z</dcterms:created>
  <dcterms:modified xsi:type="dcterms:W3CDTF">2024-02-05T07:14:29Z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2024-02-05T15:14:24Z</dcterms:created>
  <dcterms:modified xsi:type="dcterms:W3CDTF">2024-02-05T07:14:24Z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2024-02-05T15:14:28Z</dcterms:created>
  <dcterms:modified xsi:type="dcterms:W3CDTF">2024-02-05T07:14:28Z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2024-02-05T15:14:27Z</dcterms:created>
  <dcterms:modified xsi:type="dcterms:W3CDTF">2024-02-05T07:14:27Z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2024-02-05T15:14:28Z</dcterms:created>
  <dcterms:modified xsi:type="dcterms:W3CDTF">2024-02-05T07:14:28Z</dcterms:modified>
</cp:coreProperties>
</file>

<file path=customXml/itemProps1.xml><?xml version="1.0" encoding="utf-8"?>
<ds:datastoreItem xmlns:ds="http://schemas.openxmlformats.org/officeDocument/2006/customXml" ds:itemID="{CFEB6712-F33D-42CC-8F6A-85BCE3C15ACA}">
  <ds:schemaRefs/>
</ds:datastoreItem>
</file>

<file path=customXml/itemProps10.xml><?xml version="1.0" encoding="utf-8"?>
<ds:datastoreItem xmlns:ds="http://schemas.openxmlformats.org/officeDocument/2006/customXml" ds:itemID="{11F94637-9A51-4EF2-A90A-43CEC6A4D7B2}">
  <ds:schemaRefs/>
</ds:datastoreItem>
</file>

<file path=customXml/itemProps11.xml><?xml version="1.0" encoding="utf-8"?>
<ds:datastoreItem xmlns:ds="http://schemas.openxmlformats.org/officeDocument/2006/customXml" ds:itemID="{2C98AE0C-2D0B-4571-BFE9-5BB737C75304}">
  <ds:schemaRefs/>
</ds:datastoreItem>
</file>

<file path=customXml/itemProps12.xml><?xml version="1.0" encoding="utf-8"?>
<ds:datastoreItem xmlns:ds="http://schemas.openxmlformats.org/officeDocument/2006/customXml" ds:itemID="{760A8E57-6D81-4DAD-BB78-6DC3E37D8EC0}">
  <ds:schemaRefs/>
</ds:datastoreItem>
</file>

<file path=customXml/itemProps2.xml><?xml version="1.0" encoding="utf-8"?>
<ds:datastoreItem xmlns:ds="http://schemas.openxmlformats.org/officeDocument/2006/customXml" ds:itemID="{E9E6254F-DA09-46CA-9C8E-AF45608C451C}">
  <ds:schemaRefs/>
</ds:datastoreItem>
</file>

<file path=customXml/itemProps3.xml><?xml version="1.0" encoding="utf-8"?>
<ds:datastoreItem xmlns:ds="http://schemas.openxmlformats.org/officeDocument/2006/customXml" ds:itemID="{48FF9296-0F3E-4C09-A307-F68685A7289E}">
  <ds:schemaRefs/>
</ds:datastoreItem>
</file>

<file path=customXml/itemProps4.xml><?xml version="1.0" encoding="utf-8"?>
<ds:datastoreItem xmlns:ds="http://schemas.openxmlformats.org/officeDocument/2006/customXml" ds:itemID="{071A0BD1-8E58-4531-87BD-FA6989DE066C}">
  <ds:schemaRefs/>
</ds:datastoreItem>
</file>

<file path=customXml/itemProps5.xml><?xml version="1.0" encoding="utf-8"?>
<ds:datastoreItem xmlns:ds="http://schemas.openxmlformats.org/officeDocument/2006/customXml" ds:itemID="{D259278F-85BD-45DB-B10E-6E649382435F}">
  <ds:schemaRefs/>
</ds:datastoreItem>
</file>

<file path=customXml/itemProps6.xml><?xml version="1.0" encoding="utf-8"?>
<ds:datastoreItem xmlns:ds="http://schemas.openxmlformats.org/officeDocument/2006/customXml" ds:itemID="{64390290-3B43-496A-BB62-F6F17FF031D0}">
  <ds:schemaRefs/>
</ds:datastoreItem>
</file>

<file path=customXml/itemProps7.xml><?xml version="1.0" encoding="utf-8"?>
<ds:datastoreItem xmlns:ds="http://schemas.openxmlformats.org/officeDocument/2006/customXml" ds:itemID="{FF50CF66-027C-40DC-AEA3-F0F075492B11}">
  <ds:schemaRefs/>
</ds:datastoreItem>
</file>

<file path=customXml/itemProps8.xml><?xml version="1.0" encoding="utf-8"?>
<ds:datastoreItem xmlns:ds="http://schemas.openxmlformats.org/officeDocument/2006/customXml" ds:itemID="{0E486E56-66A3-45C5-A9B5-8563415C12A5}">
  <ds:schemaRefs/>
</ds:datastoreItem>
</file>

<file path=customXml/itemProps9.xml><?xml version="1.0" encoding="utf-8"?>
<ds:datastoreItem xmlns:ds="http://schemas.openxmlformats.org/officeDocument/2006/customXml" ds:itemID="{44B6A41B-4923-4E22-A6BA-845568C1AD5E}">
  <ds:schemaRefs/>
</ds:datastoreItem>
</file>

<file path=docProps/app.xml><?xml version="1.0" encoding="utf-8"?>
<Properties xmlns="http://schemas.openxmlformats.org/officeDocument/2006/extended-properties" xmlns:vt="http://schemas.openxmlformats.org/officeDocument/2006/docPropsVTypes">
  <Template>Normal.dotm</Template>
  <Pages>21</Pages>
  <Words>1315</Words>
  <Characters>7499</Characters>
  <Lines>62</Lines>
  <Paragraphs>17</Paragraphs>
  <TotalTime>8</TotalTime>
  <ScaleCrop>false</ScaleCrop>
  <LinksUpToDate>false</LinksUpToDate>
  <CharactersWithSpaces>8797</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2024-02-05T07:14:00Z</dcterms:created>
  <dc:creator>Administrator</dc:creator>
  <cp:lastModifiedBy>Administrator</cp:lastModifiedBy>
  <dcterms:modified xsi:type="dcterms:W3CDTF">2024-02-08T03:10:53Z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6E555810A087432BA9BAA89E74EF83D0_12</vt:lpwstr>
  </property>
</Properties>
</file>