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215隆尧县工商业联合会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47.32</w:t>
            </w:r>
          </w:p>
        </w:tc>
        <w:tc>
          <w:tcPr>
            <w:tcW w:w="4535" w:type="dxa"/>
            <w:vAlign w:val="center"/>
          </w:tcPr>
          <w:p>
            <w:pPr>
              <w:pStyle w:val="12"/>
            </w:pPr>
            <w:r>
              <w:t>一、一般公共服务支出</w:t>
            </w:r>
          </w:p>
        </w:tc>
        <w:tc>
          <w:tcPr>
            <w:tcW w:w="2126" w:type="dxa"/>
            <w:vAlign w:val="center"/>
          </w:tcPr>
          <w:p>
            <w:pPr>
              <w:pStyle w:val="11"/>
            </w:pPr>
            <w:r>
              <w:t>42.47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47.32</w:t>
            </w:r>
          </w:p>
        </w:tc>
        <w:tc>
          <w:tcPr>
            <w:tcW w:w="4535" w:type="dxa"/>
            <w:vAlign w:val="center"/>
          </w:tcPr>
          <w:p>
            <w:pPr>
              <w:pStyle w:val="14"/>
            </w:pPr>
            <w:r>
              <w:t>本年支出合计</w:t>
            </w:r>
          </w:p>
        </w:tc>
        <w:tc>
          <w:tcPr>
            <w:tcW w:w="2126" w:type="dxa"/>
            <w:vAlign w:val="center"/>
          </w:tcPr>
          <w:p>
            <w:pPr>
              <w:pStyle w:val="15"/>
            </w:pPr>
            <w:r>
              <w:t>47.32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47.32</w:t>
            </w:r>
          </w:p>
        </w:tc>
        <w:tc>
          <w:tcPr>
            <w:tcW w:w="4535" w:type="dxa"/>
            <w:vAlign w:val="center"/>
          </w:tcPr>
          <w:p>
            <w:pPr>
              <w:pStyle w:val="14"/>
            </w:pPr>
            <w:r>
              <w:t>支出总计</w:t>
            </w:r>
          </w:p>
        </w:tc>
        <w:tc>
          <w:tcPr>
            <w:tcW w:w="2126" w:type="dxa"/>
            <w:vAlign w:val="center"/>
          </w:tcPr>
          <w:p>
            <w:pPr>
              <w:pStyle w:val="15"/>
            </w:pPr>
            <w:r>
              <w:t>47.32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215隆尧县工商业联合会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47.32</w:t>
            </w:r>
          </w:p>
        </w:tc>
        <w:tc>
          <w:tcPr>
            <w:tcW w:w="1134" w:type="dxa"/>
            <w:vAlign w:val="center"/>
          </w:tcPr>
          <w:p>
            <w:pPr>
              <w:pStyle w:val="15"/>
            </w:pPr>
            <w:r>
              <w:t>47.32</w:t>
            </w:r>
          </w:p>
        </w:tc>
        <w:tc>
          <w:tcPr>
            <w:tcW w:w="1134" w:type="dxa"/>
            <w:vAlign w:val="center"/>
          </w:tcPr>
          <w:p>
            <w:pPr>
              <w:pStyle w:val="15"/>
            </w:pPr>
            <w:r>
              <w:t>47.32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42.47</w:t>
            </w:r>
          </w:p>
        </w:tc>
        <w:tc>
          <w:tcPr>
            <w:tcW w:w="1134" w:type="dxa"/>
            <w:vAlign w:val="center"/>
          </w:tcPr>
          <w:p>
            <w:pPr>
              <w:pStyle w:val="11"/>
            </w:pPr>
            <w:r>
              <w:t>42.47</w:t>
            </w:r>
          </w:p>
        </w:tc>
        <w:tc>
          <w:tcPr>
            <w:tcW w:w="1134" w:type="dxa"/>
            <w:vAlign w:val="center"/>
          </w:tcPr>
          <w:p>
            <w:pPr>
              <w:pStyle w:val="11"/>
            </w:pPr>
            <w:r>
              <w:t>42.47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42.47</w:t>
            </w:r>
          </w:p>
        </w:tc>
        <w:tc>
          <w:tcPr>
            <w:tcW w:w="1134" w:type="dxa"/>
            <w:vAlign w:val="center"/>
          </w:tcPr>
          <w:p>
            <w:pPr>
              <w:pStyle w:val="11"/>
            </w:pPr>
            <w:r>
              <w:t>42.47</w:t>
            </w:r>
          </w:p>
        </w:tc>
        <w:tc>
          <w:tcPr>
            <w:tcW w:w="1134" w:type="dxa"/>
            <w:vAlign w:val="center"/>
          </w:tcPr>
          <w:p>
            <w:pPr>
              <w:pStyle w:val="11"/>
            </w:pPr>
            <w:r>
              <w:t>42.47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21.27</w:t>
            </w:r>
          </w:p>
        </w:tc>
        <w:tc>
          <w:tcPr>
            <w:tcW w:w="1134" w:type="dxa"/>
            <w:vAlign w:val="center"/>
          </w:tcPr>
          <w:p>
            <w:pPr>
              <w:pStyle w:val="11"/>
            </w:pPr>
            <w:r>
              <w:t>21.27</w:t>
            </w:r>
          </w:p>
        </w:tc>
        <w:tc>
          <w:tcPr>
            <w:tcW w:w="1134" w:type="dxa"/>
            <w:vAlign w:val="center"/>
          </w:tcPr>
          <w:p>
            <w:pPr>
              <w:pStyle w:val="11"/>
            </w:pPr>
            <w:r>
              <w:t>21.27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2012802</w:t>
            </w:r>
          </w:p>
        </w:tc>
        <w:tc>
          <w:tcPr>
            <w:tcW w:w="1559" w:type="dxa"/>
            <w:vAlign w:val="center"/>
          </w:tcPr>
          <w:p>
            <w:pPr>
              <w:pStyle w:val="12"/>
            </w:pPr>
            <w:r>
              <w:t>一般行政管理事务</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r>
              <w:t>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r>
              <w:t>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47.32</w:t>
            </w:r>
          </w:p>
        </w:tc>
        <w:tc>
          <w:tcPr>
            <w:tcW w:w="1361" w:type="dxa"/>
            <w:vAlign w:val="center"/>
          </w:tcPr>
          <w:p>
            <w:pPr>
              <w:pStyle w:val="15"/>
            </w:pPr>
            <w:r>
              <w:t>26.12</w:t>
            </w:r>
          </w:p>
        </w:tc>
        <w:tc>
          <w:tcPr>
            <w:tcW w:w="1361" w:type="dxa"/>
            <w:vAlign w:val="center"/>
          </w:tcPr>
          <w:p>
            <w:pPr>
              <w:pStyle w:val="15"/>
            </w:pPr>
            <w:r>
              <w:t>21.20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42.47</w:t>
            </w:r>
          </w:p>
        </w:tc>
        <w:tc>
          <w:tcPr>
            <w:tcW w:w="1361" w:type="dxa"/>
            <w:vAlign w:val="center"/>
          </w:tcPr>
          <w:p>
            <w:pPr>
              <w:pStyle w:val="11"/>
            </w:pPr>
            <w:r>
              <w:t>21.27</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42.47</w:t>
            </w:r>
          </w:p>
        </w:tc>
        <w:tc>
          <w:tcPr>
            <w:tcW w:w="1361" w:type="dxa"/>
            <w:vAlign w:val="center"/>
          </w:tcPr>
          <w:p>
            <w:pPr>
              <w:pStyle w:val="11"/>
            </w:pPr>
            <w:r>
              <w:t>21.27</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21.27</w:t>
            </w:r>
          </w:p>
        </w:tc>
        <w:tc>
          <w:tcPr>
            <w:tcW w:w="1361" w:type="dxa"/>
            <w:vAlign w:val="center"/>
          </w:tcPr>
          <w:p>
            <w:pPr>
              <w:pStyle w:val="11"/>
            </w:pPr>
            <w:r>
              <w:t>21.27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2012802</w:t>
            </w:r>
          </w:p>
        </w:tc>
        <w:tc>
          <w:tcPr>
            <w:tcW w:w="4535" w:type="dxa"/>
            <w:vAlign w:val="center"/>
          </w:tcPr>
          <w:p>
            <w:pPr>
              <w:pStyle w:val="12"/>
            </w:pPr>
            <w:r>
              <w:t>一般行政管理事务</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2.15</w:t>
            </w:r>
          </w:p>
        </w:tc>
        <w:tc>
          <w:tcPr>
            <w:tcW w:w="1361" w:type="dxa"/>
            <w:vAlign w:val="center"/>
          </w:tcPr>
          <w:p>
            <w:pPr>
              <w:pStyle w:val="11"/>
            </w:pPr>
            <w:r>
              <w:t>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0.97</w:t>
            </w:r>
          </w:p>
        </w:tc>
        <w:tc>
          <w:tcPr>
            <w:tcW w:w="1361" w:type="dxa"/>
            <w:vAlign w:val="center"/>
          </w:tcPr>
          <w:p>
            <w:pPr>
              <w:pStyle w:val="11"/>
            </w:pPr>
            <w:r>
              <w:t>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0.97</w:t>
            </w:r>
          </w:p>
        </w:tc>
        <w:tc>
          <w:tcPr>
            <w:tcW w:w="1361" w:type="dxa"/>
            <w:vAlign w:val="center"/>
          </w:tcPr>
          <w:p>
            <w:pPr>
              <w:pStyle w:val="11"/>
            </w:pPr>
            <w:r>
              <w:t>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0.97</w:t>
            </w:r>
          </w:p>
        </w:tc>
        <w:tc>
          <w:tcPr>
            <w:tcW w:w="1361" w:type="dxa"/>
            <w:vAlign w:val="center"/>
          </w:tcPr>
          <w:p>
            <w:pPr>
              <w:pStyle w:val="11"/>
            </w:pPr>
            <w:r>
              <w:t>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1.72</w:t>
            </w:r>
          </w:p>
        </w:tc>
        <w:tc>
          <w:tcPr>
            <w:tcW w:w="1361" w:type="dxa"/>
            <w:vAlign w:val="center"/>
          </w:tcPr>
          <w:p>
            <w:pPr>
              <w:pStyle w:val="11"/>
            </w:pPr>
            <w:r>
              <w:t>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1.72</w:t>
            </w:r>
          </w:p>
        </w:tc>
        <w:tc>
          <w:tcPr>
            <w:tcW w:w="1361" w:type="dxa"/>
            <w:vAlign w:val="center"/>
          </w:tcPr>
          <w:p>
            <w:pPr>
              <w:pStyle w:val="11"/>
            </w:pPr>
            <w:r>
              <w:t>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1.72</w:t>
            </w:r>
          </w:p>
        </w:tc>
        <w:tc>
          <w:tcPr>
            <w:tcW w:w="1361" w:type="dxa"/>
            <w:vAlign w:val="center"/>
          </w:tcPr>
          <w:p>
            <w:pPr>
              <w:pStyle w:val="11"/>
            </w:pPr>
            <w:r>
              <w:t>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47.32</w:t>
            </w:r>
          </w:p>
        </w:tc>
        <w:tc>
          <w:tcPr>
            <w:tcW w:w="3402" w:type="dxa"/>
            <w:vAlign w:val="center"/>
          </w:tcPr>
          <w:p>
            <w:pPr>
              <w:pStyle w:val="12"/>
            </w:pPr>
            <w:r>
              <w:t>一、一般公共服务支出</w:t>
            </w:r>
          </w:p>
        </w:tc>
        <w:tc>
          <w:tcPr>
            <w:tcW w:w="1474" w:type="dxa"/>
            <w:vAlign w:val="center"/>
          </w:tcPr>
          <w:p>
            <w:pPr>
              <w:pStyle w:val="11"/>
            </w:pPr>
            <w:r>
              <w:t>42.47</w:t>
            </w:r>
          </w:p>
        </w:tc>
        <w:tc>
          <w:tcPr>
            <w:tcW w:w="1474" w:type="dxa"/>
            <w:vAlign w:val="center"/>
          </w:tcPr>
          <w:p>
            <w:pPr>
              <w:pStyle w:val="11"/>
            </w:pPr>
            <w:r>
              <w:t>42.47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2.15</w:t>
            </w:r>
          </w:p>
        </w:tc>
        <w:tc>
          <w:tcPr>
            <w:tcW w:w="1474" w:type="dxa"/>
            <w:vAlign w:val="center"/>
          </w:tcPr>
          <w:p>
            <w:pPr>
              <w:pStyle w:val="11"/>
            </w:pPr>
            <w:r>
              <w:t>2.15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0.97</w:t>
            </w:r>
          </w:p>
        </w:tc>
        <w:tc>
          <w:tcPr>
            <w:tcW w:w="1474" w:type="dxa"/>
            <w:vAlign w:val="center"/>
          </w:tcPr>
          <w:p>
            <w:pPr>
              <w:pStyle w:val="11"/>
            </w:pPr>
            <w:r>
              <w:t>0.97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1.72</w:t>
            </w:r>
          </w:p>
        </w:tc>
        <w:tc>
          <w:tcPr>
            <w:tcW w:w="1474" w:type="dxa"/>
            <w:vAlign w:val="center"/>
          </w:tcPr>
          <w:p>
            <w:pPr>
              <w:pStyle w:val="11"/>
            </w:pPr>
            <w:r>
              <w:t>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47.32</w:t>
            </w:r>
          </w:p>
        </w:tc>
        <w:tc>
          <w:tcPr>
            <w:tcW w:w="3402" w:type="dxa"/>
            <w:vAlign w:val="center"/>
          </w:tcPr>
          <w:p>
            <w:pPr>
              <w:pStyle w:val="14"/>
            </w:pPr>
            <w:r>
              <w:t>本年支出合计</w:t>
            </w:r>
          </w:p>
        </w:tc>
        <w:tc>
          <w:tcPr>
            <w:tcW w:w="1474" w:type="dxa"/>
            <w:vAlign w:val="center"/>
          </w:tcPr>
          <w:p>
            <w:pPr>
              <w:pStyle w:val="15"/>
            </w:pPr>
            <w:r>
              <w:t>47.32</w:t>
            </w:r>
          </w:p>
        </w:tc>
        <w:tc>
          <w:tcPr>
            <w:tcW w:w="1474" w:type="dxa"/>
            <w:vAlign w:val="center"/>
          </w:tcPr>
          <w:p>
            <w:pPr>
              <w:pStyle w:val="15"/>
            </w:pPr>
            <w:r>
              <w:t>47.32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47.32</w:t>
            </w:r>
          </w:p>
        </w:tc>
        <w:tc>
          <w:tcPr>
            <w:tcW w:w="3402" w:type="dxa"/>
            <w:vAlign w:val="center"/>
          </w:tcPr>
          <w:p>
            <w:pPr>
              <w:pStyle w:val="14"/>
            </w:pPr>
            <w:r>
              <w:t>支出总计</w:t>
            </w:r>
          </w:p>
        </w:tc>
        <w:tc>
          <w:tcPr>
            <w:tcW w:w="1474" w:type="dxa"/>
            <w:vAlign w:val="center"/>
          </w:tcPr>
          <w:p>
            <w:pPr>
              <w:pStyle w:val="15"/>
            </w:pPr>
            <w:r>
              <w:t>47.32</w:t>
            </w:r>
          </w:p>
        </w:tc>
        <w:tc>
          <w:tcPr>
            <w:tcW w:w="1474" w:type="dxa"/>
            <w:vAlign w:val="center"/>
          </w:tcPr>
          <w:p>
            <w:pPr>
              <w:pStyle w:val="15"/>
            </w:pPr>
            <w:r>
              <w:t>47.32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47.32</w:t>
            </w:r>
          </w:p>
        </w:tc>
        <w:tc>
          <w:tcPr>
            <w:tcW w:w="2551" w:type="dxa"/>
            <w:vAlign w:val="center"/>
          </w:tcPr>
          <w:p>
            <w:pPr>
              <w:pStyle w:val="15"/>
            </w:pPr>
            <w:r>
              <w:t>26.12</w:t>
            </w:r>
          </w:p>
        </w:tc>
        <w:tc>
          <w:tcPr>
            <w:tcW w:w="2551" w:type="dxa"/>
            <w:vAlign w:val="center"/>
          </w:tcPr>
          <w:p>
            <w:pPr>
              <w:pStyle w:val="15"/>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42.47</w:t>
            </w:r>
          </w:p>
        </w:tc>
        <w:tc>
          <w:tcPr>
            <w:tcW w:w="2551" w:type="dxa"/>
            <w:vAlign w:val="center"/>
          </w:tcPr>
          <w:p>
            <w:pPr>
              <w:pStyle w:val="11"/>
            </w:pPr>
            <w:r>
              <w:t>21.27</w:t>
            </w:r>
          </w:p>
        </w:tc>
        <w:tc>
          <w:tcPr>
            <w:tcW w:w="2551" w:type="dxa"/>
            <w:vAlign w:val="center"/>
          </w:tcPr>
          <w:p>
            <w:pPr>
              <w:pStyle w:val="11"/>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42.47</w:t>
            </w:r>
          </w:p>
        </w:tc>
        <w:tc>
          <w:tcPr>
            <w:tcW w:w="2551" w:type="dxa"/>
            <w:vAlign w:val="center"/>
          </w:tcPr>
          <w:p>
            <w:pPr>
              <w:pStyle w:val="11"/>
            </w:pPr>
            <w:r>
              <w:t>21.27</w:t>
            </w:r>
          </w:p>
        </w:tc>
        <w:tc>
          <w:tcPr>
            <w:tcW w:w="2551" w:type="dxa"/>
            <w:vAlign w:val="center"/>
          </w:tcPr>
          <w:p>
            <w:pPr>
              <w:pStyle w:val="11"/>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21.27</w:t>
            </w:r>
          </w:p>
        </w:tc>
        <w:tc>
          <w:tcPr>
            <w:tcW w:w="2551" w:type="dxa"/>
            <w:vAlign w:val="center"/>
          </w:tcPr>
          <w:p>
            <w:pPr>
              <w:pStyle w:val="11"/>
            </w:pPr>
            <w:r>
              <w:t>21.27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2012802</w:t>
            </w:r>
          </w:p>
        </w:tc>
        <w:tc>
          <w:tcPr>
            <w:tcW w:w="4535" w:type="dxa"/>
            <w:vAlign w:val="center"/>
          </w:tcPr>
          <w:p>
            <w:pPr>
              <w:pStyle w:val="12"/>
            </w:pPr>
            <w:r>
              <w:t>一般行政管理事务</w:t>
            </w:r>
          </w:p>
        </w:tc>
        <w:tc>
          <w:tcPr>
            <w:tcW w:w="2551" w:type="dxa"/>
            <w:vAlign w:val="center"/>
          </w:tcPr>
          <w:p>
            <w:pPr>
              <w:pStyle w:val="11"/>
            </w:pPr>
            <w:r>
              <w:t>21.20</w:t>
            </w:r>
          </w:p>
        </w:tc>
        <w:tc>
          <w:tcPr>
            <w:tcW w:w="2551" w:type="dxa"/>
            <w:vAlign w:val="center"/>
          </w:tcPr>
          <w:p>
            <w:pPr>
              <w:pStyle w:val="11"/>
            </w:pPr>
          </w:p>
        </w:tc>
        <w:tc>
          <w:tcPr>
            <w:tcW w:w="2551" w:type="dxa"/>
            <w:vAlign w:val="center"/>
          </w:tcPr>
          <w:p>
            <w:pPr>
              <w:pStyle w:val="11"/>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1.72</w:t>
            </w:r>
          </w:p>
        </w:tc>
        <w:tc>
          <w:tcPr>
            <w:tcW w:w="2551" w:type="dxa"/>
            <w:vAlign w:val="center"/>
          </w:tcPr>
          <w:p>
            <w:pPr>
              <w:pStyle w:val="11"/>
            </w:pPr>
            <w:r>
              <w:t>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1.72</w:t>
            </w:r>
          </w:p>
        </w:tc>
        <w:tc>
          <w:tcPr>
            <w:tcW w:w="2551" w:type="dxa"/>
            <w:vAlign w:val="center"/>
          </w:tcPr>
          <w:p>
            <w:pPr>
              <w:pStyle w:val="11"/>
            </w:pPr>
            <w:r>
              <w:t>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1.72</w:t>
            </w:r>
          </w:p>
        </w:tc>
        <w:tc>
          <w:tcPr>
            <w:tcW w:w="2551" w:type="dxa"/>
            <w:vAlign w:val="center"/>
          </w:tcPr>
          <w:p>
            <w:pPr>
              <w:pStyle w:val="11"/>
            </w:pPr>
            <w:r>
              <w:t>1.72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26.12</w:t>
            </w:r>
          </w:p>
        </w:tc>
        <w:tc>
          <w:tcPr>
            <w:tcW w:w="2551" w:type="dxa"/>
            <w:vAlign w:val="center"/>
          </w:tcPr>
          <w:p>
            <w:pPr>
              <w:pStyle w:val="15"/>
            </w:pPr>
            <w:r>
              <w:t>23.74</w:t>
            </w:r>
          </w:p>
        </w:tc>
        <w:tc>
          <w:tcPr>
            <w:tcW w:w="2551" w:type="dxa"/>
            <w:vAlign w:val="center"/>
          </w:tcPr>
          <w:p>
            <w:pPr>
              <w:pStyle w:val="15"/>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20.62</w:t>
            </w:r>
          </w:p>
        </w:tc>
        <w:tc>
          <w:tcPr>
            <w:tcW w:w="2551" w:type="dxa"/>
            <w:vAlign w:val="center"/>
          </w:tcPr>
          <w:p>
            <w:pPr>
              <w:pStyle w:val="11"/>
            </w:pPr>
            <w:r>
              <w:t>20.62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8.06</w:t>
            </w:r>
          </w:p>
        </w:tc>
        <w:tc>
          <w:tcPr>
            <w:tcW w:w="2551" w:type="dxa"/>
            <w:vAlign w:val="center"/>
          </w:tcPr>
          <w:p>
            <w:pPr>
              <w:pStyle w:val="11"/>
            </w:pPr>
            <w:r>
              <w:t>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3.32</w:t>
            </w:r>
          </w:p>
        </w:tc>
        <w:tc>
          <w:tcPr>
            <w:tcW w:w="2551" w:type="dxa"/>
            <w:vAlign w:val="center"/>
          </w:tcPr>
          <w:p>
            <w:pPr>
              <w:pStyle w:val="11"/>
            </w:pPr>
            <w:r>
              <w:t>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1.72</w:t>
            </w:r>
          </w:p>
        </w:tc>
        <w:tc>
          <w:tcPr>
            <w:tcW w:w="2551" w:type="dxa"/>
            <w:vAlign w:val="center"/>
          </w:tcPr>
          <w:p>
            <w:pPr>
              <w:pStyle w:val="11"/>
            </w:pPr>
            <w:r>
              <w:t>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2.38</w:t>
            </w:r>
          </w:p>
        </w:tc>
        <w:tc>
          <w:tcPr>
            <w:tcW w:w="2551" w:type="dxa"/>
            <w:vAlign w:val="center"/>
          </w:tcPr>
          <w:p>
            <w:pPr>
              <w:pStyle w:val="11"/>
            </w:pPr>
          </w:p>
        </w:tc>
        <w:tc>
          <w:tcPr>
            <w:tcW w:w="2551" w:type="dxa"/>
            <w:vAlign w:val="center"/>
          </w:tcPr>
          <w:p>
            <w:pPr>
              <w:pStyle w:val="11"/>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0.02</w:t>
            </w:r>
          </w:p>
        </w:tc>
        <w:tc>
          <w:tcPr>
            <w:tcW w:w="2551" w:type="dxa"/>
            <w:vAlign w:val="center"/>
          </w:tcPr>
          <w:p>
            <w:pPr>
              <w:pStyle w:val="11"/>
            </w:pPr>
          </w:p>
        </w:tc>
        <w:tc>
          <w:tcPr>
            <w:tcW w:w="2551"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0.02</w:t>
            </w:r>
          </w:p>
        </w:tc>
        <w:tc>
          <w:tcPr>
            <w:tcW w:w="2551" w:type="dxa"/>
            <w:vAlign w:val="center"/>
          </w:tcPr>
          <w:p>
            <w:pPr>
              <w:pStyle w:val="11"/>
            </w:pPr>
          </w:p>
        </w:tc>
        <w:tc>
          <w:tcPr>
            <w:tcW w:w="2551"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215隆尧县工商业联合会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隆尧县工商业联合会2024年部门预算信息公开情况说明</w:t>
      </w:r>
    </w:p>
    <w:p>
      <w:pPr>
        <w:jc w:val="center"/>
      </w:pPr>
      <w:r>
        <w:rPr>
          <w:rFonts w:ascii="方正小标宋_GBK" w:hAnsi="方正小标宋_GBK" w:eastAsia="方正小标宋_GBK" w:cs="方正小标宋_GBK"/>
          <w:color w:val="000000"/>
          <w:sz w:val="44"/>
        </w:rPr>
        <w:t>隆尧县工商业联合会2024年部门预算信息公开情况说明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按照《中华人民共和国预算法》、《地方预决算公开操作规程》和《关于进一步推进预算公开工作的实施意见》规定，现将隆尧县工商业联合会2024年部门预算公开如下：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rPr>
          <w:rFonts w:eastAsiaTheme="minorEastAsia"/>
          <w:lang w:eastAsia="zh-CN"/>
        </w:rPr>
      </w:pPr>
      <w:r>
        <w:rPr>
          <w:rFonts w:hint="eastAsia"/>
        </w:rPr>
        <w:t>贯彻落实党的</w:t>
      </w:r>
      <w:bookmarkStart w:id="20" w:name="_GoBack"/>
      <w:bookmarkEnd w:id="20"/>
      <w:r>
        <w:rPr>
          <w:rFonts w:hint="eastAsia"/>
        </w:rPr>
        <w:t>理论、政策和法律法规，充分发挥党委、政府和非公经济人士之间桥梁纽带作用，全面构建亲清政商关系，促进非公有制经济健康发展和非公有制经济人士健康成长</w:t>
      </w:r>
      <w:r>
        <w:rPr>
          <w:rFonts w:hint="eastAsia" w:eastAsiaTheme="minorEastAsia"/>
          <w:lang w:eastAsia="zh-CN"/>
        </w:rP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隆尧县工商业联合会本级</w:t>
            </w:r>
          </w:p>
        </w:tc>
        <w:tc>
          <w:tcPr>
            <w:tcW w:w="1843" w:type="dxa"/>
            <w:vAlign w:val="center"/>
          </w:tcPr>
          <w:p>
            <w:pPr>
              <w:pStyle w:val="13"/>
              <w:rPr>
                <w:rFonts w:hint="eastAsia" w:eastAsiaTheme="minorEastAsia"/>
                <w:lang w:eastAsia="zh-CN"/>
              </w:rPr>
            </w:pPr>
            <w:r>
              <w:rPr>
                <w:rFonts w:hint="eastAsia" w:eastAsiaTheme="minorEastAsia"/>
                <w:lang w:eastAsia="zh-CN"/>
              </w:rPr>
              <w:t>行政</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w:t>
      </w:r>
      <w:r>
        <w:rPr>
          <w:rFonts w:hint="eastAsia" w:eastAsiaTheme="minorEastAsia"/>
          <w:lang w:eastAsia="zh-CN"/>
        </w:rPr>
        <w:t>县</w:t>
      </w:r>
      <w:r>
        <w:t>单位预算的编制实行综合预算管理，即全部收入和支出都反映在预算中。隆尧县工商业联合会机关及所属事业单位的收支包含在单位预算中。</w:t>
      </w:r>
    </w:p>
    <w:p>
      <w:pPr>
        <w:pStyle w:val="18"/>
      </w:pPr>
      <w:r>
        <w:t>1.收入说明：反映本单位当年全部收入。2024年预算收入总计47.32万元，其中：一般公共预算47.32万元，政府性基金预算0万元，财政专户核拨0万元，其他来源收入（包括事业收入）0万元。</w:t>
      </w:r>
    </w:p>
    <w:p>
      <w:pPr>
        <w:pStyle w:val="18"/>
      </w:pPr>
      <w:r>
        <w:t>2.支出说明：收支预算总表支出栏、基本支出表、项目支出表按经济分类和支出功能分类科目编制，反映本年度单位预算中支出预算的总体情况。2024年支出预算总计47.32万元，其中：人员经费23.74万元，日常公用经费2.38万元，项目支出21.2万元。项目支出主要为：民营企业家培训费项目，14</w:t>
      </w:r>
      <w:r>
        <w:rPr>
          <w:rFonts w:hint="eastAsia"/>
          <w:lang w:val="en-US" w:eastAsia="zh-CN"/>
        </w:rPr>
        <w:t>.4</w:t>
      </w:r>
      <w:r>
        <w:t>万元；商（协）会建设经费项目，6万元。</w:t>
      </w:r>
    </w:p>
    <w:p>
      <w:pPr>
        <w:pStyle w:val="18"/>
      </w:pPr>
      <w:r>
        <w:t>3.比上年增减情况：2024年预算收支安排47.32万元，较2023年预算增加47.32万元，主要原因是：新增单位。</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2024年，我部门机关运行经费共计安排2.38万元，主要用于保证机关正常运转的办公支出。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0万元，其中：因公出国（境）费0万元；公务用车购置及运维费0万元（其中：公务用车购置费0万元，公务用车运行维护费0万元)；公务接待费0万元。与上年比无增减。</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按照县委、县政府的要求，县工商联充分发挥桥梁、纽带作用，坚持围绕中心，服务大局；牢牢把握两个健康主题，积极参政议政，建言献策，努力探索民营经济人士思想政治工作的新途径；进一步强化民营经济人士使命担当；做践行亲清的政商关系，守法诚信经营和回报社会的典范；坚持“政治建会，团结立会，服务兴会，改革强会”的理念，激发民营经济发展新活力。</w:t>
      </w:r>
    </w:p>
    <w:p>
      <w:pPr>
        <w:spacing w:line="500" w:lineRule="exact"/>
        <w:ind w:firstLine="560"/>
      </w:pPr>
      <w:r>
        <w:rPr>
          <w:rFonts w:eastAsia="方正仿宋_GBK"/>
          <w:color w:val="000000"/>
          <w:sz w:val="28"/>
        </w:rPr>
        <w:t>（二）分项绩效目标</w:t>
      </w:r>
    </w:p>
    <w:p>
      <w:pPr>
        <w:pStyle w:val="22"/>
      </w:pPr>
      <w:r>
        <w:t>1.负责对非公有制经济人士开展专业培训，帮助其提高理论水平、经营管理水平和业务能力，把非公经济人士的智慧和力量凝聚到高质量发展上来。</w:t>
      </w:r>
    </w:p>
    <w:p>
      <w:pPr>
        <w:pStyle w:val="22"/>
      </w:pPr>
      <w:r>
        <w:t>2.搭建服务平台、拓宽服务渠道、提升服务质量，加快组建成立新的商（协）会、规范提升现有商（协）会，充分发挥商（协）会内引外联优势，更好地服务企业转型升级，强力推进招商选资，助力我县民营经济高质量发展。</w:t>
      </w:r>
    </w:p>
    <w:p>
      <w:pPr>
        <w:pStyle w:val="22"/>
      </w:pPr>
    </w:p>
    <w:p>
      <w:pPr>
        <w:spacing w:line="500" w:lineRule="exact"/>
        <w:ind w:firstLine="560"/>
      </w:pPr>
      <w:r>
        <w:rPr>
          <w:rFonts w:eastAsia="方正仿宋_GBK"/>
          <w:color w:val="000000"/>
          <w:sz w:val="28"/>
        </w:rPr>
        <w:t>（三）工作保障措施</w:t>
      </w:r>
    </w:p>
    <w:p>
      <w:pPr>
        <w:pStyle w:val="23"/>
      </w:pPr>
      <w:r>
        <w:t>1.提高思想认识，加强组织领导。</w:t>
      </w:r>
    </w:p>
    <w:p>
      <w:pPr>
        <w:pStyle w:val="23"/>
      </w:pPr>
      <w:r>
        <w:t>2.认真贯彻落实，务求工作实效。</w:t>
      </w:r>
    </w:p>
    <w:p>
      <w:pPr>
        <w:pStyle w:val="23"/>
      </w:pPr>
      <w:r>
        <w:t>3.扩大队伍建设，通过网络、报纸等形式加大宣传力度，吸引更多的民营企业入会。</w:t>
      </w:r>
    </w:p>
    <w:p>
      <w:pPr>
        <w:pStyle w:val="23"/>
      </w:pPr>
      <w:r>
        <w:t>4.强化民营经济人士使命担当，表彰争当“十四五”时期我县经济建设的奋进者、开拓者</w:t>
      </w:r>
    </w:p>
    <w:p>
      <w:pPr>
        <w:pStyle w:val="23"/>
      </w:pPr>
      <w:r>
        <w:t>5.开拓视野，激发民营企业发展新动力，引导民营企业坚定发展信心，坚守实业报国，做转型升级的中坚力量。</w:t>
      </w:r>
    </w:p>
    <w:p>
      <w:pPr>
        <w:pStyle w:val="23"/>
      </w:pPr>
      <w:r>
        <w:t>完善制度建设。建立各项规章制度，为全年预算绩效目标的实现奠定制度基础。</w:t>
      </w:r>
    </w:p>
    <w:p>
      <w:pPr>
        <w:pStyle w:val="23"/>
      </w:pPr>
      <w:r>
        <w:t>加强支出管理。按规定及时下达资金，确保支出进度达标。</w:t>
      </w:r>
    </w:p>
    <w:p>
      <w:pPr>
        <w:pStyle w:val="23"/>
      </w:pPr>
      <w:r>
        <w:t>加强绩效运行监控。按要求开展绩效运行监控，发现问题及时采取措施，确保绩效目标如期保质实现。</w:t>
      </w:r>
    </w:p>
    <w:p>
      <w:pPr>
        <w:pStyle w:val="23"/>
      </w:pPr>
      <w:r>
        <w:t>做好绩效自评。按要求提高财政资金使用效益。</w:t>
      </w:r>
    </w:p>
    <w:p>
      <w:pPr>
        <w:pStyle w:val="23"/>
      </w:pPr>
      <w:r>
        <w:t>规范财务资产管理。做到支出合理，物尽其用。</w:t>
      </w:r>
    </w:p>
    <w:p>
      <w:pPr>
        <w:pStyle w:val="23"/>
      </w:pPr>
      <w:r>
        <w:t>加强内部监督。对本单位的工商联活动经费等重大决策和执行进行督导，对会计资料进行内部审计，并配合做好审计、财政监督等外部监督工作，确保财政资金安全有效。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加强宣传培训调研等。加强人员培训，提高本单位职工业务素质；加强调研，提出优化财政资金配置、提高资金使用效益的意见意见；加大宣传力度，强化预算绩效管理意识，促进预算绩效管理水平进一步提升。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本年度无专项资金。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1、工商联经费绩效目标表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13052524P00001010445Q</w:t>
            </w:r>
          </w:p>
        </w:tc>
        <w:tc>
          <w:tcPr>
            <w:tcW w:w="2835" w:type="dxa"/>
            <w:vAlign w:val="center"/>
          </w:tcPr>
          <w:p>
            <w:pPr>
              <w:pStyle w:val="10"/>
            </w:pPr>
            <w:r>
              <w:t>项目名称</w:t>
            </w:r>
          </w:p>
        </w:tc>
        <w:tc>
          <w:tcPr>
            <w:tcW w:w="6094" w:type="dxa"/>
            <w:gridSpan w:val="3"/>
            <w:vAlign w:val="center"/>
          </w:tcPr>
          <w:p>
            <w:pPr>
              <w:pStyle w:val="12"/>
            </w:pPr>
            <w:r>
              <w:t>工商联经费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2024年度工商联日常办公经费。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1.1、联系非公有制企业。2、加强对非公有制经济代表人士思想政治引领。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开展次数</w:t>
            </w:r>
          </w:p>
        </w:tc>
        <w:tc>
          <w:tcPr>
            <w:tcW w:w="5386" w:type="dxa"/>
            <w:vAlign w:val="center"/>
          </w:tcPr>
          <w:p>
            <w:pPr>
              <w:pStyle w:val="12"/>
            </w:pPr>
            <w:r>
              <w:t>本年度思想政治引领活动次数</w:t>
            </w:r>
          </w:p>
        </w:tc>
        <w:tc>
          <w:tcPr>
            <w:tcW w:w="2268" w:type="dxa"/>
            <w:vAlign w:val="center"/>
          </w:tcPr>
          <w:p>
            <w:pPr>
              <w:pStyle w:val="12"/>
            </w:pPr>
            <w:r>
              <w:t>≥10次</w:t>
            </w:r>
          </w:p>
        </w:tc>
        <w:tc>
          <w:tcPr>
            <w:tcW w:w="1276" w:type="dxa"/>
            <w:vAlign w:val="center"/>
          </w:tcPr>
          <w:p>
            <w:pPr>
              <w:pStyle w:val="12"/>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≥95百分比</w:t>
            </w:r>
          </w:p>
        </w:tc>
        <w:tc>
          <w:tcPr>
            <w:tcW w:w="1276" w:type="dxa"/>
            <w:vAlign w:val="center"/>
          </w:tcPr>
          <w:p>
            <w:pPr>
              <w:pStyle w:val="12"/>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工作进度率</w:t>
            </w:r>
          </w:p>
        </w:tc>
        <w:tc>
          <w:tcPr>
            <w:tcW w:w="5386" w:type="dxa"/>
            <w:vAlign w:val="center"/>
          </w:tcPr>
          <w:p>
            <w:pPr>
              <w:pStyle w:val="12"/>
            </w:pPr>
            <w:r>
              <w:t>工作进度率</w:t>
            </w:r>
          </w:p>
        </w:tc>
        <w:tc>
          <w:tcPr>
            <w:tcW w:w="2268" w:type="dxa"/>
            <w:vAlign w:val="center"/>
          </w:tcPr>
          <w:p>
            <w:pPr>
              <w:pStyle w:val="12"/>
            </w:pPr>
            <w:r>
              <w:t>≥95百分比</w:t>
            </w:r>
          </w:p>
        </w:tc>
        <w:tc>
          <w:tcPr>
            <w:tcW w:w="1276" w:type="dxa"/>
            <w:vAlign w:val="center"/>
          </w:tcPr>
          <w:p>
            <w:pPr>
              <w:pStyle w:val="12"/>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≥95百分比</w:t>
            </w:r>
          </w:p>
        </w:tc>
        <w:tc>
          <w:tcPr>
            <w:tcW w:w="1276" w:type="dxa"/>
            <w:vAlign w:val="center"/>
          </w:tcPr>
          <w:p>
            <w:pPr>
              <w:pStyle w:val="12"/>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tc>
        <w:tc>
          <w:tcPr>
            <w:tcW w:w="2268" w:type="dxa"/>
            <w:vAlign w:val="center"/>
          </w:tcPr>
          <w:p>
            <w:pPr>
              <w:pStyle w:val="12"/>
            </w:pPr>
            <w:r>
              <w:t>≥95百分比</w:t>
            </w:r>
          </w:p>
        </w:tc>
        <w:tc>
          <w:tcPr>
            <w:tcW w:w="1276" w:type="dxa"/>
            <w:vAlign w:val="center"/>
          </w:tcPr>
          <w:p>
            <w:pPr>
              <w:pStyle w:val="12"/>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综合事务保障率</w:t>
            </w:r>
          </w:p>
        </w:tc>
        <w:tc>
          <w:tcPr>
            <w:tcW w:w="5386" w:type="dxa"/>
            <w:vAlign w:val="center"/>
          </w:tcPr>
          <w:p>
            <w:pPr>
              <w:pStyle w:val="12"/>
            </w:pPr>
            <w:r>
              <w:t>综合事务保障率</w:t>
            </w:r>
          </w:p>
        </w:tc>
        <w:tc>
          <w:tcPr>
            <w:tcW w:w="2268" w:type="dxa"/>
            <w:vAlign w:val="center"/>
          </w:tcPr>
          <w:p>
            <w:pPr>
              <w:pStyle w:val="12"/>
            </w:pPr>
            <w:r>
              <w:t>≥95百分比</w:t>
            </w:r>
          </w:p>
        </w:tc>
        <w:tc>
          <w:tcPr>
            <w:tcW w:w="1276" w:type="dxa"/>
            <w:vAlign w:val="center"/>
          </w:tcPr>
          <w:p>
            <w:pPr>
              <w:pStyle w:val="12"/>
            </w:pPr>
            <w:r>
              <w:t>隆办字【2002】43号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2、民营企业家培训费绩效目标表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13052524P00001010446C</w:t>
            </w:r>
          </w:p>
        </w:tc>
        <w:tc>
          <w:tcPr>
            <w:tcW w:w="2835" w:type="dxa"/>
            <w:vAlign w:val="center"/>
          </w:tcPr>
          <w:p>
            <w:pPr>
              <w:pStyle w:val="10"/>
            </w:pPr>
            <w:r>
              <w:t>项目名称</w:t>
            </w:r>
          </w:p>
        </w:tc>
        <w:tc>
          <w:tcPr>
            <w:tcW w:w="6094" w:type="dxa"/>
            <w:gridSpan w:val="3"/>
            <w:vAlign w:val="center"/>
          </w:tcPr>
          <w:p>
            <w:pPr>
              <w:pStyle w:val="12"/>
            </w:pPr>
            <w:r>
              <w:t>民营企业家培训费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2024年度民营企业家培训。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1.促进非公有制企业健康发展、帮助企业提质升级。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民营企业培训率</w:t>
            </w:r>
          </w:p>
        </w:tc>
        <w:tc>
          <w:tcPr>
            <w:tcW w:w="5386" w:type="dxa"/>
            <w:vAlign w:val="center"/>
          </w:tcPr>
          <w:p>
            <w:pPr>
              <w:pStyle w:val="12"/>
            </w:pPr>
            <w:r>
              <w:t>民营企业培训率</w:t>
            </w:r>
          </w:p>
        </w:tc>
        <w:tc>
          <w:tcPr>
            <w:tcW w:w="2268" w:type="dxa"/>
            <w:vAlign w:val="center"/>
          </w:tcPr>
          <w:p>
            <w:pPr>
              <w:pStyle w:val="12"/>
            </w:pPr>
            <w:r>
              <w:t>≥95百分比</w:t>
            </w:r>
          </w:p>
        </w:tc>
        <w:tc>
          <w:tcPr>
            <w:tcW w:w="1276" w:type="dxa"/>
            <w:vAlign w:val="center"/>
          </w:tcPr>
          <w:p>
            <w:pPr>
              <w:pStyle w:val="12"/>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培训质量标准</w:t>
            </w:r>
          </w:p>
        </w:tc>
        <w:tc>
          <w:tcPr>
            <w:tcW w:w="5386" w:type="dxa"/>
            <w:vAlign w:val="center"/>
          </w:tcPr>
          <w:p>
            <w:pPr>
              <w:pStyle w:val="12"/>
            </w:pPr>
            <w:r>
              <w:t>培训质量标准</w:t>
            </w:r>
          </w:p>
        </w:tc>
        <w:tc>
          <w:tcPr>
            <w:tcW w:w="2268" w:type="dxa"/>
            <w:vAlign w:val="center"/>
          </w:tcPr>
          <w:p>
            <w:pPr>
              <w:pStyle w:val="12"/>
            </w:pPr>
            <w:r>
              <w:t>≥95百分比</w:t>
            </w:r>
          </w:p>
        </w:tc>
        <w:tc>
          <w:tcPr>
            <w:tcW w:w="1276" w:type="dxa"/>
            <w:vAlign w:val="center"/>
          </w:tcPr>
          <w:p>
            <w:pPr>
              <w:pStyle w:val="12"/>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培训进度率</w:t>
            </w:r>
          </w:p>
        </w:tc>
        <w:tc>
          <w:tcPr>
            <w:tcW w:w="5386" w:type="dxa"/>
            <w:vAlign w:val="center"/>
          </w:tcPr>
          <w:p>
            <w:pPr>
              <w:pStyle w:val="12"/>
            </w:pPr>
            <w:r>
              <w:t>培训进度率</w:t>
            </w:r>
          </w:p>
        </w:tc>
        <w:tc>
          <w:tcPr>
            <w:tcW w:w="2268" w:type="dxa"/>
            <w:vAlign w:val="center"/>
          </w:tcPr>
          <w:p>
            <w:pPr>
              <w:pStyle w:val="12"/>
            </w:pPr>
            <w:r>
              <w:t>≥95百分比</w:t>
            </w:r>
          </w:p>
        </w:tc>
        <w:tc>
          <w:tcPr>
            <w:tcW w:w="1276" w:type="dxa"/>
            <w:vAlign w:val="center"/>
          </w:tcPr>
          <w:p>
            <w:pPr>
              <w:pStyle w:val="12"/>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≥95百分比</w:t>
            </w:r>
          </w:p>
        </w:tc>
        <w:tc>
          <w:tcPr>
            <w:tcW w:w="1276" w:type="dxa"/>
            <w:vAlign w:val="center"/>
          </w:tcPr>
          <w:p>
            <w:pPr>
              <w:pStyle w:val="12"/>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预定目标占比率</w:t>
            </w:r>
          </w:p>
        </w:tc>
        <w:tc>
          <w:tcPr>
            <w:tcW w:w="5386" w:type="dxa"/>
            <w:vAlign w:val="center"/>
          </w:tcPr>
          <w:p>
            <w:pPr>
              <w:pStyle w:val="12"/>
            </w:pPr>
            <w:r>
              <w:t>预定目标占比率</w:t>
            </w:r>
          </w:p>
        </w:tc>
        <w:tc>
          <w:tcPr>
            <w:tcW w:w="2268" w:type="dxa"/>
            <w:vAlign w:val="center"/>
          </w:tcPr>
          <w:p>
            <w:pPr>
              <w:pStyle w:val="12"/>
            </w:pPr>
            <w:r>
              <w:t>≥95百分比</w:t>
            </w:r>
          </w:p>
        </w:tc>
        <w:tc>
          <w:tcPr>
            <w:tcW w:w="1276" w:type="dxa"/>
            <w:vAlign w:val="center"/>
          </w:tcPr>
          <w:p>
            <w:pPr>
              <w:pStyle w:val="12"/>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受训人员满意率</w:t>
            </w:r>
          </w:p>
        </w:tc>
        <w:tc>
          <w:tcPr>
            <w:tcW w:w="5386" w:type="dxa"/>
            <w:vAlign w:val="center"/>
          </w:tcPr>
          <w:p>
            <w:pPr>
              <w:pStyle w:val="12"/>
            </w:pPr>
            <w:r>
              <w:t>受训人员满意率</w:t>
            </w:r>
          </w:p>
        </w:tc>
        <w:tc>
          <w:tcPr>
            <w:tcW w:w="2268" w:type="dxa"/>
            <w:vAlign w:val="center"/>
          </w:tcPr>
          <w:p>
            <w:pPr>
              <w:pStyle w:val="12"/>
            </w:pPr>
            <w:r>
              <w:t>≥95百分比</w:t>
            </w:r>
          </w:p>
        </w:tc>
        <w:tc>
          <w:tcPr>
            <w:tcW w:w="1276" w:type="dxa"/>
            <w:vAlign w:val="center"/>
          </w:tcPr>
          <w:p>
            <w:pPr>
              <w:pStyle w:val="12"/>
            </w:pPr>
            <w:r>
              <w:t>邢发〔2011〕12号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3、商（协）会建设经费绩效目标表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13052524P00001010448K</w:t>
            </w:r>
          </w:p>
        </w:tc>
        <w:tc>
          <w:tcPr>
            <w:tcW w:w="2835" w:type="dxa"/>
            <w:vAlign w:val="center"/>
          </w:tcPr>
          <w:p>
            <w:pPr>
              <w:pStyle w:val="10"/>
            </w:pPr>
            <w:r>
              <w:t>项目名称</w:t>
            </w:r>
          </w:p>
        </w:tc>
        <w:tc>
          <w:tcPr>
            <w:tcW w:w="6094" w:type="dxa"/>
            <w:gridSpan w:val="3"/>
            <w:vAlign w:val="center"/>
          </w:tcPr>
          <w:p>
            <w:pPr>
              <w:pStyle w:val="12"/>
            </w:pPr>
            <w:r>
              <w:t>商（协）会建设经费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2024年度商（协）会建设。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1.规范提升现有商（协）会，充分发挥商（协）会内引外联优势。</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商协会数量</w:t>
            </w:r>
          </w:p>
        </w:tc>
        <w:tc>
          <w:tcPr>
            <w:tcW w:w="5386" w:type="dxa"/>
            <w:vAlign w:val="center"/>
          </w:tcPr>
          <w:p>
            <w:pPr>
              <w:pStyle w:val="12"/>
            </w:pPr>
            <w:r>
              <w:t>建成商协会数量</w:t>
            </w:r>
          </w:p>
        </w:tc>
        <w:tc>
          <w:tcPr>
            <w:tcW w:w="2268" w:type="dxa"/>
            <w:vAlign w:val="center"/>
          </w:tcPr>
          <w:p>
            <w:pPr>
              <w:pStyle w:val="12"/>
            </w:pPr>
            <w:r>
              <w:t>≥8家</w:t>
            </w:r>
          </w:p>
        </w:tc>
        <w:tc>
          <w:tcPr>
            <w:tcW w:w="1276" w:type="dxa"/>
            <w:vAlign w:val="center"/>
          </w:tcPr>
          <w:p>
            <w:pPr>
              <w:pStyle w:val="12"/>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商协会质量率</w:t>
            </w:r>
          </w:p>
        </w:tc>
        <w:tc>
          <w:tcPr>
            <w:tcW w:w="5386" w:type="dxa"/>
            <w:vAlign w:val="center"/>
          </w:tcPr>
          <w:p>
            <w:pPr>
              <w:pStyle w:val="12"/>
            </w:pPr>
            <w:r>
              <w:t>商协会建设标准占总体率</w:t>
            </w:r>
          </w:p>
        </w:tc>
        <w:tc>
          <w:tcPr>
            <w:tcW w:w="2268" w:type="dxa"/>
            <w:vAlign w:val="center"/>
          </w:tcPr>
          <w:p>
            <w:pPr>
              <w:pStyle w:val="12"/>
            </w:pPr>
            <w:r>
              <w:t>≥95百分比</w:t>
            </w:r>
          </w:p>
        </w:tc>
        <w:tc>
          <w:tcPr>
            <w:tcW w:w="1276" w:type="dxa"/>
            <w:vAlign w:val="center"/>
          </w:tcPr>
          <w:p>
            <w:pPr>
              <w:pStyle w:val="12"/>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商协会完成时间</w:t>
            </w:r>
          </w:p>
        </w:tc>
        <w:tc>
          <w:tcPr>
            <w:tcW w:w="5386" w:type="dxa"/>
            <w:vAlign w:val="center"/>
          </w:tcPr>
          <w:p>
            <w:pPr>
              <w:pStyle w:val="12"/>
            </w:pPr>
            <w:r>
              <w:t>工作进度率</w:t>
            </w:r>
          </w:p>
        </w:tc>
        <w:tc>
          <w:tcPr>
            <w:tcW w:w="2268" w:type="dxa"/>
            <w:vAlign w:val="center"/>
          </w:tcPr>
          <w:p>
            <w:pPr>
              <w:pStyle w:val="12"/>
            </w:pPr>
            <w:r>
              <w:t>≥95百分比</w:t>
            </w:r>
          </w:p>
        </w:tc>
        <w:tc>
          <w:tcPr>
            <w:tcW w:w="1276" w:type="dxa"/>
            <w:vAlign w:val="center"/>
          </w:tcPr>
          <w:p>
            <w:pPr>
              <w:pStyle w:val="12"/>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≥95百分比</w:t>
            </w:r>
          </w:p>
        </w:tc>
        <w:tc>
          <w:tcPr>
            <w:tcW w:w="1276" w:type="dxa"/>
            <w:vAlign w:val="center"/>
          </w:tcPr>
          <w:p>
            <w:pPr>
              <w:pStyle w:val="12"/>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商协会发挥作用在民营企业中可持续影响率</w:t>
            </w:r>
          </w:p>
        </w:tc>
        <w:tc>
          <w:tcPr>
            <w:tcW w:w="5386" w:type="dxa"/>
            <w:vAlign w:val="center"/>
          </w:tcPr>
          <w:p>
            <w:pPr>
              <w:pStyle w:val="12"/>
            </w:pPr>
            <w:r>
              <w:t>商协会发挥作用在民营企业中可持续影响率</w:t>
            </w:r>
          </w:p>
        </w:tc>
        <w:tc>
          <w:tcPr>
            <w:tcW w:w="2268" w:type="dxa"/>
            <w:vAlign w:val="center"/>
          </w:tcPr>
          <w:p>
            <w:pPr>
              <w:pStyle w:val="12"/>
            </w:pPr>
            <w:r>
              <w:t>≥95百分比</w:t>
            </w:r>
          </w:p>
        </w:tc>
        <w:tc>
          <w:tcPr>
            <w:tcW w:w="1276" w:type="dxa"/>
            <w:vAlign w:val="center"/>
          </w:tcPr>
          <w:p>
            <w:pPr>
              <w:pStyle w:val="12"/>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商协会成员满意度</w:t>
            </w:r>
          </w:p>
        </w:tc>
        <w:tc>
          <w:tcPr>
            <w:tcW w:w="5386" w:type="dxa"/>
            <w:vAlign w:val="center"/>
          </w:tcPr>
          <w:p>
            <w:pPr>
              <w:pStyle w:val="12"/>
            </w:pPr>
            <w:r>
              <w:t>商协会成员满意度</w:t>
            </w:r>
          </w:p>
        </w:tc>
        <w:tc>
          <w:tcPr>
            <w:tcW w:w="2268" w:type="dxa"/>
            <w:vAlign w:val="center"/>
          </w:tcPr>
          <w:p>
            <w:pPr>
              <w:pStyle w:val="12"/>
            </w:pPr>
            <w:r>
              <w:t>≥95百分比</w:t>
            </w:r>
          </w:p>
        </w:tc>
        <w:tc>
          <w:tcPr>
            <w:tcW w:w="1276" w:type="dxa"/>
            <w:vAlign w:val="center"/>
          </w:tcPr>
          <w:p>
            <w:pPr>
              <w:pStyle w:val="12"/>
            </w:pPr>
            <w:r>
              <w:t>邢统字〔2022〕9号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215隆尧县工商业联合会</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0.05</w:t>
            </w:r>
          </w:p>
        </w:tc>
        <w:tc>
          <w:tcPr>
            <w:tcW w:w="964" w:type="dxa"/>
            <w:vAlign w:val="center"/>
          </w:tcPr>
          <w:p>
            <w:pPr>
              <w:pStyle w:val="15"/>
            </w:pPr>
            <w:r>
              <w:t>0.05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隆尧县工商业联合会本级小计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0.05</w:t>
            </w:r>
          </w:p>
        </w:tc>
        <w:tc>
          <w:tcPr>
            <w:tcW w:w="964" w:type="dxa"/>
            <w:vAlign w:val="center"/>
          </w:tcPr>
          <w:p>
            <w:pPr>
              <w:pStyle w:val="15"/>
            </w:pPr>
            <w:r>
              <w:t>0.05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1.00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0.05</w:t>
            </w:r>
          </w:p>
        </w:tc>
        <w:tc>
          <w:tcPr>
            <w:tcW w:w="964" w:type="dxa"/>
            <w:vAlign w:val="center"/>
          </w:tcPr>
          <w:p>
            <w:pPr>
              <w:pStyle w:val="11"/>
            </w:pPr>
            <w:r>
              <w:t>0.05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隆尧县工商业联合会（含所属单位）上年末固定资产金额为0.00万元（详见下表）。本年度拟购置固定资产总额为0.0</w:t>
      </w:r>
      <w:r>
        <w:rPr>
          <w:rFonts w:hint="eastAsia" w:eastAsiaTheme="minorEastAsia"/>
          <w:color w:val="000000"/>
          <w:sz w:val="28"/>
          <w:lang w:eastAsia="zh-CN"/>
        </w:rPr>
        <w:t>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215隆尧县工商业联合会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U4ZTAzMTU1MjczZmEyMjg4NmVkYTFiYzdiNjYwYjAifQ=="/>
  </w:docVars>
  <w:rsids>
    <w:rsidRoot w:val="00AB0575"/>
    <w:rsid w:val="00502E34"/>
    <w:rsid w:val="00536B61"/>
    <w:rsid w:val="00AB0575"/>
    <w:rsid w:val="2D0721B9"/>
    <w:rsid w:val="36C541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autoRedefine/>
    <w:qFormat/>
    <w:uiPriority w:val="0"/>
    <w:pPr>
      <w:spacing w:before="120"/>
      <w:ind w:firstLine="560"/>
    </w:pPr>
    <w:rPr>
      <w:rFonts w:eastAsia="方正仿宋_GBK"/>
      <w:color w:val="000000"/>
      <w:sz w:val="28"/>
    </w:rPr>
  </w:style>
  <w:style w:type="character" w:customStyle="1" w:styleId="28">
    <w:name w:val="页眉 Char"/>
    <w:basedOn w:val="6"/>
    <w:link w:val="3"/>
    <w:autoRedefine/>
    <w:semiHidden/>
    <w:qFormat/>
    <w:uiPriority w:val="99"/>
    <w:rPr>
      <w:rFonts w:eastAsia="Times New Roman"/>
      <w:sz w:val="18"/>
      <w:szCs w:val="18"/>
      <w:lang w:eastAsia="uk-UA"/>
    </w:rPr>
  </w:style>
  <w:style w:type="character" w:customStyle="1" w:styleId="29">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2024-02-05T15:05:41Z</dcterms:created>
  <dcterms:modified xsi:type="dcterms:W3CDTF">2024-02-05T07:05:41Z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2024-02-05T15:05:40Z</dcterms:created>
  <dcterms:modified xsi:type="dcterms:W3CDTF">2024-02-05T07:05:40Z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2024-02-05T15:05:41Z</dcterms:created>
  <dcterms:modified xsi:type="dcterms:W3CDTF">2024-02-05T07:05:40Z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2024-02-05T15:05:39Z</dcterms:created>
  <dcterms:modified xsi:type="dcterms:W3CDTF">2024-02-05T07:05:39Z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2024-02-05T15:05:41Z</dcterms:created>
  <dcterms:modified xsi:type="dcterms:W3CDTF">2024-02-05T07:05:41Z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2024-02-05T15:05:42Z</dcterms:created>
  <dcterms:modified xsi:type="dcterms:W3CDTF">2024-02-05T07:05:42Z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2024-02-05T15:05:40Z</dcterms:created>
  <dcterms:modified xsi:type="dcterms:W3CDTF">2024-02-05T07:05:40Z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28746F6-65DA-4ADA-A9B8-D9468D1109C6}">
  <ds:schemaRefs/>
</ds:datastoreItem>
</file>

<file path=customXml/itemProps10.xml><?xml version="1.0" encoding="utf-8"?>
<ds:datastoreItem xmlns:ds="http://schemas.openxmlformats.org/officeDocument/2006/customXml" ds:itemID="{21E8102D-1086-4220-A7DC-CD49BAF42F8F}">
  <ds:schemaRefs/>
</ds:datastoreItem>
</file>

<file path=customXml/itemProps11.xml><?xml version="1.0" encoding="utf-8"?>
<ds:datastoreItem xmlns:ds="http://schemas.openxmlformats.org/officeDocument/2006/customXml" ds:itemID="{088362A9-D600-443D-BA29-3359418C2460}">
  <ds:schemaRefs/>
</ds:datastoreItem>
</file>

<file path=customXml/itemProps12.xml><?xml version="1.0" encoding="utf-8"?>
<ds:datastoreItem xmlns:ds="http://schemas.openxmlformats.org/officeDocument/2006/customXml" ds:itemID="{08111071-1AAA-4FBC-B2A6-13F6056256F3}">
  <ds:schemaRefs/>
</ds:datastoreItem>
</file>

<file path=customXml/itemProps13.xml><?xml version="1.0" encoding="utf-8"?>
<ds:datastoreItem xmlns:ds="http://schemas.openxmlformats.org/officeDocument/2006/customXml" ds:itemID="{975967B9-F53D-49F8-AC8A-346D090D0C41}">
  <ds:schemaRefs/>
</ds:datastoreItem>
</file>

<file path=customXml/itemProps14.xml><?xml version="1.0" encoding="utf-8"?>
<ds:datastoreItem xmlns:ds="http://schemas.openxmlformats.org/officeDocument/2006/customXml" ds:itemID="{8DBF958F-6CB1-4710-848D-CC1773FB3876}">
  <ds:schemaRefs/>
</ds:datastoreItem>
</file>

<file path=customXml/itemProps2.xml><?xml version="1.0" encoding="utf-8"?>
<ds:datastoreItem xmlns:ds="http://schemas.openxmlformats.org/officeDocument/2006/customXml" ds:itemID="{AF328103-9200-492E-882E-44F2B43BC167}">
  <ds:schemaRefs/>
</ds:datastoreItem>
</file>

<file path=customXml/itemProps3.xml><?xml version="1.0" encoding="utf-8"?>
<ds:datastoreItem xmlns:ds="http://schemas.openxmlformats.org/officeDocument/2006/customXml" ds:itemID="{3E2CE3B1-F908-4C84-B000-99AD48018114}">
  <ds:schemaRefs/>
</ds:datastoreItem>
</file>

<file path=customXml/itemProps4.xml><?xml version="1.0" encoding="utf-8"?>
<ds:datastoreItem xmlns:ds="http://schemas.openxmlformats.org/officeDocument/2006/customXml" ds:itemID="{4B76E683-DFF9-4731-B77E-2FE0E957F5DE}">
  <ds:schemaRefs/>
</ds:datastoreItem>
</file>

<file path=customXml/itemProps5.xml><?xml version="1.0" encoding="utf-8"?>
<ds:datastoreItem xmlns:ds="http://schemas.openxmlformats.org/officeDocument/2006/customXml" ds:itemID="{5D1F0098-20AD-44F5-9358-9D9A446BF80F}">
  <ds:schemaRefs/>
</ds:datastoreItem>
</file>

<file path=customXml/itemProps6.xml><?xml version="1.0" encoding="utf-8"?>
<ds:datastoreItem xmlns:ds="http://schemas.openxmlformats.org/officeDocument/2006/customXml" ds:itemID="{45246A7E-DF46-4FB6-8AEB-B5AE0DDB0990}">
  <ds:schemaRefs/>
</ds:datastoreItem>
</file>

<file path=customXml/itemProps7.xml><?xml version="1.0" encoding="utf-8"?>
<ds:datastoreItem xmlns:ds="http://schemas.openxmlformats.org/officeDocument/2006/customXml" ds:itemID="{4F929F26-6D20-42B8-86EE-5376280B8B09}">
  <ds:schemaRefs/>
</ds:datastoreItem>
</file>

<file path=customXml/itemProps8.xml><?xml version="1.0" encoding="utf-8"?>
<ds:datastoreItem xmlns:ds="http://schemas.openxmlformats.org/officeDocument/2006/customXml" ds:itemID="{47503B00-BBD3-4252-9F6E-23D2B695FDEB}">
  <ds:schemaRefs/>
</ds:datastoreItem>
</file>

<file path=customXml/itemProps9.xml><?xml version="1.0" encoding="utf-8"?>
<ds:datastoreItem xmlns:ds="http://schemas.openxmlformats.org/officeDocument/2006/customXml" ds:itemID="{FBB4AF55-2FE7-4AEC-8FBA-A9F11BC3A6E7}">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1700</Words>
  <Characters>9691</Characters>
  <Lines>80</Lines>
  <Paragraphs>22</Paragraphs>
  <TotalTime>1</TotalTime>
  <ScaleCrop>false</ScaleCrop>
  <LinksUpToDate>false</LinksUpToDate>
  <CharactersWithSpaces>11369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2024-02-05T07:08:00Z</dcterms:created>
  <dc:creator>Administrator</dc:creator>
  <cp:lastModifiedBy>Administrator</cp:lastModifiedBy>
  <dcterms:modified xsi:type="dcterms:W3CDTF">2024-02-08T03:10:40Z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10B5630E1C964B20BCECC514E5E5DD5A_12</vt:lpwstr>
  </property>
</Properties>
</file>