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0" w:name="_GoBack"/>
      <w:bookmarkEnd w:id="20"/>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312隆尧县公安局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6807.25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5958.09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6807.25</w:t>
            </w:r>
          </w:p>
        </w:tc>
        <w:tc>
          <w:tcPr>
            <w:tcW w:w="4535" w:type="dxa"/>
            <w:vAlign w:val="center"/>
          </w:tcPr>
          <w:p>
            <w:pPr>
              <w:pStyle w:val="14"/>
            </w:pPr>
            <w:r>
              <w:t>本年支出合计</w:t>
            </w:r>
          </w:p>
        </w:tc>
        <w:tc>
          <w:tcPr>
            <w:tcW w:w="2126" w:type="dxa"/>
            <w:vAlign w:val="center"/>
          </w:tcPr>
          <w:p>
            <w:pPr>
              <w:pStyle w:val="15"/>
            </w:pPr>
            <w:r>
              <w:t>6832.83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25.58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6832.83</w:t>
            </w:r>
          </w:p>
        </w:tc>
        <w:tc>
          <w:tcPr>
            <w:tcW w:w="4535" w:type="dxa"/>
            <w:vAlign w:val="center"/>
          </w:tcPr>
          <w:p>
            <w:pPr>
              <w:pStyle w:val="14"/>
            </w:pPr>
            <w:r>
              <w:t>支出总计</w:t>
            </w:r>
          </w:p>
        </w:tc>
        <w:tc>
          <w:tcPr>
            <w:tcW w:w="2126" w:type="dxa"/>
            <w:vAlign w:val="center"/>
          </w:tcPr>
          <w:p>
            <w:pPr>
              <w:pStyle w:val="15"/>
            </w:pPr>
            <w:r>
              <w:t>6832.83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312隆尧县公安局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6832.83</w:t>
            </w:r>
          </w:p>
        </w:tc>
        <w:tc>
          <w:tcPr>
            <w:tcW w:w="1134" w:type="dxa"/>
            <w:vAlign w:val="center"/>
          </w:tcPr>
          <w:p>
            <w:pPr>
              <w:pStyle w:val="15"/>
            </w:pPr>
            <w:r>
              <w:t>6807.25</w:t>
            </w:r>
          </w:p>
        </w:tc>
        <w:tc>
          <w:tcPr>
            <w:tcW w:w="1134" w:type="dxa"/>
            <w:vAlign w:val="center"/>
          </w:tcPr>
          <w:p>
            <w:pPr>
              <w:pStyle w:val="15"/>
            </w:pPr>
            <w:r>
              <w:t>6807.25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5958.09</w:t>
            </w:r>
          </w:p>
        </w:tc>
        <w:tc>
          <w:tcPr>
            <w:tcW w:w="1134" w:type="dxa"/>
            <w:vAlign w:val="center"/>
          </w:tcPr>
          <w:p>
            <w:pPr>
              <w:pStyle w:val="11"/>
            </w:pPr>
            <w:r>
              <w:t>5932.51</w:t>
            </w:r>
          </w:p>
        </w:tc>
        <w:tc>
          <w:tcPr>
            <w:tcW w:w="1134" w:type="dxa"/>
            <w:vAlign w:val="center"/>
          </w:tcPr>
          <w:p>
            <w:pPr>
              <w:pStyle w:val="11"/>
            </w:pPr>
            <w:r>
              <w:t>5932.51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20401</w:t>
            </w:r>
          </w:p>
        </w:tc>
        <w:tc>
          <w:tcPr>
            <w:tcW w:w="1559" w:type="dxa"/>
            <w:vAlign w:val="center"/>
          </w:tcPr>
          <w:p>
            <w:pPr>
              <w:pStyle w:val="12"/>
            </w:pPr>
            <w:r>
              <w:t>武装警察部队</w:t>
            </w:r>
          </w:p>
        </w:tc>
        <w:tc>
          <w:tcPr>
            <w:tcW w:w="1134" w:type="dxa"/>
            <w:vAlign w:val="center"/>
          </w:tcPr>
          <w:p>
            <w:pPr>
              <w:pStyle w:val="11"/>
            </w:pPr>
            <w:r>
              <w:t>12.75</w:t>
            </w:r>
          </w:p>
        </w:tc>
        <w:tc>
          <w:tcPr>
            <w:tcW w:w="1134" w:type="dxa"/>
            <w:vAlign w:val="center"/>
          </w:tcPr>
          <w:p>
            <w:pPr>
              <w:pStyle w:val="11"/>
            </w:pPr>
            <w:r>
              <w:t>12.75</w:t>
            </w:r>
          </w:p>
        </w:tc>
        <w:tc>
          <w:tcPr>
            <w:tcW w:w="1134" w:type="dxa"/>
            <w:vAlign w:val="center"/>
          </w:tcPr>
          <w:p>
            <w:pPr>
              <w:pStyle w:val="11"/>
            </w:pPr>
            <w:r>
              <w:t>12.75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2040101</w:t>
            </w:r>
          </w:p>
        </w:tc>
        <w:tc>
          <w:tcPr>
            <w:tcW w:w="1559" w:type="dxa"/>
            <w:vAlign w:val="center"/>
          </w:tcPr>
          <w:p>
            <w:pPr>
              <w:pStyle w:val="12"/>
            </w:pPr>
            <w:r>
              <w:t>武装警察部队</w:t>
            </w:r>
          </w:p>
        </w:tc>
        <w:tc>
          <w:tcPr>
            <w:tcW w:w="1134" w:type="dxa"/>
            <w:vAlign w:val="center"/>
          </w:tcPr>
          <w:p>
            <w:pPr>
              <w:pStyle w:val="11"/>
            </w:pPr>
            <w:r>
              <w:t>12.75</w:t>
            </w:r>
          </w:p>
        </w:tc>
        <w:tc>
          <w:tcPr>
            <w:tcW w:w="1134" w:type="dxa"/>
            <w:vAlign w:val="center"/>
          </w:tcPr>
          <w:p>
            <w:pPr>
              <w:pStyle w:val="11"/>
            </w:pPr>
            <w:r>
              <w:t>12.75</w:t>
            </w:r>
          </w:p>
        </w:tc>
        <w:tc>
          <w:tcPr>
            <w:tcW w:w="1134" w:type="dxa"/>
            <w:vAlign w:val="center"/>
          </w:tcPr>
          <w:p>
            <w:pPr>
              <w:pStyle w:val="11"/>
            </w:pPr>
            <w:r>
              <w:t>12.75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5941.34</w:t>
            </w:r>
          </w:p>
        </w:tc>
        <w:tc>
          <w:tcPr>
            <w:tcW w:w="1134" w:type="dxa"/>
            <w:vAlign w:val="center"/>
          </w:tcPr>
          <w:p>
            <w:pPr>
              <w:pStyle w:val="11"/>
            </w:pPr>
            <w:r>
              <w:t>5919.76</w:t>
            </w:r>
          </w:p>
        </w:tc>
        <w:tc>
          <w:tcPr>
            <w:tcW w:w="1134" w:type="dxa"/>
            <w:vAlign w:val="center"/>
          </w:tcPr>
          <w:p>
            <w:pPr>
              <w:pStyle w:val="11"/>
            </w:pPr>
            <w:r>
              <w:t>5919.76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3082.45</w:t>
            </w:r>
          </w:p>
        </w:tc>
        <w:tc>
          <w:tcPr>
            <w:tcW w:w="1134" w:type="dxa"/>
            <w:vAlign w:val="center"/>
          </w:tcPr>
          <w:p>
            <w:pPr>
              <w:pStyle w:val="11"/>
            </w:pPr>
            <w:r>
              <w:t>3082.45</w:t>
            </w:r>
          </w:p>
        </w:tc>
        <w:tc>
          <w:tcPr>
            <w:tcW w:w="1134" w:type="dxa"/>
            <w:vAlign w:val="center"/>
          </w:tcPr>
          <w:p>
            <w:pPr>
              <w:pStyle w:val="11"/>
            </w:pPr>
            <w:r>
              <w:t>3082.45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2040202</w:t>
            </w:r>
          </w:p>
        </w:tc>
        <w:tc>
          <w:tcPr>
            <w:tcW w:w="1559" w:type="dxa"/>
            <w:vAlign w:val="center"/>
          </w:tcPr>
          <w:p>
            <w:pPr>
              <w:pStyle w:val="12"/>
            </w:pPr>
            <w:r>
              <w:t>一般行政管理事务</w:t>
            </w:r>
          </w:p>
        </w:tc>
        <w:tc>
          <w:tcPr>
            <w:tcW w:w="1134" w:type="dxa"/>
            <w:vAlign w:val="center"/>
          </w:tcPr>
          <w:p>
            <w:pPr>
              <w:pStyle w:val="11"/>
            </w:pPr>
            <w:r>
              <w:t>2532.02</w:t>
            </w:r>
          </w:p>
        </w:tc>
        <w:tc>
          <w:tcPr>
            <w:tcW w:w="1134" w:type="dxa"/>
            <w:vAlign w:val="center"/>
          </w:tcPr>
          <w:p>
            <w:pPr>
              <w:pStyle w:val="11"/>
            </w:pPr>
            <w:r>
              <w:t>2510.44</w:t>
            </w:r>
          </w:p>
        </w:tc>
        <w:tc>
          <w:tcPr>
            <w:tcW w:w="1134" w:type="dxa"/>
            <w:vAlign w:val="center"/>
          </w:tcPr>
          <w:p>
            <w:pPr>
              <w:pStyle w:val="11"/>
            </w:pPr>
            <w:r>
              <w:t>2510.44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2040219</w:t>
            </w:r>
          </w:p>
        </w:tc>
        <w:tc>
          <w:tcPr>
            <w:tcW w:w="1559" w:type="dxa"/>
            <w:vAlign w:val="center"/>
          </w:tcPr>
          <w:p>
            <w:pPr>
              <w:pStyle w:val="12"/>
            </w:pPr>
            <w:r>
              <w:t>信息化建设</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20499</w:t>
            </w:r>
          </w:p>
        </w:tc>
        <w:tc>
          <w:tcPr>
            <w:tcW w:w="1559" w:type="dxa"/>
            <w:vAlign w:val="center"/>
          </w:tcPr>
          <w:p>
            <w:pPr>
              <w:pStyle w:val="12"/>
            </w:pPr>
            <w:r>
              <w:t>其他公共安全支出</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2049902</w:t>
            </w:r>
          </w:p>
        </w:tc>
        <w:tc>
          <w:tcPr>
            <w:tcW w:w="1559" w:type="dxa"/>
            <w:vAlign w:val="center"/>
          </w:tcPr>
          <w:p>
            <w:pPr>
              <w:pStyle w:val="12"/>
            </w:pPr>
            <w:r>
              <w:t>国家司法救助支出</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283.03</w:t>
            </w:r>
          </w:p>
        </w:tc>
        <w:tc>
          <w:tcPr>
            <w:tcW w:w="1134" w:type="dxa"/>
            <w:vAlign w:val="center"/>
          </w:tcPr>
          <w:p>
            <w:pPr>
              <w:pStyle w:val="11"/>
            </w:pPr>
            <w:r>
              <w:t>283.03</w:t>
            </w:r>
          </w:p>
        </w:tc>
        <w:tc>
          <w:tcPr>
            <w:tcW w:w="1134" w:type="dxa"/>
            <w:vAlign w:val="center"/>
          </w:tcPr>
          <w:p>
            <w:pPr>
              <w:pStyle w:val="11"/>
            </w:pPr>
            <w:r>
              <w:t>283.03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283.03</w:t>
            </w:r>
          </w:p>
        </w:tc>
        <w:tc>
          <w:tcPr>
            <w:tcW w:w="1134" w:type="dxa"/>
            <w:vAlign w:val="center"/>
          </w:tcPr>
          <w:p>
            <w:pPr>
              <w:pStyle w:val="11"/>
            </w:pPr>
            <w:r>
              <w:t>283.03</w:t>
            </w:r>
          </w:p>
        </w:tc>
        <w:tc>
          <w:tcPr>
            <w:tcW w:w="1134" w:type="dxa"/>
            <w:vAlign w:val="center"/>
          </w:tcPr>
          <w:p>
            <w:pPr>
              <w:pStyle w:val="11"/>
            </w:pPr>
            <w:r>
              <w:t>283.03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7.94</w:t>
            </w:r>
          </w:p>
        </w:tc>
        <w:tc>
          <w:tcPr>
            <w:tcW w:w="1134" w:type="dxa"/>
            <w:vAlign w:val="center"/>
          </w:tcPr>
          <w:p>
            <w:pPr>
              <w:pStyle w:val="11"/>
            </w:pPr>
            <w:r>
              <w:t>7.94</w:t>
            </w:r>
          </w:p>
        </w:tc>
        <w:tc>
          <w:tcPr>
            <w:tcW w:w="1134" w:type="dxa"/>
            <w:vAlign w:val="center"/>
          </w:tcPr>
          <w:p>
            <w:pPr>
              <w:pStyle w:val="11"/>
            </w:pPr>
            <w:r>
              <w:t>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275.10</w:t>
            </w:r>
          </w:p>
        </w:tc>
        <w:tc>
          <w:tcPr>
            <w:tcW w:w="1134" w:type="dxa"/>
            <w:vAlign w:val="center"/>
          </w:tcPr>
          <w:p>
            <w:pPr>
              <w:pStyle w:val="11"/>
            </w:pPr>
            <w:r>
              <w:t>275.10</w:t>
            </w:r>
          </w:p>
        </w:tc>
        <w:tc>
          <w:tcPr>
            <w:tcW w:w="1134" w:type="dxa"/>
            <w:vAlign w:val="center"/>
          </w:tcPr>
          <w:p>
            <w:pPr>
              <w:pStyle w:val="11"/>
            </w:pPr>
            <w:r>
              <w:t>275.10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21299</w:t>
            </w:r>
          </w:p>
        </w:tc>
        <w:tc>
          <w:tcPr>
            <w:tcW w:w="1559" w:type="dxa"/>
            <w:vAlign w:val="center"/>
          </w:tcPr>
          <w:p>
            <w:pPr>
              <w:pStyle w:val="12"/>
            </w:pPr>
            <w:r>
              <w:t>其他城乡社区支出</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2129999</w:t>
            </w:r>
          </w:p>
        </w:tc>
        <w:tc>
          <w:tcPr>
            <w:tcW w:w="1559" w:type="dxa"/>
            <w:vAlign w:val="center"/>
          </w:tcPr>
          <w:p>
            <w:pPr>
              <w:pStyle w:val="12"/>
            </w:pPr>
            <w:r>
              <w:t>其他城乡社区支出</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312隆尧县公安局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6832.83</w:t>
            </w:r>
          </w:p>
        </w:tc>
        <w:tc>
          <w:tcPr>
            <w:tcW w:w="1361" w:type="dxa"/>
            <w:vAlign w:val="center"/>
          </w:tcPr>
          <w:p>
            <w:pPr>
              <w:pStyle w:val="15"/>
            </w:pPr>
            <w:r>
              <w:t>3631.69</w:t>
            </w:r>
          </w:p>
        </w:tc>
        <w:tc>
          <w:tcPr>
            <w:tcW w:w="1361" w:type="dxa"/>
            <w:vAlign w:val="center"/>
          </w:tcPr>
          <w:p>
            <w:pPr>
              <w:pStyle w:val="15"/>
            </w:pPr>
            <w:r>
              <w:t>3201.15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5958.09</w:t>
            </w:r>
          </w:p>
        </w:tc>
        <w:tc>
          <w:tcPr>
            <w:tcW w:w="1361" w:type="dxa"/>
            <w:vAlign w:val="center"/>
          </w:tcPr>
          <w:p>
            <w:pPr>
              <w:pStyle w:val="11"/>
            </w:pPr>
            <w:r>
              <w:t>2996.05</w:t>
            </w:r>
          </w:p>
        </w:tc>
        <w:tc>
          <w:tcPr>
            <w:tcW w:w="1361" w:type="dxa"/>
            <w:vAlign w:val="center"/>
          </w:tcPr>
          <w:p>
            <w:pPr>
              <w:pStyle w:val="11"/>
            </w:pPr>
            <w:r>
              <w:t>2962.04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20401</w:t>
            </w:r>
          </w:p>
        </w:tc>
        <w:tc>
          <w:tcPr>
            <w:tcW w:w="4535" w:type="dxa"/>
            <w:vAlign w:val="center"/>
          </w:tcPr>
          <w:p>
            <w:pPr>
              <w:pStyle w:val="12"/>
            </w:pPr>
            <w:r>
              <w:t>武装警察部队</w:t>
            </w:r>
          </w:p>
        </w:tc>
        <w:tc>
          <w:tcPr>
            <w:tcW w:w="1361" w:type="dxa"/>
            <w:vAlign w:val="center"/>
          </w:tcPr>
          <w:p>
            <w:pPr>
              <w:pStyle w:val="11"/>
            </w:pPr>
            <w:r>
              <w:t>12.75</w:t>
            </w:r>
          </w:p>
        </w:tc>
        <w:tc>
          <w:tcPr>
            <w:tcW w:w="1361" w:type="dxa"/>
            <w:vAlign w:val="center"/>
          </w:tcPr>
          <w:p>
            <w:pPr>
              <w:pStyle w:val="11"/>
            </w:pPr>
          </w:p>
        </w:tc>
        <w:tc>
          <w:tcPr>
            <w:tcW w:w="1361" w:type="dxa"/>
            <w:vAlign w:val="center"/>
          </w:tcPr>
          <w:p>
            <w:pPr>
              <w:pStyle w:val="11"/>
            </w:pPr>
            <w:r>
              <w:t>12.75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2040101</w:t>
            </w:r>
          </w:p>
        </w:tc>
        <w:tc>
          <w:tcPr>
            <w:tcW w:w="4535" w:type="dxa"/>
            <w:vAlign w:val="center"/>
          </w:tcPr>
          <w:p>
            <w:pPr>
              <w:pStyle w:val="12"/>
            </w:pPr>
            <w:r>
              <w:t>武装警察部队</w:t>
            </w:r>
          </w:p>
        </w:tc>
        <w:tc>
          <w:tcPr>
            <w:tcW w:w="1361" w:type="dxa"/>
            <w:vAlign w:val="center"/>
          </w:tcPr>
          <w:p>
            <w:pPr>
              <w:pStyle w:val="11"/>
            </w:pPr>
            <w:r>
              <w:t>12.75</w:t>
            </w:r>
          </w:p>
        </w:tc>
        <w:tc>
          <w:tcPr>
            <w:tcW w:w="1361" w:type="dxa"/>
            <w:vAlign w:val="center"/>
          </w:tcPr>
          <w:p>
            <w:pPr>
              <w:pStyle w:val="11"/>
            </w:pPr>
          </w:p>
        </w:tc>
        <w:tc>
          <w:tcPr>
            <w:tcW w:w="1361" w:type="dxa"/>
            <w:vAlign w:val="center"/>
          </w:tcPr>
          <w:p>
            <w:pPr>
              <w:pStyle w:val="11"/>
            </w:pPr>
            <w:r>
              <w:t>12.75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5941.34</w:t>
            </w:r>
          </w:p>
        </w:tc>
        <w:tc>
          <w:tcPr>
            <w:tcW w:w="1361" w:type="dxa"/>
            <w:vAlign w:val="center"/>
          </w:tcPr>
          <w:p>
            <w:pPr>
              <w:pStyle w:val="11"/>
            </w:pPr>
            <w:r>
              <w:t>2996.05</w:t>
            </w:r>
          </w:p>
        </w:tc>
        <w:tc>
          <w:tcPr>
            <w:tcW w:w="1361" w:type="dxa"/>
            <w:vAlign w:val="center"/>
          </w:tcPr>
          <w:p>
            <w:pPr>
              <w:pStyle w:val="11"/>
            </w:pPr>
            <w:r>
              <w:t>2945.29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3082.45</w:t>
            </w:r>
          </w:p>
        </w:tc>
        <w:tc>
          <w:tcPr>
            <w:tcW w:w="1361" w:type="dxa"/>
            <w:vAlign w:val="center"/>
          </w:tcPr>
          <w:p>
            <w:pPr>
              <w:pStyle w:val="11"/>
            </w:pPr>
            <w:r>
              <w:t>2996.05</w:t>
            </w:r>
          </w:p>
        </w:tc>
        <w:tc>
          <w:tcPr>
            <w:tcW w:w="1361" w:type="dxa"/>
            <w:vAlign w:val="center"/>
          </w:tcPr>
          <w:p>
            <w:pPr>
              <w:pStyle w:val="11"/>
            </w:pPr>
            <w:r>
              <w:t>86.40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2040202</w:t>
            </w:r>
          </w:p>
        </w:tc>
        <w:tc>
          <w:tcPr>
            <w:tcW w:w="4535" w:type="dxa"/>
            <w:vAlign w:val="center"/>
          </w:tcPr>
          <w:p>
            <w:pPr>
              <w:pStyle w:val="12"/>
            </w:pPr>
            <w:r>
              <w:t>一般行政管理事务</w:t>
            </w:r>
          </w:p>
        </w:tc>
        <w:tc>
          <w:tcPr>
            <w:tcW w:w="1361" w:type="dxa"/>
            <w:vAlign w:val="center"/>
          </w:tcPr>
          <w:p>
            <w:pPr>
              <w:pStyle w:val="11"/>
            </w:pPr>
            <w:r>
              <w:t>2532.02</w:t>
            </w:r>
          </w:p>
        </w:tc>
        <w:tc>
          <w:tcPr>
            <w:tcW w:w="1361" w:type="dxa"/>
            <w:vAlign w:val="center"/>
          </w:tcPr>
          <w:p>
            <w:pPr>
              <w:pStyle w:val="11"/>
            </w:pPr>
          </w:p>
        </w:tc>
        <w:tc>
          <w:tcPr>
            <w:tcW w:w="1361" w:type="dxa"/>
            <w:vAlign w:val="center"/>
          </w:tcPr>
          <w:p>
            <w:pPr>
              <w:pStyle w:val="11"/>
            </w:pPr>
            <w:r>
              <w:t>2532.02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2040219</w:t>
            </w:r>
          </w:p>
        </w:tc>
        <w:tc>
          <w:tcPr>
            <w:tcW w:w="4535" w:type="dxa"/>
            <w:vAlign w:val="center"/>
          </w:tcPr>
          <w:p>
            <w:pPr>
              <w:pStyle w:val="12"/>
            </w:pPr>
            <w:r>
              <w:t>信息化建设</w:t>
            </w: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pPr>
            <w:r>
              <w:t>17.87</w:t>
            </w:r>
          </w:p>
        </w:tc>
        <w:tc>
          <w:tcPr>
            <w:tcW w:w="1361" w:type="dxa"/>
            <w:vAlign w:val="center"/>
          </w:tcPr>
          <w:p>
            <w:pPr>
              <w:pStyle w:val="11"/>
            </w:pPr>
          </w:p>
        </w:tc>
        <w:tc>
          <w:tcPr>
            <w:tcW w:w="1361" w:type="dxa"/>
            <w:vAlign w:val="center"/>
          </w:tcPr>
          <w:p>
            <w:pPr>
              <w:pStyle w:val="11"/>
            </w:pPr>
            <w:r>
              <w:t>17.87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20499</w:t>
            </w:r>
          </w:p>
        </w:tc>
        <w:tc>
          <w:tcPr>
            <w:tcW w:w="4535" w:type="dxa"/>
            <w:vAlign w:val="center"/>
          </w:tcPr>
          <w:p>
            <w:pPr>
              <w:pStyle w:val="12"/>
            </w:pPr>
            <w:r>
              <w:t>其他公共安全支出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2049902</w:t>
            </w:r>
          </w:p>
        </w:tc>
        <w:tc>
          <w:tcPr>
            <w:tcW w:w="4535" w:type="dxa"/>
            <w:vAlign w:val="center"/>
          </w:tcPr>
          <w:p>
            <w:pPr>
              <w:pStyle w:val="12"/>
            </w:pPr>
            <w:r>
              <w:t>国家司法救助支出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283.03</w:t>
            </w:r>
          </w:p>
        </w:tc>
        <w:tc>
          <w:tcPr>
            <w:tcW w:w="1361" w:type="dxa"/>
            <w:vAlign w:val="center"/>
          </w:tcPr>
          <w:p>
            <w:pPr>
              <w:pStyle w:val="11"/>
            </w:pPr>
            <w:r>
              <w:t>283.03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283.03</w:t>
            </w:r>
          </w:p>
        </w:tc>
        <w:tc>
          <w:tcPr>
            <w:tcW w:w="1361" w:type="dxa"/>
            <w:vAlign w:val="center"/>
          </w:tcPr>
          <w:p>
            <w:pPr>
              <w:pStyle w:val="11"/>
            </w:pPr>
            <w:r>
              <w:t>283.03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7.94</w:t>
            </w:r>
          </w:p>
        </w:tc>
        <w:tc>
          <w:tcPr>
            <w:tcW w:w="1361" w:type="dxa"/>
            <w:vAlign w:val="center"/>
          </w:tcPr>
          <w:p>
            <w:pPr>
              <w:pStyle w:val="11"/>
            </w:pPr>
            <w:r>
              <w:t>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275.10</w:t>
            </w:r>
          </w:p>
        </w:tc>
        <w:tc>
          <w:tcPr>
            <w:tcW w:w="1361" w:type="dxa"/>
            <w:vAlign w:val="center"/>
          </w:tcPr>
          <w:p>
            <w:pPr>
              <w:pStyle w:val="11"/>
            </w:pPr>
            <w:r>
              <w:t>275.10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140.02</w:t>
            </w:r>
          </w:p>
        </w:tc>
        <w:tc>
          <w:tcPr>
            <w:tcW w:w="1361" w:type="dxa"/>
            <w:vAlign w:val="center"/>
          </w:tcPr>
          <w:p>
            <w:pPr>
              <w:pStyle w:val="11"/>
            </w:pPr>
            <w:r>
              <w:t>140.02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140.02</w:t>
            </w:r>
          </w:p>
        </w:tc>
        <w:tc>
          <w:tcPr>
            <w:tcW w:w="1361" w:type="dxa"/>
            <w:vAlign w:val="center"/>
          </w:tcPr>
          <w:p>
            <w:pPr>
              <w:pStyle w:val="11"/>
            </w:pPr>
            <w:r>
              <w:t>140.02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140.02</w:t>
            </w:r>
          </w:p>
        </w:tc>
        <w:tc>
          <w:tcPr>
            <w:tcW w:w="1361" w:type="dxa"/>
            <w:vAlign w:val="center"/>
          </w:tcPr>
          <w:p>
            <w:pPr>
              <w:pStyle w:val="11"/>
            </w:pPr>
            <w:r>
              <w:t>140.02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21299</w:t>
            </w:r>
          </w:p>
        </w:tc>
        <w:tc>
          <w:tcPr>
            <w:tcW w:w="4535" w:type="dxa"/>
            <w:vAlign w:val="center"/>
          </w:tcPr>
          <w:p>
            <w:pPr>
              <w:pStyle w:val="12"/>
            </w:pPr>
            <w:r>
              <w:t>其他城乡社区支出</w:t>
            </w: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2129999</w:t>
            </w:r>
          </w:p>
        </w:tc>
        <w:tc>
          <w:tcPr>
            <w:tcW w:w="4535" w:type="dxa"/>
            <w:vAlign w:val="center"/>
          </w:tcPr>
          <w:p>
            <w:pPr>
              <w:pStyle w:val="12"/>
            </w:pPr>
            <w:r>
              <w:t>其他城乡社区支出</w:t>
            </w: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212.58</w:t>
            </w:r>
          </w:p>
        </w:tc>
        <w:tc>
          <w:tcPr>
            <w:tcW w:w="1361" w:type="dxa"/>
            <w:vAlign w:val="center"/>
          </w:tcPr>
          <w:p>
            <w:pPr>
              <w:pStyle w:val="11"/>
            </w:pPr>
            <w:r>
              <w:t>212.58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212.58</w:t>
            </w:r>
          </w:p>
        </w:tc>
        <w:tc>
          <w:tcPr>
            <w:tcW w:w="1361" w:type="dxa"/>
            <w:vAlign w:val="center"/>
          </w:tcPr>
          <w:p>
            <w:pPr>
              <w:pStyle w:val="11"/>
            </w:pPr>
            <w:r>
              <w:t>212.58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212.58</w:t>
            </w:r>
          </w:p>
        </w:tc>
        <w:tc>
          <w:tcPr>
            <w:tcW w:w="1361" w:type="dxa"/>
            <w:vAlign w:val="center"/>
          </w:tcPr>
          <w:p>
            <w:pPr>
              <w:pStyle w:val="11"/>
            </w:pPr>
            <w:r>
              <w:t>212.58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312隆尧县公安局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6807.25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5958.09</w:t>
            </w:r>
          </w:p>
        </w:tc>
        <w:tc>
          <w:tcPr>
            <w:tcW w:w="1474" w:type="dxa"/>
            <w:vAlign w:val="center"/>
          </w:tcPr>
          <w:p>
            <w:pPr>
              <w:pStyle w:val="11"/>
            </w:pPr>
            <w:r>
              <w:t>5958.09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283.03</w:t>
            </w:r>
          </w:p>
        </w:tc>
        <w:tc>
          <w:tcPr>
            <w:tcW w:w="1474" w:type="dxa"/>
            <w:vAlign w:val="center"/>
          </w:tcPr>
          <w:p>
            <w:pPr>
              <w:pStyle w:val="11"/>
            </w:pPr>
            <w:r>
              <w:t>283.03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140.02</w:t>
            </w:r>
          </w:p>
        </w:tc>
        <w:tc>
          <w:tcPr>
            <w:tcW w:w="1474" w:type="dxa"/>
            <w:vAlign w:val="center"/>
          </w:tcPr>
          <w:p>
            <w:pPr>
              <w:pStyle w:val="11"/>
            </w:pPr>
            <w:r>
              <w:t>140.02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239.11</w:t>
            </w:r>
          </w:p>
        </w:tc>
        <w:tc>
          <w:tcPr>
            <w:tcW w:w="1474" w:type="dxa"/>
            <w:vAlign w:val="center"/>
          </w:tcPr>
          <w:p>
            <w:pPr>
              <w:pStyle w:val="11"/>
            </w:pPr>
            <w:r>
              <w:t>239.11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212.58</w:t>
            </w:r>
          </w:p>
        </w:tc>
        <w:tc>
          <w:tcPr>
            <w:tcW w:w="1474" w:type="dxa"/>
            <w:vAlign w:val="center"/>
          </w:tcPr>
          <w:p>
            <w:pPr>
              <w:pStyle w:val="11"/>
            </w:pPr>
            <w:r>
              <w:t>212.58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6807.25</w:t>
            </w:r>
          </w:p>
        </w:tc>
        <w:tc>
          <w:tcPr>
            <w:tcW w:w="3402" w:type="dxa"/>
            <w:vAlign w:val="center"/>
          </w:tcPr>
          <w:p>
            <w:pPr>
              <w:pStyle w:val="14"/>
            </w:pPr>
            <w:r>
              <w:t>本年支出合计</w:t>
            </w:r>
          </w:p>
        </w:tc>
        <w:tc>
          <w:tcPr>
            <w:tcW w:w="1474" w:type="dxa"/>
            <w:vAlign w:val="center"/>
          </w:tcPr>
          <w:p>
            <w:pPr>
              <w:pStyle w:val="15"/>
            </w:pPr>
            <w:r>
              <w:t>6832.83</w:t>
            </w:r>
          </w:p>
        </w:tc>
        <w:tc>
          <w:tcPr>
            <w:tcW w:w="1474" w:type="dxa"/>
            <w:vAlign w:val="center"/>
          </w:tcPr>
          <w:p>
            <w:pPr>
              <w:pStyle w:val="15"/>
            </w:pPr>
            <w:r>
              <w:t>6832.83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25.58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25.58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6832.83</w:t>
            </w:r>
          </w:p>
        </w:tc>
        <w:tc>
          <w:tcPr>
            <w:tcW w:w="3402" w:type="dxa"/>
            <w:vAlign w:val="center"/>
          </w:tcPr>
          <w:p>
            <w:pPr>
              <w:pStyle w:val="14"/>
            </w:pPr>
            <w:r>
              <w:t>支出总计</w:t>
            </w:r>
          </w:p>
        </w:tc>
        <w:tc>
          <w:tcPr>
            <w:tcW w:w="1474" w:type="dxa"/>
            <w:vAlign w:val="center"/>
          </w:tcPr>
          <w:p>
            <w:pPr>
              <w:pStyle w:val="15"/>
            </w:pPr>
            <w:r>
              <w:t>6832.83</w:t>
            </w:r>
          </w:p>
        </w:tc>
        <w:tc>
          <w:tcPr>
            <w:tcW w:w="1474" w:type="dxa"/>
            <w:vAlign w:val="center"/>
          </w:tcPr>
          <w:p>
            <w:pPr>
              <w:pStyle w:val="15"/>
            </w:pPr>
            <w:r>
              <w:t>6832.83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312隆尧县公安局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6832.83</w:t>
            </w:r>
          </w:p>
        </w:tc>
        <w:tc>
          <w:tcPr>
            <w:tcW w:w="2551" w:type="dxa"/>
            <w:vAlign w:val="center"/>
          </w:tcPr>
          <w:p>
            <w:pPr>
              <w:pStyle w:val="15"/>
            </w:pPr>
            <w:r>
              <w:t>3631.69</w:t>
            </w:r>
          </w:p>
        </w:tc>
        <w:tc>
          <w:tcPr>
            <w:tcW w:w="2551" w:type="dxa"/>
            <w:vAlign w:val="center"/>
          </w:tcPr>
          <w:p>
            <w:pPr>
              <w:pStyle w:val="15"/>
            </w:pPr>
            <w:r>
              <w:t>3201.15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5958.09</w:t>
            </w:r>
          </w:p>
        </w:tc>
        <w:tc>
          <w:tcPr>
            <w:tcW w:w="2551" w:type="dxa"/>
            <w:vAlign w:val="center"/>
          </w:tcPr>
          <w:p>
            <w:pPr>
              <w:pStyle w:val="11"/>
            </w:pPr>
            <w:r>
              <w:t>2996.05</w:t>
            </w:r>
          </w:p>
        </w:tc>
        <w:tc>
          <w:tcPr>
            <w:tcW w:w="2551" w:type="dxa"/>
            <w:vAlign w:val="center"/>
          </w:tcPr>
          <w:p>
            <w:pPr>
              <w:pStyle w:val="11"/>
            </w:pPr>
            <w:r>
              <w:t>2962.04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20401</w:t>
            </w:r>
          </w:p>
        </w:tc>
        <w:tc>
          <w:tcPr>
            <w:tcW w:w="4535" w:type="dxa"/>
            <w:vAlign w:val="center"/>
          </w:tcPr>
          <w:p>
            <w:pPr>
              <w:pStyle w:val="12"/>
            </w:pPr>
            <w:r>
              <w:t>武装警察部队</w:t>
            </w:r>
          </w:p>
        </w:tc>
        <w:tc>
          <w:tcPr>
            <w:tcW w:w="2551" w:type="dxa"/>
            <w:vAlign w:val="center"/>
          </w:tcPr>
          <w:p>
            <w:pPr>
              <w:pStyle w:val="11"/>
            </w:pPr>
            <w:r>
              <w:t>12.75</w:t>
            </w:r>
          </w:p>
        </w:tc>
        <w:tc>
          <w:tcPr>
            <w:tcW w:w="2551" w:type="dxa"/>
            <w:vAlign w:val="center"/>
          </w:tcPr>
          <w:p>
            <w:pPr>
              <w:pStyle w:val="11"/>
            </w:pPr>
          </w:p>
        </w:tc>
        <w:tc>
          <w:tcPr>
            <w:tcW w:w="2551" w:type="dxa"/>
            <w:vAlign w:val="center"/>
          </w:tcPr>
          <w:p>
            <w:pPr>
              <w:pStyle w:val="11"/>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2040101</w:t>
            </w:r>
          </w:p>
        </w:tc>
        <w:tc>
          <w:tcPr>
            <w:tcW w:w="4535" w:type="dxa"/>
            <w:vAlign w:val="center"/>
          </w:tcPr>
          <w:p>
            <w:pPr>
              <w:pStyle w:val="12"/>
            </w:pPr>
            <w:r>
              <w:t>武装警察部队</w:t>
            </w:r>
          </w:p>
        </w:tc>
        <w:tc>
          <w:tcPr>
            <w:tcW w:w="2551" w:type="dxa"/>
            <w:vAlign w:val="center"/>
          </w:tcPr>
          <w:p>
            <w:pPr>
              <w:pStyle w:val="11"/>
            </w:pPr>
            <w:r>
              <w:t>12.75</w:t>
            </w:r>
          </w:p>
        </w:tc>
        <w:tc>
          <w:tcPr>
            <w:tcW w:w="2551" w:type="dxa"/>
            <w:vAlign w:val="center"/>
          </w:tcPr>
          <w:p>
            <w:pPr>
              <w:pStyle w:val="11"/>
            </w:pPr>
          </w:p>
        </w:tc>
        <w:tc>
          <w:tcPr>
            <w:tcW w:w="2551" w:type="dxa"/>
            <w:vAlign w:val="center"/>
          </w:tcPr>
          <w:p>
            <w:pPr>
              <w:pStyle w:val="11"/>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5941.34</w:t>
            </w:r>
          </w:p>
        </w:tc>
        <w:tc>
          <w:tcPr>
            <w:tcW w:w="2551" w:type="dxa"/>
            <w:vAlign w:val="center"/>
          </w:tcPr>
          <w:p>
            <w:pPr>
              <w:pStyle w:val="11"/>
            </w:pPr>
            <w:r>
              <w:t>2996.05</w:t>
            </w:r>
          </w:p>
        </w:tc>
        <w:tc>
          <w:tcPr>
            <w:tcW w:w="2551" w:type="dxa"/>
            <w:vAlign w:val="center"/>
          </w:tcPr>
          <w:p>
            <w:pPr>
              <w:pStyle w:val="11"/>
            </w:pPr>
            <w:r>
              <w:t>2945.29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3082.45</w:t>
            </w:r>
          </w:p>
        </w:tc>
        <w:tc>
          <w:tcPr>
            <w:tcW w:w="2551" w:type="dxa"/>
            <w:vAlign w:val="center"/>
          </w:tcPr>
          <w:p>
            <w:pPr>
              <w:pStyle w:val="11"/>
            </w:pPr>
            <w:r>
              <w:t>2996.05</w:t>
            </w:r>
          </w:p>
        </w:tc>
        <w:tc>
          <w:tcPr>
            <w:tcW w:w="2551" w:type="dxa"/>
            <w:vAlign w:val="center"/>
          </w:tcPr>
          <w:p>
            <w:pPr>
              <w:pStyle w:val="11"/>
            </w:pPr>
            <w:r>
              <w:t>86.40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2040202</w:t>
            </w:r>
          </w:p>
        </w:tc>
        <w:tc>
          <w:tcPr>
            <w:tcW w:w="4535" w:type="dxa"/>
            <w:vAlign w:val="center"/>
          </w:tcPr>
          <w:p>
            <w:pPr>
              <w:pStyle w:val="12"/>
            </w:pPr>
            <w:r>
              <w:t>一般行政管理事务</w:t>
            </w:r>
          </w:p>
        </w:tc>
        <w:tc>
          <w:tcPr>
            <w:tcW w:w="2551" w:type="dxa"/>
            <w:vAlign w:val="center"/>
          </w:tcPr>
          <w:p>
            <w:pPr>
              <w:pStyle w:val="11"/>
            </w:pPr>
            <w:r>
              <w:t>2532.02</w:t>
            </w:r>
          </w:p>
        </w:tc>
        <w:tc>
          <w:tcPr>
            <w:tcW w:w="2551" w:type="dxa"/>
            <w:vAlign w:val="center"/>
          </w:tcPr>
          <w:p>
            <w:pPr>
              <w:pStyle w:val="11"/>
            </w:pPr>
          </w:p>
        </w:tc>
        <w:tc>
          <w:tcPr>
            <w:tcW w:w="2551" w:type="dxa"/>
            <w:vAlign w:val="center"/>
          </w:tcPr>
          <w:p>
            <w:pPr>
              <w:pStyle w:val="11"/>
            </w:pPr>
            <w:r>
              <w:t>2532.02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2040219</w:t>
            </w:r>
          </w:p>
        </w:tc>
        <w:tc>
          <w:tcPr>
            <w:tcW w:w="4535" w:type="dxa"/>
            <w:vAlign w:val="center"/>
          </w:tcPr>
          <w:p>
            <w:pPr>
              <w:pStyle w:val="12"/>
            </w:pPr>
            <w:r>
              <w:t>信息化建设</w:t>
            </w:r>
          </w:p>
        </w:tc>
        <w:tc>
          <w:tcPr>
            <w:tcW w:w="2551" w:type="dxa"/>
            <w:vAlign w:val="center"/>
          </w:tcPr>
          <w:p>
            <w:pPr>
              <w:pStyle w:val="11"/>
            </w:pPr>
            <w:r>
              <w:t>309.00</w:t>
            </w:r>
          </w:p>
        </w:tc>
        <w:tc>
          <w:tcPr>
            <w:tcW w:w="2551" w:type="dxa"/>
            <w:vAlign w:val="center"/>
          </w:tcPr>
          <w:p>
            <w:pPr>
              <w:pStyle w:val="11"/>
            </w:pPr>
          </w:p>
        </w:tc>
        <w:tc>
          <w:tcPr>
            <w:tcW w:w="2551" w:type="dxa"/>
            <w:vAlign w:val="center"/>
          </w:tcPr>
          <w:p>
            <w:pPr>
              <w:pStyle w:val="11"/>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17.87</w:t>
            </w:r>
          </w:p>
        </w:tc>
        <w:tc>
          <w:tcPr>
            <w:tcW w:w="2551" w:type="dxa"/>
            <w:vAlign w:val="center"/>
          </w:tcPr>
          <w:p>
            <w:pPr>
              <w:pStyle w:val="11"/>
            </w:pPr>
          </w:p>
        </w:tc>
        <w:tc>
          <w:tcPr>
            <w:tcW w:w="2551" w:type="dxa"/>
            <w:vAlign w:val="center"/>
          </w:tcPr>
          <w:p>
            <w:pPr>
              <w:pStyle w:val="11"/>
            </w:pPr>
            <w:r>
              <w:t>17.87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20499</w:t>
            </w:r>
          </w:p>
        </w:tc>
        <w:tc>
          <w:tcPr>
            <w:tcW w:w="4535" w:type="dxa"/>
            <w:vAlign w:val="center"/>
          </w:tcPr>
          <w:p>
            <w:pPr>
              <w:pStyle w:val="12"/>
            </w:pPr>
            <w:r>
              <w:t>其他公共安全支出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2049902</w:t>
            </w:r>
          </w:p>
        </w:tc>
        <w:tc>
          <w:tcPr>
            <w:tcW w:w="4535" w:type="dxa"/>
            <w:vAlign w:val="center"/>
          </w:tcPr>
          <w:p>
            <w:pPr>
              <w:pStyle w:val="12"/>
            </w:pPr>
            <w:r>
              <w:t>国家司法救助支出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283.03</w:t>
            </w:r>
          </w:p>
        </w:tc>
        <w:tc>
          <w:tcPr>
            <w:tcW w:w="2551" w:type="dxa"/>
            <w:vAlign w:val="center"/>
          </w:tcPr>
          <w:p>
            <w:pPr>
              <w:pStyle w:val="11"/>
            </w:pPr>
            <w:r>
              <w:t>283.03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283.03</w:t>
            </w:r>
          </w:p>
        </w:tc>
        <w:tc>
          <w:tcPr>
            <w:tcW w:w="2551" w:type="dxa"/>
            <w:vAlign w:val="center"/>
          </w:tcPr>
          <w:p>
            <w:pPr>
              <w:pStyle w:val="11"/>
            </w:pPr>
            <w:r>
              <w:t>283.03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7.94</w:t>
            </w:r>
          </w:p>
        </w:tc>
        <w:tc>
          <w:tcPr>
            <w:tcW w:w="2551" w:type="dxa"/>
            <w:vAlign w:val="center"/>
          </w:tcPr>
          <w:p>
            <w:pPr>
              <w:pStyle w:val="11"/>
            </w:pPr>
            <w:r>
              <w:t>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275.10</w:t>
            </w:r>
          </w:p>
        </w:tc>
        <w:tc>
          <w:tcPr>
            <w:tcW w:w="2551" w:type="dxa"/>
            <w:vAlign w:val="center"/>
          </w:tcPr>
          <w:p>
            <w:pPr>
              <w:pStyle w:val="11"/>
            </w:pPr>
            <w:r>
              <w:t>275.10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140.02</w:t>
            </w:r>
          </w:p>
        </w:tc>
        <w:tc>
          <w:tcPr>
            <w:tcW w:w="2551" w:type="dxa"/>
            <w:vAlign w:val="center"/>
          </w:tcPr>
          <w:p>
            <w:pPr>
              <w:pStyle w:val="11"/>
            </w:pPr>
            <w:r>
              <w:t>140.02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140.02</w:t>
            </w:r>
          </w:p>
        </w:tc>
        <w:tc>
          <w:tcPr>
            <w:tcW w:w="2551" w:type="dxa"/>
            <w:vAlign w:val="center"/>
          </w:tcPr>
          <w:p>
            <w:pPr>
              <w:pStyle w:val="11"/>
            </w:pPr>
            <w:r>
              <w:t>140.02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140.02</w:t>
            </w:r>
          </w:p>
        </w:tc>
        <w:tc>
          <w:tcPr>
            <w:tcW w:w="2551" w:type="dxa"/>
            <w:vAlign w:val="center"/>
          </w:tcPr>
          <w:p>
            <w:pPr>
              <w:pStyle w:val="11"/>
            </w:pPr>
            <w:r>
              <w:t>140.02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239.11</w:t>
            </w:r>
          </w:p>
        </w:tc>
        <w:tc>
          <w:tcPr>
            <w:tcW w:w="2551" w:type="dxa"/>
            <w:vAlign w:val="center"/>
          </w:tcPr>
          <w:p>
            <w:pPr>
              <w:pStyle w:val="11"/>
            </w:pPr>
          </w:p>
        </w:tc>
        <w:tc>
          <w:tcPr>
            <w:tcW w:w="2551" w:type="dxa"/>
            <w:vAlign w:val="center"/>
          </w:tcPr>
          <w:p>
            <w:pPr>
              <w:pStyle w:val="11"/>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21299</w:t>
            </w:r>
          </w:p>
        </w:tc>
        <w:tc>
          <w:tcPr>
            <w:tcW w:w="4535" w:type="dxa"/>
            <w:vAlign w:val="center"/>
          </w:tcPr>
          <w:p>
            <w:pPr>
              <w:pStyle w:val="12"/>
            </w:pPr>
            <w:r>
              <w:t>其他城乡社区支出</w:t>
            </w:r>
          </w:p>
        </w:tc>
        <w:tc>
          <w:tcPr>
            <w:tcW w:w="2551" w:type="dxa"/>
            <w:vAlign w:val="center"/>
          </w:tcPr>
          <w:p>
            <w:pPr>
              <w:pStyle w:val="11"/>
            </w:pPr>
            <w:r>
              <w:t>239.11</w:t>
            </w:r>
          </w:p>
        </w:tc>
        <w:tc>
          <w:tcPr>
            <w:tcW w:w="2551" w:type="dxa"/>
            <w:vAlign w:val="center"/>
          </w:tcPr>
          <w:p>
            <w:pPr>
              <w:pStyle w:val="11"/>
            </w:pPr>
          </w:p>
        </w:tc>
        <w:tc>
          <w:tcPr>
            <w:tcW w:w="2551" w:type="dxa"/>
            <w:vAlign w:val="center"/>
          </w:tcPr>
          <w:p>
            <w:pPr>
              <w:pStyle w:val="11"/>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2129999</w:t>
            </w:r>
          </w:p>
        </w:tc>
        <w:tc>
          <w:tcPr>
            <w:tcW w:w="4535" w:type="dxa"/>
            <w:vAlign w:val="center"/>
          </w:tcPr>
          <w:p>
            <w:pPr>
              <w:pStyle w:val="12"/>
            </w:pPr>
            <w:r>
              <w:t>其他城乡社区支出</w:t>
            </w:r>
          </w:p>
        </w:tc>
        <w:tc>
          <w:tcPr>
            <w:tcW w:w="2551" w:type="dxa"/>
            <w:vAlign w:val="center"/>
          </w:tcPr>
          <w:p>
            <w:pPr>
              <w:pStyle w:val="11"/>
            </w:pPr>
            <w:r>
              <w:t>239.11</w:t>
            </w:r>
          </w:p>
        </w:tc>
        <w:tc>
          <w:tcPr>
            <w:tcW w:w="2551" w:type="dxa"/>
            <w:vAlign w:val="center"/>
          </w:tcPr>
          <w:p>
            <w:pPr>
              <w:pStyle w:val="11"/>
            </w:pPr>
          </w:p>
        </w:tc>
        <w:tc>
          <w:tcPr>
            <w:tcW w:w="2551" w:type="dxa"/>
            <w:vAlign w:val="center"/>
          </w:tcPr>
          <w:p>
            <w:pPr>
              <w:pStyle w:val="11"/>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212.58</w:t>
            </w:r>
          </w:p>
        </w:tc>
        <w:tc>
          <w:tcPr>
            <w:tcW w:w="2551" w:type="dxa"/>
            <w:vAlign w:val="center"/>
          </w:tcPr>
          <w:p>
            <w:pPr>
              <w:pStyle w:val="11"/>
            </w:pPr>
            <w:r>
              <w:t>212.58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212.58</w:t>
            </w:r>
          </w:p>
        </w:tc>
        <w:tc>
          <w:tcPr>
            <w:tcW w:w="2551" w:type="dxa"/>
            <w:vAlign w:val="center"/>
          </w:tcPr>
          <w:p>
            <w:pPr>
              <w:pStyle w:val="11"/>
            </w:pPr>
            <w:r>
              <w:t>212.58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212.58</w:t>
            </w:r>
          </w:p>
        </w:tc>
        <w:tc>
          <w:tcPr>
            <w:tcW w:w="2551" w:type="dxa"/>
            <w:vAlign w:val="center"/>
          </w:tcPr>
          <w:p>
            <w:pPr>
              <w:pStyle w:val="11"/>
            </w:pPr>
            <w:r>
              <w:t>212.58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312隆尧县公安局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3631.69</w:t>
            </w:r>
          </w:p>
        </w:tc>
        <w:tc>
          <w:tcPr>
            <w:tcW w:w="2551" w:type="dxa"/>
            <w:vAlign w:val="center"/>
          </w:tcPr>
          <w:p>
            <w:pPr>
              <w:pStyle w:val="15"/>
            </w:pPr>
            <w:r>
              <w:t>2914.67</w:t>
            </w:r>
          </w:p>
        </w:tc>
        <w:tc>
          <w:tcPr>
            <w:tcW w:w="2551" w:type="dxa"/>
            <w:vAlign w:val="center"/>
          </w:tcPr>
          <w:p>
            <w:pPr>
              <w:pStyle w:val="15"/>
            </w:pPr>
            <w:r>
              <w:t>717.02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2764.65</w:t>
            </w:r>
          </w:p>
        </w:tc>
        <w:tc>
          <w:tcPr>
            <w:tcW w:w="2551" w:type="dxa"/>
            <w:vAlign w:val="center"/>
          </w:tcPr>
          <w:p>
            <w:pPr>
              <w:pStyle w:val="11"/>
            </w:pPr>
            <w:r>
              <w:t>2764.65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1007.55</w:t>
            </w:r>
          </w:p>
        </w:tc>
        <w:tc>
          <w:tcPr>
            <w:tcW w:w="2551" w:type="dxa"/>
            <w:vAlign w:val="center"/>
          </w:tcPr>
          <w:p>
            <w:pPr>
              <w:pStyle w:val="11"/>
            </w:pPr>
            <w:r>
              <w:t>1007.55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716.72</w:t>
            </w:r>
          </w:p>
        </w:tc>
        <w:tc>
          <w:tcPr>
            <w:tcW w:w="2551" w:type="dxa"/>
            <w:vAlign w:val="center"/>
          </w:tcPr>
          <w:p>
            <w:pPr>
              <w:pStyle w:val="11"/>
            </w:pPr>
            <w:r>
              <w:t>716.72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400.34</w:t>
            </w:r>
          </w:p>
        </w:tc>
        <w:tc>
          <w:tcPr>
            <w:tcW w:w="2551" w:type="dxa"/>
            <w:vAlign w:val="center"/>
          </w:tcPr>
          <w:p>
            <w:pPr>
              <w:pStyle w:val="11"/>
            </w:pPr>
            <w:r>
              <w:t>400.34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275.10</w:t>
            </w:r>
          </w:p>
        </w:tc>
        <w:tc>
          <w:tcPr>
            <w:tcW w:w="2551" w:type="dxa"/>
            <w:vAlign w:val="center"/>
          </w:tcPr>
          <w:p>
            <w:pPr>
              <w:pStyle w:val="11"/>
            </w:pPr>
            <w:r>
              <w:t>275.10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140.02</w:t>
            </w:r>
          </w:p>
        </w:tc>
        <w:tc>
          <w:tcPr>
            <w:tcW w:w="2551" w:type="dxa"/>
            <w:vAlign w:val="center"/>
          </w:tcPr>
          <w:p>
            <w:pPr>
              <w:pStyle w:val="11"/>
            </w:pPr>
            <w:r>
              <w:t>140.02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12.35</w:t>
            </w:r>
          </w:p>
        </w:tc>
        <w:tc>
          <w:tcPr>
            <w:tcW w:w="2551" w:type="dxa"/>
            <w:vAlign w:val="center"/>
          </w:tcPr>
          <w:p>
            <w:pPr>
              <w:pStyle w:val="11"/>
            </w:pPr>
            <w:r>
              <w:t>12.35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212.58</w:t>
            </w:r>
          </w:p>
        </w:tc>
        <w:tc>
          <w:tcPr>
            <w:tcW w:w="2551" w:type="dxa"/>
            <w:vAlign w:val="center"/>
          </w:tcPr>
          <w:p>
            <w:pPr>
              <w:pStyle w:val="11"/>
            </w:pPr>
            <w:r>
              <w:t>212.58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659.02</w:t>
            </w:r>
          </w:p>
        </w:tc>
        <w:tc>
          <w:tcPr>
            <w:tcW w:w="2551" w:type="dxa"/>
            <w:vAlign w:val="center"/>
          </w:tcPr>
          <w:p>
            <w:pPr>
              <w:pStyle w:val="11"/>
            </w:pPr>
          </w:p>
        </w:tc>
        <w:tc>
          <w:tcPr>
            <w:tcW w:w="2551" w:type="dxa"/>
            <w:vAlign w:val="center"/>
          </w:tcPr>
          <w:p>
            <w:pPr>
              <w:pStyle w:val="11"/>
            </w:pPr>
            <w:r>
              <w:t>659.02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54.30</w:t>
            </w:r>
          </w:p>
        </w:tc>
        <w:tc>
          <w:tcPr>
            <w:tcW w:w="2551" w:type="dxa"/>
            <w:vAlign w:val="center"/>
          </w:tcPr>
          <w:p>
            <w:pPr>
              <w:pStyle w:val="11"/>
            </w:pPr>
          </w:p>
        </w:tc>
        <w:tc>
          <w:tcPr>
            <w:tcW w:w="2551" w:type="dxa"/>
            <w:vAlign w:val="center"/>
          </w:tcPr>
          <w:p>
            <w:pPr>
              <w:pStyle w:val="11"/>
            </w:pPr>
            <w:r>
              <w:t>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85.16</w:t>
            </w:r>
          </w:p>
        </w:tc>
        <w:tc>
          <w:tcPr>
            <w:tcW w:w="2551" w:type="dxa"/>
            <w:vAlign w:val="center"/>
          </w:tcPr>
          <w:p>
            <w:pPr>
              <w:pStyle w:val="11"/>
            </w:pPr>
          </w:p>
        </w:tc>
        <w:tc>
          <w:tcPr>
            <w:tcW w:w="2551" w:type="dxa"/>
            <w:vAlign w:val="center"/>
          </w:tcPr>
          <w:p>
            <w:pPr>
              <w:pStyle w:val="11"/>
            </w:pPr>
            <w:r>
              <w:t>85.16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6.67</w:t>
            </w:r>
          </w:p>
        </w:tc>
        <w:tc>
          <w:tcPr>
            <w:tcW w:w="2551" w:type="dxa"/>
            <w:vAlign w:val="center"/>
          </w:tcPr>
          <w:p>
            <w:pPr>
              <w:pStyle w:val="11"/>
            </w:pPr>
          </w:p>
        </w:tc>
        <w:tc>
          <w:tcPr>
            <w:tcW w:w="2551" w:type="dxa"/>
            <w:vAlign w:val="center"/>
          </w:tcPr>
          <w:p>
            <w:pPr>
              <w:pStyle w:val="11"/>
            </w:pPr>
            <w:r>
              <w:t>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27.50</w:t>
            </w:r>
          </w:p>
        </w:tc>
        <w:tc>
          <w:tcPr>
            <w:tcW w:w="2551" w:type="dxa"/>
            <w:vAlign w:val="center"/>
          </w:tcPr>
          <w:p>
            <w:pPr>
              <w:pStyle w:val="11"/>
            </w:pPr>
          </w:p>
        </w:tc>
        <w:tc>
          <w:tcPr>
            <w:tcW w:w="2551" w:type="dxa"/>
            <w:vAlign w:val="center"/>
          </w:tcPr>
          <w:p>
            <w:pPr>
              <w:pStyle w:val="11"/>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90.47</w:t>
            </w:r>
          </w:p>
        </w:tc>
        <w:tc>
          <w:tcPr>
            <w:tcW w:w="2551" w:type="dxa"/>
            <w:vAlign w:val="center"/>
          </w:tcPr>
          <w:p>
            <w:pPr>
              <w:pStyle w:val="11"/>
            </w:pPr>
          </w:p>
        </w:tc>
        <w:tc>
          <w:tcPr>
            <w:tcW w:w="2551" w:type="dxa"/>
            <w:vAlign w:val="center"/>
          </w:tcPr>
          <w:p>
            <w:pPr>
              <w:pStyle w:val="11"/>
            </w:pPr>
            <w:r>
              <w:t>90.47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83.20</w:t>
            </w:r>
          </w:p>
        </w:tc>
        <w:tc>
          <w:tcPr>
            <w:tcW w:w="2551" w:type="dxa"/>
            <w:vAlign w:val="center"/>
          </w:tcPr>
          <w:p>
            <w:pPr>
              <w:pStyle w:val="11"/>
            </w:pPr>
          </w:p>
        </w:tc>
        <w:tc>
          <w:tcPr>
            <w:tcW w:w="2551" w:type="dxa"/>
            <w:vAlign w:val="center"/>
          </w:tcPr>
          <w:p>
            <w:pPr>
              <w:pStyle w:val="11"/>
            </w:pPr>
            <w:r>
              <w:t>83.20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147.00</w:t>
            </w:r>
          </w:p>
        </w:tc>
        <w:tc>
          <w:tcPr>
            <w:tcW w:w="2551" w:type="dxa"/>
            <w:vAlign w:val="center"/>
          </w:tcPr>
          <w:p>
            <w:pPr>
              <w:pStyle w:val="11"/>
            </w:pPr>
          </w:p>
        </w:tc>
        <w:tc>
          <w:tcPr>
            <w:tcW w:w="2551" w:type="dxa"/>
            <w:vAlign w:val="center"/>
          </w:tcPr>
          <w:p>
            <w:pPr>
              <w:pStyle w:val="11"/>
            </w:pPr>
            <w:r>
              <w:t>147.00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9.02</w:t>
            </w:r>
          </w:p>
        </w:tc>
        <w:tc>
          <w:tcPr>
            <w:tcW w:w="2551" w:type="dxa"/>
            <w:vAlign w:val="center"/>
          </w:tcPr>
          <w:p>
            <w:pPr>
              <w:pStyle w:val="11"/>
            </w:pPr>
          </w:p>
        </w:tc>
        <w:tc>
          <w:tcPr>
            <w:tcW w:w="2551" w:type="dxa"/>
            <w:vAlign w:val="center"/>
          </w:tcPr>
          <w:p>
            <w:pPr>
              <w:pStyle w:val="11"/>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150.02</w:t>
            </w:r>
          </w:p>
        </w:tc>
        <w:tc>
          <w:tcPr>
            <w:tcW w:w="2551" w:type="dxa"/>
            <w:vAlign w:val="center"/>
          </w:tcPr>
          <w:p>
            <w:pPr>
              <w:pStyle w:val="11"/>
            </w:pPr>
            <w:r>
              <w:t>150.02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135.48</w:t>
            </w:r>
          </w:p>
        </w:tc>
        <w:tc>
          <w:tcPr>
            <w:tcW w:w="2551" w:type="dxa"/>
            <w:vAlign w:val="center"/>
          </w:tcPr>
          <w:p>
            <w:pPr>
              <w:pStyle w:val="11"/>
            </w:pPr>
            <w:r>
              <w:t>135.48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6.62</w:t>
            </w:r>
          </w:p>
        </w:tc>
        <w:tc>
          <w:tcPr>
            <w:tcW w:w="2551" w:type="dxa"/>
            <w:vAlign w:val="center"/>
          </w:tcPr>
          <w:p>
            <w:pPr>
              <w:pStyle w:val="11"/>
            </w:pPr>
            <w:r>
              <w:t>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312隆尧县公安局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312隆尧县公安局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312隆尧县公安局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73.62</w:t>
            </w:r>
          </w:p>
        </w:tc>
        <w:tc>
          <w:tcPr>
            <w:tcW w:w="2381" w:type="dxa"/>
            <w:vAlign w:val="center"/>
          </w:tcPr>
          <w:p>
            <w:pPr>
              <w:pStyle w:val="15"/>
            </w:pPr>
            <w:r>
              <w:t>73.62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72.12</w:t>
            </w:r>
          </w:p>
        </w:tc>
        <w:tc>
          <w:tcPr>
            <w:tcW w:w="2381" w:type="dxa"/>
            <w:vAlign w:val="center"/>
          </w:tcPr>
          <w:p>
            <w:pPr>
              <w:pStyle w:val="11"/>
            </w:pPr>
            <w:r>
              <w:t>72.12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71.62</w:t>
            </w:r>
          </w:p>
        </w:tc>
        <w:tc>
          <w:tcPr>
            <w:tcW w:w="2381" w:type="dxa"/>
            <w:vAlign w:val="center"/>
          </w:tcPr>
          <w:p>
            <w:pPr>
              <w:pStyle w:val="11"/>
            </w:pPr>
            <w:r>
              <w:t>71.62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64.62</w:t>
            </w:r>
          </w:p>
        </w:tc>
        <w:tc>
          <w:tcPr>
            <w:tcW w:w="2381" w:type="dxa"/>
            <w:vAlign w:val="center"/>
          </w:tcPr>
          <w:p>
            <w:pPr>
              <w:pStyle w:val="11"/>
            </w:pPr>
            <w:r>
              <w:t>64.62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7.00</w:t>
            </w:r>
          </w:p>
        </w:tc>
        <w:tc>
          <w:tcPr>
            <w:tcW w:w="2381" w:type="dxa"/>
            <w:vAlign w:val="center"/>
          </w:tcPr>
          <w:p>
            <w:pPr>
              <w:pStyle w:val="11"/>
            </w:pPr>
            <w:r>
              <w:t>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wordWrap w:val="0"/>
              <w:rPr>
                <w:rFonts w:hint="eastAsia" w:eastAsiaTheme="minorEastAsia"/>
                <w:lang w:eastAsia="zh-CN"/>
              </w:rPr>
            </w:pPr>
            <w:r>
              <w:rPr>
                <w:rFonts w:hint="eastAsia" w:eastAsiaTheme="minorEastAsia"/>
                <w:lang w:eastAsia="zh-CN"/>
              </w:rPr>
              <w:t xml:space="preserve"> </w:t>
            </w:r>
          </w:p>
        </w:tc>
        <w:tc>
          <w:tcPr>
            <w:tcW w:w="2381" w:type="dxa"/>
            <w:vAlign w:val="center"/>
          </w:tcPr>
          <w:p>
            <w:pPr>
              <w:pStyle w:val="11"/>
              <w:wordWrap w:val="0"/>
              <w:rPr>
                <w:rFonts w:hint="eastAsia" w:eastAsiaTheme="minorEastAsia"/>
                <w:lang w:eastAsia="zh-CN"/>
              </w:rPr>
            </w:pPr>
            <w:r>
              <w:rPr>
                <w:rFonts w:hint="eastAsia" w:eastAsiaTheme="minorEastAsia"/>
                <w:lang w:eastAsia="zh-CN"/>
              </w:rPr>
              <w:t xml:space="preserve"> </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隆尧县公安局2024年部门预算信息公开情况说明</w:t>
      </w:r>
    </w:p>
    <w:p>
      <w:pPr>
        <w:jc w:val="center"/>
      </w:pPr>
      <w:r>
        <w:rPr>
          <w:rFonts w:ascii="方正小标宋_GBK" w:hAnsi="方正小标宋_GBK" w:eastAsia="方正小标宋_GBK" w:cs="方正小标宋_GBK"/>
          <w:color w:val="000000"/>
          <w:sz w:val="44"/>
        </w:rPr>
        <w:t>隆尧县公安局2024年部门预算信息公开情况说明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按照《中华人民共和国预算法》、《地方预决算公开操作规程》和《关于进一步推进预算公开工作的实施意见》规定，现将隆尧县公安局2024年部门预算公开如下：</w:t>
      </w:r>
    </w:p>
    <w:p>
      <w:pPr>
        <w:spacing w:before="10" w:after="10" w:line="360" w:lineRule="auto"/>
        <w:ind w:firstLine="640"/>
        <w:outlineLvl w:val="2"/>
        <w:rPr>
          <w:rFonts w:ascii="黑体" w:hAnsi="黑体" w:eastAsia="黑体" w:cs="黑体"/>
          <w:color w:val="000000"/>
          <w:sz w:val="32"/>
          <w:lang w:eastAsia="zh-CN"/>
        </w:rPr>
      </w:pPr>
      <w:bookmarkStart w:id="9" w:name="_Toc_3_3_0000000010"/>
      <w:r>
        <w:rPr>
          <w:rFonts w:ascii="黑体" w:hAnsi="黑体" w:eastAsia="黑体" w:cs="黑体"/>
          <w:color w:val="000000"/>
          <w:sz w:val="32"/>
        </w:rPr>
        <w:t>一、部门职责及机构设置情况</w:t>
      </w:r>
      <w:bookmarkEnd w:id="9"/>
    </w:p>
    <w:p>
      <w:pPr>
        <w:spacing w:before="10" w:after="10" w:line="360" w:lineRule="auto"/>
        <w:ind w:firstLine="640"/>
        <w:outlineLvl w:val="2"/>
      </w:pPr>
      <w:r>
        <w:rPr>
          <w:rFonts w:hint="eastAsia" w:ascii="宋体" w:hAnsi="宋体" w:eastAsia="宋体" w:cs="宋体"/>
          <w:lang w:val="uk-UA"/>
        </w:rPr>
        <w:t>（一）贯彻执行国家、省、市公安工作的方针政策、法律法规及规章，结合我县实际制定相关政策、措施和办法，经县政府批准后组织实施。</w:t>
      </w:r>
    </w:p>
    <w:p>
      <w:pPr>
        <w:pStyle w:val="30"/>
      </w:pPr>
      <w:r>
        <w:rPr>
          <w:rFonts w:hint="eastAsia"/>
          <w:lang w:val="uk-UA"/>
        </w:rPr>
        <w:t>（二）按照县委、县政府和上级公安部门的指示及工作部署，研究安排和组织实施全县公安工作，并督促检查执行情况。</w:t>
      </w:r>
    </w:p>
    <w:p>
      <w:pPr>
        <w:pStyle w:val="30"/>
      </w:pPr>
      <w:r>
        <w:rPr>
          <w:rFonts w:hint="eastAsia"/>
          <w:lang w:val="uk-UA"/>
        </w:rPr>
        <w:t>（三）规划全县公安工作，研究全县公安工作重大情况和重大问题，推进全县公安工作的改革和发展。</w:t>
      </w:r>
    </w:p>
    <w:p>
      <w:pPr>
        <w:pStyle w:val="30"/>
      </w:pPr>
      <w:r>
        <w:rPr>
          <w:rFonts w:hint="eastAsia"/>
          <w:lang w:val="uk-UA"/>
        </w:rPr>
        <w:t>（四）搜集、掌握影响政治稳定、危害国家安全和社会治安的有关情况，分析形势，制定对策，适时组织实施。</w:t>
      </w:r>
    </w:p>
    <w:p>
      <w:pPr>
        <w:pStyle w:val="30"/>
      </w:pPr>
      <w:r>
        <w:rPr>
          <w:rFonts w:hint="eastAsia"/>
          <w:lang w:val="uk-UA"/>
        </w:rPr>
        <w:t>（五）指导对危害国家安全案件、刑事案件、经济犯罪案件、毒品犯罪案件、恐怖犯罪案件的侦查工作，直接立案侦办重大案件。</w:t>
      </w:r>
    </w:p>
    <w:p>
      <w:pPr>
        <w:pStyle w:val="30"/>
      </w:pPr>
      <w:r>
        <w:rPr>
          <w:rFonts w:hint="eastAsia"/>
          <w:lang w:val="uk-UA"/>
        </w:rPr>
        <w:t>（六）指导全县公安机关依法查处治安案件，组织协调或直接处置重大突发事件和治安事故；承担社会治安、户籍、居民身份证、枪支弹药、危险爆炸物品、特种行业等管理工作；推进治安行政管理改革工作。</w:t>
      </w:r>
    </w:p>
    <w:p>
      <w:pPr>
        <w:pStyle w:val="30"/>
      </w:pPr>
      <w:r>
        <w:rPr>
          <w:rFonts w:hint="eastAsia"/>
          <w:lang w:val="uk-UA"/>
        </w:rPr>
        <w:t>（七）指导监督全县公安机关对国家机关、社会团体、企事业单位、重点建设工程、重要油、气管（线）及其他重点部位的治安保卫工作和群众性治安保卫组织的治安防范工作；加强企事业单位保卫组织的建设。</w:t>
      </w:r>
    </w:p>
    <w:p>
      <w:pPr>
        <w:pStyle w:val="30"/>
      </w:pPr>
      <w:r>
        <w:rPr>
          <w:rFonts w:hint="eastAsia"/>
          <w:lang w:val="uk-UA"/>
        </w:rPr>
        <w:t>（八）组织实施消防工作，依法进行消防监督。</w:t>
      </w:r>
    </w:p>
    <w:p>
      <w:pPr>
        <w:pStyle w:val="30"/>
      </w:pPr>
      <w:r>
        <w:rPr>
          <w:rFonts w:hint="eastAsia"/>
          <w:lang w:val="uk-UA"/>
        </w:rPr>
        <w:t>（九）组织实施全县公安机关警卫工作，负责对来我县的党和国家领导人以及重要外宾和重要会议的安全警卫工作。</w:t>
      </w:r>
    </w:p>
    <w:p>
      <w:pPr>
        <w:pStyle w:val="30"/>
      </w:pPr>
      <w:r>
        <w:rPr>
          <w:rFonts w:hint="eastAsia"/>
          <w:lang w:val="uk-UA"/>
        </w:rPr>
        <w:t>（十）组织指导全县公安机关开展网络安全保卫工作，监督检查指导信息安全等级保护工作；直接立案侦办涉及网络安全的重特大案件。</w:t>
      </w:r>
    </w:p>
    <w:p>
      <w:pPr>
        <w:pStyle w:val="30"/>
      </w:pPr>
      <w:r>
        <w:rPr>
          <w:rFonts w:hint="eastAsia"/>
          <w:lang w:val="uk-UA"/>
        </w:rPr>
        <w:t>（十一）指导全县监管场所及监视设备的建设和管理；指导对收押人员的监管、教育工作。</w:t>
      </w:r>
    </w:p>
    <w:p>
      <w:pPr>
        <w:pStyle w:val="30"/>
      </w:pPr>
      <w:r>
        <w:rPr>
          <w:rFonts w:hint="eastAsia"/>
          <w:lang w:val="uk-UA"/>
        </w:rPr>
        <w:t>（十二）指导监督全县公安机关执法活动，拟订有关公安工作规范性文件；指导办理听证、行政复议、国家赔偿、刑事诉讼案件工作。</w:t>
      </w:r>
    </w:p>
    <w:p>
      <w:pPr>
        <w:pStyle w:val="30"/>
      </w:pPr>
      <w:r>
        <w:rPr>
          <w:rFonts w:hint="eastAsia"/>
          <w:lang w:val="uk-UA"/>
        </w:rPr>
        <w:t>（十三）指导、监督并组织实施全县公安机关维护城乡道路交通安全、交通秩序及对机动车辆驾驶人的管理工作。</w:t>
      </w:r>
    </w:p>
    <w:p>
      <w:pPr>
        <w:pStyle w:val="30"/>
      </w:pPr>
      <w:r>
        <w:rPr>
          <w:rFonts w:hint="eastAsia"/>
          <w:lang w:val="uk-UA"/>
        </w:rPr>
        <w:t>（十四）监督、检查和指导全县出入境管理工作，管理全县公民非公务活动出境和来隆境外人员，依法组织侦办和查处涉外案（事）件。</w:t>
      </w:r>
    </w:p>
    <w:p>
      <w:pPr>
        <w:pStyle w:val="30"/>
      </w:pPr>
      <w:r>
        <w:rPr>
          <w:rFonts w:hint="eastAsia"/>
          <w:lang w:val="uk-UA"/>
        </w:rPr>
        <w:t>（十五）规划全县公安科学技术和公安信息化建设工作，组织实施公安信息技术、刑事科学技术及技术侦察手段建设。</w:t>
      </w:r>
    </w:p>
    <w:p>
      <w:pPr>
        <w:pStyle w:val="30"/>
      </w:pPr>
      <w:r>
        <w:rPr>
          <w:rFonts w:hint="eastAsia"/>
          <w:lang w:val="uk-UA"/>
        </w:rPr>
        <w:t>（十六）规划、指导并组织实施全县公安队伍正规化、职业化建设以及公安宣传、教育、训练和思想政治工作；按照权限管理公安干部；搞好全县消防等公安现役部队建设。</w:t>
      </w:r>
    </w:p>
    <w:p>
      <w:pPr>
        <w:pStyle w:val="30"/>
      </w:pPr>
      <w:r>
        <w:rPr>
          <w:rFonts w:hint="eastAsia"/>
          <w:lang w:val="uk-UA"/>
        </w:rPr>
        <w:t>（十七）组织实施并指导全县公安机关的警务督察工作；查处和督办公安民警重大违法、违纪案件；维护公安民警正当执法权益。</w:t>
      </w:r>
    </w:p>
    <w:p>
      <w:pPr>
        <w:pStyle w:val="30"/>
      </w:pPr>
      <w:r>
        <w:rPr>
          <w:rFonts w:hint="eastAsia"/>
          <w:lang w:val="uk-UA"/>
        </w:rPr>
        <w:t>（十八）执行公安机关装备、被装配备标准并负责管理工作；执导全县公安机关财务、经费等保障工作。</w:t>
      </w:r>
    </w:p>
    <w:p>
      <w:pPr>
        <w:pStyle w:val="30"/>
      </w:pPr>
      <w:r>
        <w:rPr>
          <w:rFonts w:hint="eastAsia"/>
          <w:lang w:val="uk-UA"/>
        </w:rPr>
        <w:t>（十九）对武警隆尧县中队执行公安任务及相关业务建设实施领导和指挥。</w:t>
      </w:r>
    </w:p>
    <w:p>
      <w:pPr>
        <w:pStyle w:val="30"/>
        <w:rPr>
          <w:lang w:val="uk-UA" w:eastAsia="zh-CN"/>
        </w:rPr>
      </w:pPr>
      <w:r>
        <w:rPr>
          <w:rFonts w:hint="eastAsia"/>
          <w:lang w:val="uk-UA"/>
        </w:rPr>
        <w:t>（二十）承办县委、县政府和上级公安机关交办的其他事项。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隆尧县公安局本级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隆尧县看守所</w:t>
            </w:r>
          </w:p>
        </w:tc>
        <w:tc>
          <w:tcPr>
            <w:tcW w:w="1843" w:type="dxa"/>
            <w:vAlign w:val="center"/>
          </w:tcPr>
          <w:p>
            <w:pPr>
              <w:pStyle w:val="13"/>
            </w:pPr>
            <w:r>
              <w:t>行政</w:t>
            </w:r>
          </w:p>
        </w:tc>
        <w:tc>
          <w:tcPr>
            <w:tcW w:w="2126" w:type="dxa"/>
            <w:vAlign w:val="center"/>
          </w:tcPr>
          <w:p>
            <w:pPr>
              <w:pStyle w:val="13"/>
            </w:pPr>
            <w:r>
              <w:t>股级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按照预算管理有关规定，目前我县部门预算的编制实行综合预算管理，即全部收入和支出都反映在预算中。隆尧县公安局的收支包含在部门预算中。</w:t>
      </w:r>
    </w:p>
    <w:p>
      <w:pPr>
        <w:pStyle w:val="18"/>
      </w:pPr>
      <w:r>
        <w:t>1、收入说明</w:t>
      </w:r>
    </w:p>
    <w:p>
      <w:pPr>
        <w:pStyle w:val="18"/>
      </w:pPr>
      <w:r>
        <w:t>反映本部门当年全部收入。2024年预算收入6832.83万元，其中：一般公共预算收入6807.25万元，基金预算收入0万元，国有资本经营预算收入0万元，财政专户核拨收入0万元，单位资金收入0万元，上年结转结余25.58万元。</w:t>
      </w:r>
    </w:p>
    <w:p>
      <w:pPr>
        <w:pStyle w:val="18"/>
      </w:pPr>
      <w:r>
        <w:t>2、支出说明</w:t>
      </w:r>
    </w:p>
    <w:p>
      <w:pPr>
        <w:pStyle w:val="18"/>
      </w:pPr>
      <w:r>
        <w:t>收支预算总表支出栏、基本支出表、项目支出表按经济分类和支出功能分类科目编制，反映隆尧县公安局年度部门预算中支出预算的总体情况。2024年支出预算6832.83万元，其中基本支出3631.69万元，包括人员经费2914.67万元和日常公用经费717.02万元；项目支出3201.15万元，主要为劳务派遣人员费用、人民警察岗位津贴及法定工作日之外加班补贴、应急处突特警经费、智慧平安社区建设、保安服务费、疫情封控圈、扫黑除恶专项经费、反电诈智能化平台、“天网覆盖”四级网建设网络租赁项目、“天网覆盖”四级网建设项目等项目的开展及结算等。</w:t>
      </w:r>
    </w:p>
    <w:p>
      <w:pPr>
        <w:pStyle w:val="18"/>
      </w:pPr>
      <w:r>
        <w:t>3、比上年增减情况</w:t>
      </w:r>
    </w:p>
    <w:p>
      <w:pPr>
        <w:pStyle w:val="18"/>
      </w:pPr>
      <w:r>
        <w:t>2024年预算收支安排6832.83万元，较2023年预算减少383.51万元，其中：基本支出减少35.16万元，主要为人员的调整及预算资金压减，人员经费支出减少11.52万元；项目支出减少348.34万元，主要为项目减少及本年度预算资金压减。</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2024年，我部门运行经费共计安排717.02万元，主要用于日常维修、办公用房水电费、办公用房取暖费、办公费、邮电费、差旅费、会议费、福利费、专用材料及一般设备购置费等日常运行支出。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单位拨款“三公”经费预算安排72.12万元，其中因公出国（境）费0万元与2023年相比无变化；公务用车购置及运维费71.62万元（其中：公务用车购置费为64.62万元，较2023年预算减少74.69万元，主要原因为上年购置计划已完成，2024年拟对我部门执法执勤警车更新购置5辆，公务用车运维费7万元与2022年预算相比减少15万元，主要原因为租赁车辆费用减少）；公务接待费0.5万元，与2023年预算相比无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在县委、县政府和上级公安机关的坚强领导下，紧紧围绕县委、县政府中心工作，认真履行捍卫政治安全、维护社会安定、保障人民安宁的新时代职责使命，牢牢把握对党忠诚、服务人民、执法公正、纪律严明总要求，切实做好各项安保维稳工作，以最高的标准、最严的措施、最实的作风，努力创造安全稳定最优环境。为服务全县经济社会发展上提质增效，坚持把当好首都政治“护城河”作为中心任务、核心业务，坚持稳中求进工作总基调，推动公安各项工作上新台阶。</w:t>
      </w:r>
    </w:p>
    <w:p>
      <w:pPr>
        <w:spacing w:line="500" w:lineRule="exact"/>
        <w:ind w:firstLine="560"/>
      </w:pPr>
      <w:r>
        <w:rPr>
          <w:rFonts w:eastAsia="方正仿宋_GBK"/>
          <w:color w:val="000000"/>
          <w:sz w:val="28"/>
        </w:rPr>
        <w:t>（二）分项绩效目标</w:t>
      </w:r>
    </w:p>
    <w:p>
      <w:pPr>
        <w:pStyle w:val="22"/>
      </w:pPr>
      <w:r>
        <w:rPr>
          <w:rFonts w:hint="eastAsia"/>
          <w:lang w:eastAsia="zh-CN"/>
        </w:rPr>
        <w:t>1</w:t>
      </w:r>
      <w:r>
        <w:t>、维护国家安全和政治稳定。</w:t>
      </w:r>
    </w:p>
    <w:p>
      <w:pPr>
        <w:pStyle w:val="22"/>
      </w:pPr>
      <w:r>
        <w:rPr>
          <w:rFonts w:hint="eastAsia"/>
          <w:lang w:eastAsia="zh-CN"/>
        </w:rPr>
        <w:t>2</w:t>
      </w:r>
      <w:r>
        <w:t>、降低案件发案率，提高案件侦破率。</w:t>
      </w:r>
    </w:p>
    <w:p>
      <w:pPr>
        <w:pStyle w:val="22"/>
      </w:pPr>
      <w:r>
        <w:rPr>
          <w:rFonts w:hint="eastAsia"/>
          <w:lang w:eastAsia="zh-CN"/>
        </w:rPr>
        <w:t>3</w:t>
      </w:r>
      <w:r>
        <w:t>、维护社会稳定，提高群众安全感和满意度。</w:t>
      </w:r>
    </w:p>
    <w:p>
      <w:pPr>
        <w:pStyle w:val="22"/>
      </w:pPr>
      <w:r>
        <w:rPr>
          <w:rFonts w:hint="eastAsia"/>
          <w:lang w:eastAsia="zh-CN"/>
        </w:rPr>
        <w:t>4</w:t>
      </w:r>
      <w:r>
        <w:t>、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pPr>
        <w:pStyle w:val="22"/>
      </w:pPr>
      <w:r>
        <w:rPr>
          <w:rFonts w:hint="eastAsia"/>
          <w:lang w:eastAsia="zh-CN"/>
        </w:rPr>
        <w:t>5</w:t>
      </w:r>
      <w:r>
        <w:t>、提高科学技术水平，为公安机关开展业务工作提供技术支持。</w:t>
      </w:r>
    </w:p>
    <w:p>
      <w:pPr>
        <w:pStyle w:val="22"/>
      </w:pPr>
      <w:r>
        <w:rPr>
          <w:rFonts w:hint="eastAsia"/>
          <w:lang w:eastAsia="zh-CN"/>
        </w:rPr>
        <w:t>6</w:t>
      </w:r>
      <w:r>
        <w:t>、确保公安各项业务顺利开展，维护社会稳定能力增强。</w:t>
      </w:r>
    </w:p>
    <w:p>
      <w:pPr>
        <w:pStyle w:val="22"/>
      </w:pPr>
      <w:r>
        <w:rPr>
          <w:rFonts w:hint="eastAsia"/>
          <w:lang w:eastAsia="zh-CN"/>
        </w:rPr>
        <w:t>7</w:t>
      </w:r>
      <w:r>
        <w:t>、预防减少不稳定因素的发生，有效化解不稳定隐患、群体性事件和突发事件，维护国家安全工作。</w:t>
      </w:r>
    </w:p>
    <w:p>
      <w:pPr>
        <w:pStyle w:val="22"/>
      </w:pPr>
      <w:r>
        <w:rPr>
          <w:rFonts w:hint="eastAsia"/>
          <w:lang w:eastAsia="zh-CN"/>
        </w:rPr>
        <w:t>8</w:t>
      </w:r>
      <w:r>
        <w:t>、社会治安突出问题得以解决，社会矛盾纠纷得以排查和调处，社会治安形势得以好转。</w:t>
      </w:r>
    </w:p>
    <w:p>
      <w:pPr>
        <w:pStyle w:val="22"/>
      </w:pPr>
      <w:r>
        <w:rPr>
          <w:rFonts w:hint="eastAsia"/>
          <w:lang w:eastAsia="zh-CN"/>
        </w:rPr>
        <w:t>9</w:t>
      </w:r>
      <w:r>
        <w:t>、实现全县经济社会发展安全安定、人民生活和谐有序。</w:t>
      </w:r>
    </w:p>
    <w:p>
      <w:pPr>
        <w:spacing w:line="500" w:lineRule="exact"/>
        <w:ind w:firstLine="560"/>
      </w:pPr>
      <w:r>
        <w:rPr>
          <w:rFonts w:eastAsia="方正仿宋_GBK"/>
          <w:color w:val="000000"/>
          <w:sz w:val="28"/>
        </w:rPr>
        <w:t>（三）工作保障措施</w:t>
      </w:r>
    </w:p>
    <w:p>
      <w:pPr>
        <w:pStyle w:val="23"/>
      </w:pPr>
      <w:r>
        <w:rPr>
          <w:rFonts w:hint="eastAsia"/>
          <w:lang w:eastAsia="zh-CN"/>
        </w:rPr>
        <w:t>1、</w:t>
      </w:r>
      <w:r>
        <w:t>加强组织领导。成立由主要领导任组长的预算绩效工作领导小组，从预算编制、执行、监控、分析、报告、评价等方面全流程予以管理，提高各级领导绩效意识，理顺工作运行机制，形成齐抓共管的良好局面。</w:t>
      </w:r>
    </w:p>
    <w:p>
      <w:pPr>
        <w:pStyle w:val="23"/>
      </w:pPr>
      <w:r>
        <w:rPr>
          <w:rFonts w:hint="eastAsia"/>
          <w:lang w:eastAsia="zh-CN"/>
        </w:rPr>
        <w:t>2、</w:t>
      </w:r>
      <w:r>
        <w:t>加强支出管理 通过优化支出结构、编细编实预算、加快履行政府采购手续、尽快启动项目、及时支付资金、按规定及时下达资金等多种措施，确保资金支出符合进度要求。</w:t>
      </w:r>
    </w:p>
    <w:p>
      <w:pPr>
        <w:pStyle w:val="23"/>
      </w:pPr>
      <w:r>
        <w:rPr>
          <w:rFonts w:hint="eastAsia"/>
          <w:lang w:eastAsia="zh-CN"/>
        </w:rPr>
        <w:t>3、</w:t>
      </w:r>
      <w:r>
        <w:t>加强绩效运行监控。充分发挥项目绩效管理规定的作用，按照节点对相关警种部门的项目推动和建设各环节进行打分。对支出进度、资金绩效、内控制度执行情况等进行实时监控，发现问题及时采取措施，确保绩效目标如期保质实现。</w:t>
      </w:r>
    </w:p>
    <w:p>
      <w:pPr>
        <w:pStyle w:val="23"/>
      </w:pPr>
      <w:r>
        <w:rPr>
          <w:rFonts w:hint="eastAsia"/>
          <w:lang w:eastAsia="zh-CN"/>
        </w:rPr>
        <w:t>4、</w:t>
      </w:r>
      <w:r>
        <w:t>做好绩效自评。按财政要求，组织各警种部门对上年度部门预算绩效开展自评，自评率 100%。组织公安系统专家和社会专家，对重点资金使用情况进行重点评价，对发现的问题及时整改。</w:t>
      </w:r>
    </w:p>
    <w:p>
      <w:pPr>
        <w:pStyle w:val="23"/>
      </w:pPr>
      <w:r>
        <w:rPr>
          <w:rFonts w:hint="eastAsia"/>
          <w:lang w:eastAsia="zh-CN"/>
        </w:rPr>
        <w:t>5、</w:t>
      </w:r>
      <w:r>
        <w:t>规范财务资产管理。依托现有财务规章制度，结合绩效自评及重点评价中发现的问题，进一步完善财务管理制度，严格履行审批程序，充分利用新资产系统加强固定资产登记、使用和报废处置管理流程，做到支出合理，物尽其用。</w:t>
      </w:r>
    </w:p>
    <w:p>
      <w:pPr>
        <w:pStyle w:val="23"/>
      </w:pPr>
      <w:r>
        <w:rPr>
          <w:rFonts w:hint="eastAsia"/>
          <w:lang w:eastAsia="zh-CN"/>
        </w:rPr>
        <w:t>6、</w:t>
      </w:r>
      <w:r>
        <w:t>加强内部监督。对项目预算、结算等关键环节加强内部审计监督和服务，强化过程控制，严格审核把关，主动指导规范，及时防范风险。持续加强日常财务收支审计及其他各项审计工作。紧紧围绕推动落实中央八项规定精神及实施细则要求，进一步强化对单位财政财务收支的经常性审计监督，实现审计监督常态化，严格财经法纪，防止漏管失控，进一步促进公安机关党风廉政建设深入开展。</w:t>
      </w:r>
    </w:p>
    <w:p>
      <w:pPr>
        <w:pStyle w:val="23"/>
        <w:sectPr>
          <w:pgSz w:w="16840" w:h="11900" w:orient="landscape"/>
          <w:pgMar w:top="1361" w:right="1020" w:bottom="1361" w:left="1020" w:header="720" w:footer="720" w:gutter="0"/>
          <w:cols w:space="720" w:num="1"/>
        </w:sectPr>
      </w:pPr>
      <w:r>
        <w:rPr>
          <w:rFonts w:hint="eastAsia"/>
          <w:lang w:eastAsia="zh-CN"/>
        </w:rPr>
        <w:t>7、</w:t>
      </w:r>
      <w:r>
        <w:t>提升专业能力水平。坚持会计人员继续教育和专业知识教育相结合，提高本部门财务人员业务素质；加强对各警种部门相关人员培训，宣传贯彻相关政策法规，强化预算绩效管理意识，提高依法依规办事的自觉性；加强与各警种部门的沟通和对基层公安机关的调研，提出优化财政资金配置、提高资金使用效益的意见。</w:t>
      </w: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pStyle w:val="23"/>
        <w:rPr>
          <w:lang w:eastAsia="zh-CN"/>
        </w:rPr>
      </w:pPr>
      <w:r>
        <w:rPr>
          <w:rFonts w:hint="eastAsia"/>
        </w:rPr>
        <w:t>无</w:t>
      </w:r>
    </w:p>
    <w:p>
      <w:pPr>
        <w:pStyle w:val="23"/>
        <w:ind w:firstLine="0"/>
        <w:rPr>
          <w:lang w:eastAsia="zh-CN"/>
        </w:rPr>
        <w:sectPr>
          <w:pgSz w:w="16840" w:h="11900" w:orient="landscape"/>
          <w:pgMar w:top="1361" w:right="1020" w:bottom="1134" w:left="1020" w:header="720" w:footer="720" w:gutter="0"/>
          <w:cols w:space="720" w:num="1"/>
        </w:sectPr>
      </w:pPr>
    </w:p>
    <w:p>
      <w:pPr>
        <w:spacing w:before="10" w:after="10" w:line="360" w:lineRule="auto"/>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1、“名校英才入冀”人员房租补助绩效目标表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13052524P000010101597</w:t>
            </w:r>
          </w:p>
        </w:tc>
        <w:tc>
          <w:tcPr>
            <w:tcW w:w="2835" w:type="dxa"/>
            <w:vAlign w:val="center"/>
          </w:tcPr>
          <w:p>
            <w:pPr>
              <w:pStyle w:val="10"/>
            </w:pPr>
            <w:r>
              <w:t>项目名称</w:t>
            </w:r>
          </w:p>
        </w:tc>
        <w:tc>
          <w:tcPr>
            <w:tcW w:w="6094" w:type="dxa"/>
            <w:gridSpan w:val="3"/>
            <w:vAlign w:val="center"/>
          </w:tcPr>
          <w:p>
            <w:pPr>
              <w:pStyle w:val="12"/>
            </w:pPr>
            <w:r>
              <w:t>“名校英才入冀”人员房租补助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保障定向选调生房租补助及时足额发放，提高生活质量。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1.保障定向选调生房租补助及时足额发放，提高生活质量。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租房补助发放人数</w:t>
            </w:r>
          </w:p>
        </w:tc>
        <w:tc>
          <w:tcPr>
            <w:tcW w:w="5386" w:type="dxa"/>
            <w:vAlign w:val="center"/>
          </w:tcPr>
          <w:p>
            <w:pPr>
              <w:pStyle w:val="12"/>
            </w:pPr>
            <w:r>
              <w:t>应享受租房租补贴的人数</w:t>
            </w:r>
          </w:p>
        </w:tc>
        <w:tc>
          <w:tcPr>
            <w:tcW w:w="2268" w:type="dxa"/>
            <w:vAlign w:val="center"/>
          </w:tcPr>
          <w:p>
            <w:pPr>
              <w:pStyle w:val="12"/>
            </w:pPr>
            <w:r>
              <w:t>2人</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租房补助发放率</w:t>
            </w:r>
          </w:p>
        </w:tc>
        <w:tc>
          <w:tcPr>
            <w:tcW w:w="5386" w:type="dxa"/>
            <w:vAlign w:val="center"/>
          </w:tcPr>
          <w:p>
            <w:pPr>
              <w:pStyle w:val="12"/>
            </w:pPr>
            <w:r>
              <w:t>符合发放补助人员是否全部发放到位</w:t>
            </w:r>
          </w:p>
        </w:tc>
        <w:tc>
          <w:tcPr>
            <w:tcW w:w="2268" w:type="dxa"/>
            <w:vAlign w:val="center"/>
          </w:tcPr>
          <w:p>
            <w:pPr>
              <w:pStyle w:val="12"/>
            </w:pPr>
            <w:r>
              <w:t>≤100百分比</w:t>
            </w:r>
          </w:p>
        </w:tc>
        <w:tc>
          <w:tcPr>
            <w:tcW w:w="1276" w:type="dxa"/>
            <w:vAlign w:val="center"/>
          </w:tcPr>
          <w:p>
            <w:pPr>
              <w:pStyle w:val="12"/>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租房补贴及时发放金额占总应发金额比</w:t>
            </w:r>
          </w:p>
        </w:tc>
        <w:tc>
          <w:tcPr>
            <w:tcW w:w="2268" w:type="dxa"/>
            <w:vAlign w:val="center"/>
          </w:tcPr>
          <w:p>
            <w:pPr>
              <w:pStyle w:val="12"/>
            </w:pPr>
            <w:r>
              <w:t>≥95百分比</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租房补贴发放金额</w:t>
            </w:r>
          </w:p>
        </w:tc>
        <w:tc>
          <w:tcPr>
            <w:tcW w:w="5386" w:type="dxa"/>
            <w:vAlign w:val="center"/>
          </w:tcPr>
          <w:p>
            <w:pPr>
              <w:pStyle w:val="12"/>
            </w:pPr>
            <w:r>
              <w:t>两人两年共计发放金额</w:t>
            </w:r>
          </w:p>
        </w:tc>
        <w:tc>
          <w:tcPr>
            <w:tcW w:w="2268" w:type="dxa"/>
            <w:vAlign w:val="center"/>
          </w:tcPr>
          <w:p>
            <w:pPr>
              <w:pStyle w:val="12"/>
            </w:pPr>
            <w:r>
              <w:t>4.8万元</w:t>
            </w:r>
          </w:p>
        </w:tc>
        <w:tc>
          <w:tcPr>
            <w:tcW w:w="1276" w:type="dxa"/>
            <w:vAlign w:val="center"/>
          </w:tcPr>
          <w:p>
            <w:pPr>
              <w:pStyle w:val="12"/>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租房补贴及时领取率</w:t>
            </w:r>
          </w:p>
        </w:tc>
        <w:tc>
          <w:tcPr>
            <w:tcW w:w="5386" w:type="dxa"/>
            <w:vAlign w:val="center"/>
          </w:tcPr>
          <w:p>
            <w:pPr>
              <w:pStyle w:val="12"/>
            </w:pPr>
            <w:r>
              <w:t>已领取租房补贴人数占总应领人数比率</w:t>
            </w:r>
          </w:p>
        </w:tc>
        <w:tc>
          <w:tcPr>
            <w:tcW w:w="2268" w:type="dxa"/>
            <w:vAlign w:val="center"/>
          </w:tcPr>
          <w:p>
            <w:pPr>
              <w:pStyle w:val="12"/>
            </w:pPr>
            <w:r>
              <w:t>100百分比</w:t>
            </w:r>
          </w:p>
        </w:tc>
        <w:tc>
          <w:tcPr>
            <w:tcW w:w="1276" w:type="dxa"/>
            <w:vAlign w:val="center"/>
          </w:tcPr>
          <w:p>
            <w:pPr>
              <w:pStyle w:val="12"/>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发放对象满意度</w:t>
            </w:r>
          </w:p>
        </w:tc>
        <w:tc>
          <w:tcPr>
            <w:tcW w:w="5386" w:type="dxa"/>
            <w:vAlign w:val="center"/>
          </w:tcPr>
          <w:p>
            <w:pPr>
              <w:pStyle w:val="12"/>
            </w:pPr>
            <w:r>
              <w:t>已发放人数满意的人数占总发放人数比</w:t>
            </w:r>
          </w:p>
        </w:tc>
        <w:tc>
          <w:tcPr>
            <w:tcW w:w="2268" w:type="dxa"/>
            <w:vAlign w:val="center"/>
          </w:tcPr>
          <w:p>
            <w:pPr>
              <w:pStyle w:val="12"/>
            </w:pPr>
            <w:r>
              <w:t>100百分比</w:t>
            </w:r>
          </w:p>
        </w:tc>
        <w:tc>
          <w:tcPr>
            <w:tcW w:w="1276" w:type="dxa"/>
            <w:vAlign w:val="center"/>
          </w:tcPr>
          <w:p>
            <w:pPr>
              <w:pStyle w:val="12"/>
            </w:pPr>
            <w:r>
              <w:t>县政府文件</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2、“天网覆盖”四级网建设网络租赁项目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ind w:firstLine="560"/>
      </w:pPr>
      <w:r>
        <w:rPr>
          <w:rFonts w:ascii="方正仿宋_GBK" w:hAnsi="方正仿宋_GBK" w:eastAsia="方正仿宋_GBK" w:cs="方正仿宋_GBK"/>
          <w:color w:val="000000"/>
          <w:sz w:val="28"/>
        </w:rPr>
        <w:t>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13052524P000010100467</w:t>
            </w:r>
          </w:p>
        </w:tc>
        <w:tc>
          <w:tcPr>
            <w:tcW w:w="2835" w:type="dxa"/>
            <w:vAlign w:val="center"/>
          </w:tcPr>
          <w:p>
            <w:pPr>
              <w:pStyle w:val="10"/>
            </w:pPr>
            <w:r>
              <w:t>项目名称</w:t>
            </w:r>
          </w:p>
        </w:tc>
        <w:tc>
          <w:tcPr>
            <w:tcW w:w="6095" w:type="dxa"/>
            <w:gridSpan w:val="3"/>
            <w:vAlign w:val="center"/>
          </w:tcPr>
          <w:p>
            <w:pPr>
              <w:pStyle w:val="12"/>
            </w:pPr>
            <w:r>
              <w:t>“天网覆盖”四级网建设网络租赁项目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126.40</w:t>
            </w:r>
          </w:p>
        </w:tc>
        <w:tc>
          <w:tcPr>
            <w:tcW w:w="2835" w:type="dxa"/>
            <w:vAlign w:val="center"/>
          </w:tcPr>
          <w:p>
            <w:pPr>
              <w:pStyle w:val="10"/>
            </w:pPr>
            <w:r>
              <w:t>其中：财政    资金</w:t>
            </w:r>
          </w:p>
        </w:tc>
        <w:tc>
          <w:tcPr>
            <w:tcW w:w="2551" w:type="dxa"/>
            <w:vAlign w:val="center"/>
          </w:tcPr>
          <w:p>
            <w:pPr>
              <w:pStyle w:val="12"/>
            </w:pPr>
            <w:r>
              <w:t>126.40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支付“天网覆盖”四级网建设网络租赁项目款</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1.提高对社会治安的管控与防范能力，震慑和打击犯罪，降低监控区域的发案率，同时提升监控区域的破案率。</w:t>
            </w:r>
            <w:r>
              <w:tab/>
            </w:r>
            <w:r>
              <w:tab/>
            </w:r>
            <w:r>
              <w:tab/>
            </w:r>
            <w:r>
              <w:tab/>
            </w:r>
            <w:r>
              <w:tab/>
            </w:r>
            <w:r>
              <w:tab/>
            </w:r>
          </w:p>
          <w:p>
            <w:pPr>
              <w:pStyle w:val="12"/>
            </w:pP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≤126.4万元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天网工程利用率</w:t>
            </w:r>
          </w:p>
        </w:tc>
        <w:tc>
          <w:tcPr>
            <w:tcW w:w="5386" w:type="dxa"/>
            <w:vAlign w:val="center"/>
          </w:tcPr>
          <w:p>
            <w:pPr>
              <w:pStyle w:val="12"/>
            </w:pPr>
            <w:r>
              <w:t>查询天网系统的案件数目占总立案数的比率</w:t>
            </w:r>
          </w:p>
        </w:tc>
        <w:tc>
          <w:tcPr>
            <w:tcW w:w="2268" w:type="dxa"/>
            <w:vAlign w:val="center"/>
          </w:tcPr>
          <w:p>
            <w:pPr>
              <w:pStyle w:val="12"/>
            </w:pPr>
            <w:r>
              <w:t>≥60百分比</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3、“天网覆盖”四级网建设项目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ind w:firstLine="560"/>
      </w:pPr>
      <w:r>
        <w:rPr>
          <w:rFonts w:ascii="方正仿宋_GBK" w:hAnsi="方正仿宋_GBK" w:eastAsia="方正仿宋_GBK" w:cs="方正仿宋_GBK"/>
          <w:color w:val="000000"/>
          <w:sz w:val="28"/>
        </w:rPr>
        <w:t>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13052524P00001010045K</w:t>
            </w:r>
          </w:p>
        </w:tc>
        <w:tc>
          <w:tcPr>
            <w:tcW w:w="2835" w:type="dxa"/>
            <w:vAlign w:val="center"/>
          </w:tcPr>
          <w:p>
            <w:pPr>
              <w:pStyle w:val="10"/>
            </w:pPr>
            <w:r>
              <w:t>项目名称</w:t>
            </w:r>
          </w:p>
        </w:tc>
        <w:tc>
          <w:tcPr>
            <w:tcW w:w="6095" w:type="dxa"/>
            <w:gridSpan w:val="3"/>
            <w:vAlign w:val="center"/>
          </w:tcPr>
          <w:p>
            <w:pPr>
              <w:pStyle w:val="12"/>
            </w:pPr>
            <w:r>
              <w:t>“天网覆盖”四级网建设项目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112.71</w:t>
            </w:r>
          </w:p>
        </w:tc>
        <w:tc>
          <w:tcPr>
            <w:tcW w:w="2835" w:type="dxa"/>
            <w:vAlign w:val="center"/>
          </w:tcPr>
          <w:p>
            <w:pPr>
              <w:pStyle w:val="10"/>
            </w:pPr>
            <w:r>
              <w:t>其中：财政    资金</w:t>
            </w:r>
          </w:p>
        </w:tc>
        <w:tc>
          <w:tcPr>
            <w:tcW w:w="2551" w:type="dxa"/>
            <w:vAlign w:val="center"/>
          </w:tcPr>
          <w:p>
            <w:pPr>
              <w:pStyle w:val="12"/>
            </w:pPr>
            <w:r>
              <w:t>112.71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及时结算“天网覆盖”四级网建设项目尾款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1.及时结算“天网覆盖”四级网建设项目尾款</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≤112.71万元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项目完成率</w:t>
            </w:r>
          </w:p>
        </w:tc>
        <w:tc>
          <w:tcPr>
            <w:tcW w:w="5386" w:type="dxa"/>
            <w:vAlign w:val="center"/>
          </w:tcPr>
          <w:p>
            <w:pPr>
              <w:pStyle w:val="12"/>
            </w:pPr>
            <w:r>
              <w:t>项目完成率=项目完成数/项目总数*100%</w:t>
            </w:r>
          </w:p>
        </w:tc>
        <w:tc>
          <w:tcPr>
            <w:tcW w:w="2268" w:type="dxa"/>
            <w:vAlign w:val="center"/>
          </w:tcPr>
          <w:p>
            <w:pPr>
              <w:pStyle w:val="12"/>
            </w:pPr>
            <w:r>
              <w:t>≥95百分比</w:t>
            </w:r>
          </w:p>
        </w:tc>
        <w:tc>
          <w:tcPr>
            <w:tcW w:w="1276" w:type="dxa"/>
            <w:vAlign w:val="center"/>
          </w:tcPr>
          <w:p>
            <w:pPr>
              <w:pStyle w:val="12"/>
            </w:pPr>
            <w:r>
              <w:t>项目完成率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天网工程利用率</w:t>
            </w:r>
          </w:p>
        </w:tc>
        <w:tc>
          <w:tcPr>
            <w:tcW w:w="5386" w:type="dxa"/>
            <w:vAlign w:val="center"/>
          </w:tcPr>
          <w:p>
            <w:pPr>
              <w:pStyle w:val="12"/>
            </w:pPr>
            <w:r>
              <w:t>查询天网系统的案件数目占总立案数的比率</w:t>
            </w:r>
          </w:p>
        </w:tc>
        <w:tc>
          <w:tcPr>
            <w:tcW w:w="2268" w:type="dxa"/>
            <w:vAlign w:val="center"/>
          </w:tcPr>
          <w:p>
            <w:pPr>
              <w:pStyle w:val="12"/>
            </w:pPr>
            <w:r>
              <w:t>≥60百分比</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4、保安服务费绩效目标表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13052524P00001010055F</w:t>
            </w:r>
          </w:p>
        </w:tc>
        <w:tc>
          <w:tcPr>
            <w:tcW w:w="2835" w:type="dxa"/>
            <w:vAlign w:val="center"/>
          </w:tcPr>
          <w:p>
            <w:pPr>
              <w:pStyle w:val="10"/>
            </w:pPr>
            <w:r>
              <w:t>项目名称</w:t>
            </w:r>
          </w:p>
        </w:tc>
        <w:tc>
          <w:tcPr>
            <w:tcW w:w="6095" w:type="dxa"/>
            <w:gridSpan w:val="3"/>
            <w:vAlign w:val="center"/>
          </w:tcPr>
          <w:p>
            <w:pPr>
              <w:pStyle w:val="12"/>
            </w:pPr>
            <w:r>
              <w:t>保安服务费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86.20</w:t>
            </w:r>
          </w:p>
        </w:tc>
        <w:tc>
          <w:tcPr>
            <w:tcW w:w="2835" w:type="dxa"/>
            <w:vAlign w:val="center"/>
          </w:tcPr>
          <w:p>
            <w:pPr>
              <w:pStyle w:val="10"/>
            </w:pPr>
            <w:r>
              <w:t>其中：财政    资金</w:t>
            </w:r>
          </w:p>
        </w:tc>
        <w:tc>
          <w:tcPr>
            <w:tcW w:w="2551" w:type="dxa"/>
            <w:vAlign w:val="center"/>
          </w:tcPr>
          <w:p>
            <w:pPr>
              <w:pStyle w:val="12"/>
            </w:pPr>
            <w:r>
              <w:t>86.20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保安服务费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1.确保按照上级要求聘请保安顺利完成监管系统视频巡控工作。</w:t>
            </w:r>
            <w:r>
              <w:tab/>
            </w:r>
            <w:r>
              <w:tab/>
            </w:r>
            <w:r>
              <w:tab/>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≤86.2万元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保安人员的数量</w:t>
            </w:r>
          </w:p>
        </w:tc>
        <w:tc>
          <w:tcPr>
            <w:tcW w:w="5386" w:type="dxa"/>
            <w:vAlign w:val="center"/>
          </w:tcPr>
          <w:p>
            <w:pPr>
              <w:pStyle w:val="12"/>
            </w:pPr>
            <w:r>
              <w:t>保安人员的数量</w:t>
            </w:r>
          </w:p>
        </w:tc>
        <w:tc>
          <w:tcPr>
            <w:tcW w:w="2268" w:type="dxa"/>
            <w:vAlign w:val="center"/>
          </w:tcPr>
          <w:p>
            <w:pPr>
              <w:pStyle w:val="12"/>
            </w:pPr>
            <w:r>
              <w:t>20人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保安人员经费发放准确率</w:t>
            </w:r>
          </w:p>
        </w:tc>
        <w:tc>
          <w:tcPr>
            <w:tcW w:w="5386" w:type="dxa"/>
            <w:vAlign w:val="center"/>
          </w:tcPr>
          <w:p>
            <w:pPr>
              <w:pStyle w:val="12"/>
            </w:pPr>
            <w:r>
              <w:t>保安人员经费发放准确率=计算发放准确的月数/实际发放月数*100%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保安人员经费按时发放率</w:t>
            </w:r>
          </w:p>
        </w:tc>
        <w:tc>
          <w:tcPr>
            <w:tcW w:w="5386" w:type="dxa"/>
            <w:vAlign w:val="center"/>
          </w:tcPr>
          <w:p>
            <w:pPr>
              <w:pStyle w:val="12"/>
            </w:pPr>
            <w:r>
              <w:t>保安人员经费按时发放率=按时发放的月数/实际发放月数*100%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各类安全事故发生下降率</w:t>
            </w:r>
          </w:p>
        </w:tc>
        <w:tc>
          <w:tcPr>
            <w:tcW w:w="5386" w:type="dxa"/>
            <w:vAlign w:val="center"/>
          </w:tcPr>
          <w:p>
            <w:pPr>
              <w:pStyle w:val="12"/>
            </w:pPr>
            <w:r>
              <w:t>被羁押人员各类安全事故发生下降率</w:t>
            </w:r>
          </w:p>
        </w:tc>
        <w:tc>
          <w:tcPr>
            <w:tcW w:w="2268" w:type="dxa"/>
            <w:vAlign w:val="center"/>
          </w:tcPr>
          <w:p>
            <w:pPr>
              <w:pStyle w:val="12"/>
            </w:pPr>
            <w:r>
              <w:t>≥0.2百分比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5、反电诈智能化平台绩效目标表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13052524P000010100634</w:t>
            </w:r>
          </w:p>
        </w:tc>
        <w:tc>
          <w:tcPr>
            <w:tcW w:w="2835" w:type="dxa"/>
            <w:vAlign w:val="center"/>
          </w:tcPr>
          <w:p>
            <w:pPr>
              <w:pStyle w:val="10"/>
            </w:pPr>
            <w:r>
              <w:t>项目名称</w:t>
            </w:r>
          </w:p>
        </w:tc>
        <w:tc>
          <w:tcPr>
            <w:tcW w:w="6095" w:type="dxa"/>
            <w:gridSpan w:val="3"/>
            <w:vAlign w:val="center"/>
          </w:tcPr>
          <w:p>
            <w:pPr>
              <w:pStyle w:val="12"/>
            </w:pPr>
            <w:r>
              <w:t>反电诈智能化平台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反电诈智能化平台费用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发挥公安机关打击治理电信网络诈骗违法犯罪工作协调机制优势，整合全警资源力量，严厉打击、严密防范电信网络诈骗违法犯罪，切实维护人民群众合法权益。严格按照相关技术规范，服务我县公安机关打击电信诈骗工作，提升我县公安机关侦查部门应对复杂斗争形势的能力，助力强化打击电信诈骗战斗效率。</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中标合同及年初预算安排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≤24万元</w:t>
            </w:r>
          </w:p>
        </w:tc>
        <w:tc>
          <w:tcPr>
            <w:tcW w:w="1276" w:type="dxa"/>
            <w:vAlign w:val="center"/>
          </w:tcPr>
          <w:p>
            <w:pPr>
              <w:pStyle w:val="12"/>
            </w:pPr>
            <w:r>
              <w:t>中标合同及年初预算安排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调查问卷表示满意和较满意的占服务对象之比</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6、冀财政法【2022】55号/中央/提前下达2023年中央政法纪检监察转移支付资金/办案业务绩效目标表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13052523P00000410088Y</w:t>
            </w:r>
          </w:p>
        </w:tc>
        <w:tc>
          <w:tcPr>
            <w:tcW w:w="2835" w:type="dxa"/>
            <w:vAlign w:val="center"/>
          </w:tcPr>
          <w:p>
            <w:pPr>
              <w:pStyle w:val="10"/>
            </w:pPr>
            <w:r>
              <w:t>项目名称</w:t>
            </w:r>
          </w:p>
        </w:tc>
        <w:tc>
          <w:tcPr>
            <w:tcW w:w="6095" w:type="dxa"/>
            <w:gridSpan w:val="3"/>
            <w:vAlign w:val="center"/>
          </w:tcPr>
          <w:p>
            <w:pPr>
              <w:pStyle w:val="12"/>
            </w:pPr>
            <w:r>
              <w:t>冀财政法【2022】55号/中央/提前下达2023年中央政法纪检监察转移支付资金/办案业务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支持县级公安机关顺利完成治安防控、打击犯罪、侦查破案、扫黑除恶等专项工作，维护全县社会治安大局持续稳定。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1.支持县级公安机关顺利完成治安防控、打击犯罪、侦查破案、扫黑除恶等专项工作，维护全县社会治安大局持续稳定。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项目资金到位情况</w:t>
            </w:r>
          </w:p>
        </w:tc>
        <w:tc>
          <w:tcPr>
            <w:tcW w:w="2268" w:type="dxa"/>
            <w:vAlign w:val="center"/>
          </w:tcPr>
          <w:p>
            <w:pPr>
              <w:pStyle w:val="12"/>
            </w:pPr>
            <w:r>
              <w:t>100百分比</w:t>
            </w:r>
          </w:p>
        </w:tc>
        <w:tc>
          <w:tcPr>
            <w:tcW w:w="1276" w:type="dxa"/>
            <w:vAlign w:val="center"/>
          </w:tcPr>
          <w:p>
            <w:pPr>
              <w:pStyle w:val="12"/>
            </w:pPr>
            <w:r>
              <w:t>项目资金到位情况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100百分比</w:t>
            </w:r>
          </w:p>
        </w:tc>
        <w:tc>
          <w:tcPr>
            <w:tcW w:w="1276" w:type="dxa"/>
            <w:vAlign w:val="center"/>
          </w:tcPr>
          <w:p>
            <w:pPr>
              <w:pStyle w:val="12"/>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5386" w:type="dxa"/>
            <w:vAlign w:val="center"/>
          </w:tcPr>
          <w:p>
            <w:pPr>
              <w:pStyle w:val="12"/>
            </w:pPr>
            <w:r>
              <w:t>业务处理及时性</w:t>
            </w:r>
          </w:p>
        </w:tc>
        <w:tc>
          <w:tcPr>
            <w:tcW w:w="2268" w:type="dxa"/>
            <w:vAlign w:val="center"/>
          </w:tcPr>
          <w:p>
            <w:pPr>
              <w:pStyle w:val="12"/>
            </w:pPr>
            <w:r>
              <w:t>≥95百分比</w:t>
            </w:r>
          </w:p>
        </w:tc>
        <w:tc>
          <w:tcPr>
            <w:tcW w:w="1276" w:type="dxa"/>
            <w:vAlign w:val="center"/>
          </w:tcPr>
          <w:p>
            <w:pPr>
              <w:pStyle w:val="12"/>
            </w:pPr>
            <w:r>
              <w:t>业务处理及时性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≥95百分比</w:t>
            </w:r>
          </w:p>
        </w:tc>
        <w:tc>
          <w:tcPr>
            <w:tcW w:w="1276" w:type="dxa"/>
            <w:vAlign w:val="center"/>
          </w:tcPr>
          <w:p>
            <w:pPr>
              <w:pStyle w:val="12"/>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重点工作完成情况</w:t>
            </w:r>
          </w:p>
        </w:tc>
        <w:tc>
          <w:tcPr>
            <w:tcW w:w="2268" w:type="dxa"/>
            <w:vAlign w:val="center"/>
          </w:tcPr>
          <w:p>
            <w:pPr>
              <w:pStyle w:val="12"/>
            </w:pPr>
            <w:r>
              <w:t>≥95百分比</w:t>
            </w:r>
          </w:p>
        </w:tc>
        <w:tc>
          <w:tcPr>
            <w:tcW w:w="1276" w:type="dxa"/>
            <w:vAlign w:val="center"/>
          </w:tcPr>
          <w:p>
            <w:pPr>
              <w:pStyle w:val="12"/>
            </w:pPr>
            <w:r>
              <w:t>重点工作完成情况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群众安全感满意度</w:t>
            </w:r>
          </w:p>
        </w:tc>
        <w:tc>
          <w:tcPr>
            <w:tcW w:w="2268" w:type="dxa"/>
            <w:vAlign w:val="center"/>
          </w:tcPr>
          <w:p>
            <w:pPr>
              <w:pStyle w:val="12"/>
            </w:pPr>
            <w:r>
              <w:t>≥95百分比</w:t>
            </w:r>
          </w:p>
        </w:tc>
        <w:tc>
          <w:tcPr>
            <w:tcW w:w="1276" w:type="dxa"/>
            <w:vAlign w:val="center"/>
          </w:tcPr>
          <w:p>
            <w:pPr>
              <w:pStyle w:val="12"/>
            </w:pPr>
            <w:r>
              <w:t>群众安全感满意度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7、冀财政法【2022】55号/中央/提前下达2023年中央政法纪检监察转移支付资金/业务装备绩效目标表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13052523P00000410089J</w:t>
            </w:r>
          </w:p>
        </w:tc>
        <w:tc>
          <w:tcPr>
            <w:tcW w:w="2835" w:type="dxa"/>
            <w:vAlign w:val="center"/>
          </w:tcPr>
          <w:p>
            <w:pPr>
              <w:pStyle w:val="10"/>
            </w:pPr>
            <w:r>
              <w:t>项目名称</w:t>
            </w:r>
          </w:p>
        </w:tc>
        <w:tc>
          <w:tcPr>
            <w:tcW w:w="6095" w:type="dxa"/>
            <w:gridSpan w:val="3"/>
            <w:vAlign w:val="center"/>
          </w:tcPr>
          <w:p>
            <w:pPr>
              <w:pStyle w:val="12"/>
            </w:pPr>
            <w:r>
              <w:t>冀财政法【2022】55号/中央/提前下达2023年中央政法纪检监察转移支付资金/业务装备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20.69</w:t>
            </w:r>
          </w:p>
        </w:tc>
        <w:tc>
          <w:tcPr>
            <w:tcW w:w="2835" w:type="dxa"/>
            <w:vAlign w:val="center"/>
          </w:tcPr>
          <w:p>
            <w:pPr>
              <w:pStyle w:val="10"/>
            </w:pPr>
            <w:r>
              <w:t>其中：财政    资金</w:t>
            </w:r>
          </w:p>
        </w:tc>
        <w:tc>
          <w:tcPr>
            <w:tcW w:w="2551" w:type="dxa"/>
            <w:vAlign w:val="center"/>
          </w:tcPr>
          <w:p>
            <w:pPr>
              <w:pStyle w:val="12"/>
            </w:pPr>
            <w:r>
              <w:t>20.69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"严格执行装备经费管理制度，为公安机关开展业务工作采购指挥通迅、刑事侦查、技术侦查、应急处突等专项设备，提高公安科技信息化建设水平，为公安工作提供科技支撑和信息技术保障。</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1.严格执行装备经费管理制度，为公安机关开展业务工作采购指挥通迅、刑事侦查、技术侦查、应急处突等专项设备，提高公安科技信息化建设水平，为公安工作提供科技支撑和信息技术保障。</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购置数量与购置计划的比率</w:t>
            </w:r>
          </w:p>
        </w:tc>
        <w:tc>
          <w:tcPr>
            <w:tcW w:w="5386" w:type="dxa"/>
            <w:vAlign w:val="center"/>
          </w:tcPr>
          <w:p>
            <w:pPr>
              <w:pStyle w:val="12"/>
            </w:pPr>
            <w:r>
              <w:t>购置数量与购置计划的比率</w:t>
            </w:r>
          </w:p>
        </w:tc>
        <w:tc>
          <w:tcPr>
            <w:tcW w:w="2268" w:type="dxa"/>
            <w:vAlign w:val="center"/>
          </w:tcPr>
          <w:p>
            <w:pPr>
              <w:pStyle w:val="12"/>
            </w:pPr>
            <w:r>
              <w:t>≥95百分比</w:t>
            </w:r>
          </w:p>
        </w:tc>
        <w:tc>
          <w:tcPr>
            <w:tcW w:w="1276" w:type="dxa"/>
            <w:vAlign w:val="center"/>
          </w:tcPr>
          <w:p>
            <w:pPr>
              <w:pStyle w:val="12"/>
            </w:pPr>
            <w:r>
              <w:t>购置数量与购置计划的比率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购置质量合格率</w:t>
            </w:r>
          </w:p>
        </w:tc>
        <w:tc>
          <w:tcPr>
            <w:tcW w:w="2268" w:type="dxa"/>
            <w:vAlign w:val="center"/>
          </w:tcPr>
          <w:p>
            <w:pPr>
              <w:pStyle w:val="12"/>
            </w:pPr>
            <w:r>
              <w:t>≥95百分比</w:t>
            </w:r>
          </w:p>
        </w:tc>
        <w:tc>
          <w:tcPr>
            <w:tcW w:w="1276" w:type="dxa"/>
            <w:vAlign w:val="center"/>
          </w:tcPr>
          <w:p>
            <w:pPr>
              <w:pStyle w:val="12"/>
            </w:pPr>
            <w:r>
              <w:t>购置质量合格率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购置计划执行率</w:t>
            </w:r>
          </w:p>
        </w:tc>
        <w:tc>
          <w:tcPr>
            <w:tcW w:w="5386" w:type="dxa"/>
            <w:vAlign w:val="center"/>
          </w:tcPr>
          <w:p>
            <w:pPr>
              <w:pStyle w:val="12"/>
            </w:pPr>
            <w:r>
              <w:t>购置计划执行率</w:t>
            </w:r>
          </w:p>
        </w:tc>
        <w:tc>
          <w:tcPr>
            <w:tcW w:w="2268" w:type="dxa"/>
            <w:vAlign w:val="center"/>
          </w:tcPr>
          <w:p>
            <w:pPr>
              <w:pStyle w:val="12"/>
            </w:pPr>
            <w:r>
              <w:t>≥95百分比</w:t>
            </w:r>
          </w:p>
        </w:tc>
        <w:tc>
          <w:tcPr>
            <w:tcW w:w="1276" w:type="dxa"/>
            <w:vAlign w:val="center"/>
          </w:tcPr>
          <w:p>
            <w:pPr>
              <w:pStyle w:val="12"/>
            </w:pPr>
            <w:r>
              <w:t>购置计划执行率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实际成本超概（预）算比率</w:t>
            </w:r>
          </w:p>
        </w:tc>
        <w:tc>
          <w:tcPr>
            <w:tcW w:w="5386" w:type="dxa"/>
            <w:vAlign w:val="center"/>
          </w:tcPr>
          <w:p>
            <w:pPr>
              <w:pStyle w:val="12"/>
            </w:pPr>
            <w:r>
              <w:t>实际成本超概（预）算比率</w:t>
            </w:r>
          </w:p>
        </w:tc>
        <w:tc>
          <w:tcPr>
            <w:tcW w:w="2268" w:type="dxa"/>
            <w:vAlign w:val="center"/>
          </w:tcPr>
          <w:p>
            <w:pPr>
              <w:pStyle w:val="12"/>
            </w:pPr>
            <w:r>
              <w:t>≤20百分比</w:t>
            </w:r>
          </w:p>
        </w:tc>
        <w:tc>
          <w:tcPr>
            <w:tcW w:w="1276" w:type="dxa"/>
            <w:vAlign w:val="center"/>
          </w:tcPr>
          <w:p>
            <w:pPr>
              <w:pStyle w:val="12"/>
            </w:pPr>
            <w:r>
              <w:t>实际成本超概（预）算比率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重点工作完成情况</w:t>
            </w:r>
          </w:p>
        </w:tc>
        <w:tc>
          <w:tcPr>
            <w:tcW w:w="2268" w:type="dxa"/>
            <w:vAlign w:val="center"/>
          </w:tcPr>
          <w:p>
            <w:pPr>
              <w:pStyle w:val="12"/>
            </w:pPr>
            <w:r>
              <w:t>≥95百分比</w:t>
            </w:r>
          </w:p>
        </w:tc>
        <w:tc>
          <w:tcPr>
            <w:tcW w:w="1276" w:type="dxa"/>
            <w:vAlign w:val="center"/>
          </w:tcPr>
          <w:p>
            <w:pPr>
              <w:pStyle w:val="12"/>
            </w:pPr>
            <w:r>
              <w:t>重点工作完成情况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群众安全感满意度</w:t>
            </w:r>
          </w:p>
        </w:tc>
        <w:tc>
          <w:tcPr>
            <w:tcW w:w="2268" w:type="dxa"/>
            <w:vAlign w:val="center"/>
          </w:tcPr>
          <w:p>
            <w:pPr>
              <w:pStyle w:val="12"/>
            </w:pPr>
            <w:r>
              <w:t>≥95百分比</w:t>
            </w:r>
          </w:p>
        </w:tc>
        <w:tc>
          <w:tcPr>
            <w:tcW w:w="1276" w:type="dxa"/>
            <w:vAlign w:val="center"/>
          </w:tcPr>
          <w:p>
            <w:pPr>
              <w:pStyle w:val="12"/>
            </w:pPr>
            <w:r>
              <w:t>群众安全感满意度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8、冀财政法【2023】25号/中央/关于下达2023年中央政法纪检监察转移支付资金/业务装备</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13052523P00000410058B</w:t>
            </w:r>
          </w:p>
        </w:tc>
        <w:tc>
          <w:tcPr>
            <w:tcW w:w="2835" w:type="dxa"/>
            <w:vAlign w:val="center"/>
          </w:tcPr>
          <w:p>
            <w:pPr>
              <w:pStyle w:val="10"/>
            </w:pPr>
            <w:r>
              <w:t>项目名称</w:t>
            </w:r>
          </w:p>
        </w:tc>
        <w:tc>
          <w:tcPr>
            <w:tcW w:w="6095" w:type="dxa"/>
            <w:gridSpan w:val="3"/>
            <w:vAlign w:val="center"/>
          </w:tcPr>
          <w:p>
            <w:pPr>
              <w:pStyle w:val="12"/>
            </w:pPr>
            <w:r>
              <w:t>冀财政法【2023】25号/中央/关于下达2023年中央政法纪检监察转移支付资金/业务装备</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0.46</w:t>
            </w:r>
          </w:p>
        </w:tc>
        <w:tc>
          <w:tcPr>
            <w:tcW w:w="2835" w:type="dxa"/>
            <w:vAlign w:val="center"/>
          </w:tcPr>
          <w:p>
            <w:pPr>
              <w:pStyle w:val="10"/>
            </w:pPr>
            <w:r>
              <w:t>其中：财政    资金</w:t>
            </w:r>
          </w:p>
        </w:tc>
        <w:tc>
          <w:tcPr>
            <w:tcW w:w="2551" w:type="dxa"/>
            <w:vAlign w:val="center"/>
          </w:tcPr>
          <w:p>
            <w:pPr>
              <w:pStyle w:val="12"/>
            </w:pPr>
            <w:r>
              <w:t>0.46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严格执行装备经费管理制度，为公安机关开展业务工作采购指挥通迅、刑事侦查、技术侦查、应急处突等专项设备，提高公安科技信息化建设水平，为公安工作提供科技支撑和信息技术保障。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1.严格执行装备经费管理制度。</w:t>
            </w:r>
          </w:p>
          <w:p>
            <w:pPr>
              <w:pStyle w:val="12"/>
            </w:pPr>
            <w:r>
              <w:t>2.为公安机关开展业务工作采购指挥通迅、刑事侦查、技术侦查、应急处突等专项设备。</w:t>
            </w:r>
          </w:p>
          <w:p>
            <w:pPr>
              <w:pStyle w:val="12"/>
            </w:pPr>
            <w:r>
              <w:t>3.提高公安科技信息化建设水平，为公安工作提供科技支撑和信息技术保障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采购到位率</w:t>
            </w:r>
          </w:p>
        </w:tc>
        <w:tc>
          <w:tcPr>
            <w:tcW w:w="5386" w:type="dxa"/>
            <w:vAlign w:val="center"/>
          </w:tcPr>
          <w:p>
            <w:pPr>
              <w:pStyle w:val="12"/>
            </w:pPr>
            <w:r>
              <w:t>采购到位率=实际购置的装备数量/应购置的装备数量</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购置及时率</w:t>
            </w:r>
          </w:p>
        </w:tc>
        <w:tc>
          <w:tcPr>
            <w:tcW w:w="5386" w:type="dxa"/>
            <w:vAlign w:val="center"/>
          </w:tcPr>
          <w:p>
            <w:pPr>
              <w:pStyle w:val="12"/>
            </w:pPr>
            <w:r>
              <w:t>购置计划及时率=按计划及时购卖安装的设备/计划购买安装的设备*100%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采购总成本控制率</w:t>
            </w:r>
          </w:p>
        </w:tc>
        <w:tc>
          <w:tcPr>
            <w:tcW w:w="5386" w:type="dxa"/>
            <w:vAlign w:val="center"/>
          </w:tcPr>
          <w:p>
            <w:pPr>
              <w:pStyle w:val="12"/>
            </w:pPr>
            <w:r>
              <w:t>采购总成本控制率=实际采购总成/采购总预算成本*100%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重点工作完成的占全部重点</w:t>
            </w:r>
          </w:p>
          <w:p>
            <w:pPr>
              <w:pStyle w:val="12"/>
            </w:pPr>
            <w:r>
              <w:t>工作的比重</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业务保障能力提升率</w:t>
            </w:r>
          </w:p>
        </w:tc>
        <w:tc>
          <w:tcPr>
            <w:tcW w:w="5386" w:type="dxa"/>
            <w:vAlign w:val="center"/>
          </w:tcPr>
          <w:p>
            <w:pPr>
              <w:pStyle w:val="12"/>
            </w:pPr>
            <w:r>
              <w:t>购置对业务保障能力的提升比率</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装备使用率</w:t>
            </w:r>
          </w:p>
        </w:tc>
        <w:tc>
          <w:tcPr>
            <w:tcW w:w="5386" w:type="dxa"/>
            <w:vAlign w:val="center"/>
          </w:tcPr>
          <w:p>
            <w:pPr>
              <w:pStyle w:val="12"/>
            </w:pPr>
            <w:r>
              <w:t>装备使用率=装备实际使用时间/装备计划使用时间*100%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9、冀财政法【2023】49号/中央/提前下达2024年中央政法纪检监察转移支付资金/办案业务绩效目标表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13052524P00001010450J</w:t>
            </w:r>
          </w:p>
        </w:tc>
        <w:tc>
          <w:tcPr>
            <w:tcW w:w="2835" w:type="dxa"/>
            <w:vAlign w:val="center"/>
          </w:tcPr>
          <w:p>
            <w:pPr>
              <w:pStyle w:val="10"/>
            </w:pPr>
            <w:r>
              <w:t>项目名称</w:t>
            </w:r>
          </w:p>
        </w:tc>
        <w:tc>
          <w:tcPr>
            <w:tcW w:w="6095" w:type="dxa"/>
            <w:gridSpan w:val="3"/>
            <w:vAlign w:val="center"/>
          </w:tcPr>
          <w:p>
            <w:pPr>
              <w:pStyle w:val="12"/>
            </w:pPr>
            <w:r>
              <w:t>冀财政法【2023】49号/中央/提前下达2024年中央政法纪检监察转移支付资金/办案业务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329.00</w:t>
            </w:r>
          </w:p>
        </w:tc>
        <w:tc>
          <w:tcPr>
            <w:tcW w:w="2835" w:type="dxa"/>
            <w:vAlign w:val="center"/>
          </w:tcPr>
          <w:p>
            <w:pPr>
              <w:pStyle w:val="10"/>
            </w:pPr>
            <w:r>
              <w:t>其中：财政    资金</w:t>
            </w:r>
          </w:p>
        </w:tc>
        <w:tc>
          <w:tcPr>
            <w:tcW w:w="2551" w:type="dxa"/>
            <w:vAlign w:val="center"/>
          </w:tcPr>
          <w:p>
            <w:pPr>
              <w:pStyle w:val="12"/>
            </w:pPr>
            <w:r>
              <w:t>329.00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为县级公安机关顺利完成治安防控、打击犯罪、侦查破案、扫黑除恶等专项工作，维护全县社会治安大局持续稳定提供资金支持。</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1.支持县级公安机关顺利完成治安防控、打击犯罪、侦查破案、扫黑除恶等专项工作，维护全县社会治安大局持续稳定。</w:t>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财政拨款总数/财政应拨款总数*100%</w:t>
            </w:r>
          </w:p>
        </w:tc>
        <w:tc>
          <w:tcPr>
            <w:tcW w:w="2268" w:type="dxa"/>
            <w:vAlign w:val="center"/>
          </w:tcPr>
          <w:p>
            <w:pPr>
              <w:pStyle w:val="12"/>
            </w:pPr>
            <w:r>
              <w:t>100百分比</w:t>
            </w:r>
          </w:p>
        </w:tc>
        <w:tc>
          <w:tcPr>
            <w:tcW w:w="1276"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预算执行率</w:t>
            </w:r>
          </w:p>
        </w:tc>
        <w:tc>
          <w:tcPr>
            <w:tcW w:w="5386" w:type="dxa"/>
            <w:vAlign w:val="center"/>
          </w:tcPr>
          <w:p>
            <w:pPr>
              <w:pStyle w:val="12"/>
            </w:pPr>
            <w:r>
              <w:t>预算执行率=预算执行数/预算数*100%</w:t>
            </w:r>
          </w:p>
        </w:tc>
        <w:tc>
          <w:tcPr>
            <w:tcW w:w="2268" w:type="dxa"/>
            <w:vAlign w:val="center"/>
          </w:tcPr>
          <w:p>
            <w:pPr>
              <w:pStyle w:val="12"/>
            </w:pPr>
            <w:r>
              <w:t>≥80百分比</w:t>
            </w:r>
          </w:p>
        </w:tc>
        <w:tc>
          <w:tcPr>
            <w:tcW w:w="1276" w:type="dxa"/>
            <w:vAlign w:val="center"/>
          </w:tcPr>
          <w:p>
            <w:pPr>
              <w:pStyle w:val="12"/>
            </w:pPr>
            <w:r>
              <w:t>冀财政法【2023】49号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实际成本超概（预）算比率</w:t>
            </w:r>
          </w:p>
        </w:tc>
        <w:tc>
          <w:tcPr>
            <w:tcW w:w="5386" w:type="dxa"/>
            <w:vAlign w:val="center"/>
          </w:tcPr>
          <w:p>
            <w:pPr>
              <w:pStyle w:val="12"/>
            </w:pPr>
            <w:r>
              <w:t>实际成本超概（预）算比率=项目实际成本-项目预算成本/项目预算成本*100%</w:t>
            </w:r>
          </w:p>
        </w:tc>
        <w:tc>
          <w:tcPr>
            <w:tcW w:w="2268" w:type="dxa"/>
            <w:vAlign w:val="center"/>
          </w:tcPr>
          <w:p>
            <w:pPr>
              <w:pStyle w:val="12"/>
            </w:pPr>
            <w:r>
              <w:t>≤10百分比</w:t>
            </w:r>
          </w:p>
        </w:tc>
        <w:tc>
          <w:tcPr>
            <w:tcW w:w="1276" w:type="dxa"/>
            <w:vAlign w:val="center"/>
          </w:tcPr>
          <w:p>
            <w:pPr>
              <w:pStyle w:val="12"/>
            </w:pPr>
            <w:r>
              <w:t>冀财政法【2023】49号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公安局年度重点工作完成的</w:t>
            </w:r>
          </w:p>
          <w:p>
            <w:pPr>
              <w:pStyle w:val="12"/>
            </w:pPr>
            <w:r>
              <w:t>比率</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通过问卷调查人民群众对辖区内治安防范</w:t>
            </w:r>
          </w:p>
          <w:p>
            <w:pPr>
              <w:pStyle w:val="12"/>
            </w:pPr>
            <w:r>
              <w:t>工作反映满意和较满意的用户数占调查数之比</w:t>
            </w:r>
          </w:p>
        </w:tc>
        <w:tc>
          <w:tcPr>
            <w:tcW w:w="2268" w:type="dxa"/>
            <w:vAlign w:val="center"/>
          </w:tcPr>
          <w:p>
            <w:pPr>
              <w:pStyle w:val="12"/>
            </w:pPr>
            <w:r>
              <w:t>≥80百分比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10、冀财政法【2023】49号/中央/提前下达2024年中央政法纪检监察转移支付资金/装备绩效目标表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13052524P000010104516</w:t>
            </w:r>
          </w:p>
        </w:tc>
        <w:tc>
          <w:tcPr>
            <w:tcW w:w="2835" w:type="dxa"/>
            <w:vAlign w:val="center"/>
          </w:tcPr>
          <w:p>
            <w:pPr>
              <w:pStyle w:val="10"/>
            </w:pPr>
            <w:r>
              <w:t>项目名称</w:t>
            </w:r>
          </w:p>
        </w:tc>
        <w:tc>
          <w:tcPr>
            <w:tcW w:w="6095" w:type="dxa"/>
            <w:gridSpan w:val="3"/>
            <w:vAlign w:val="center"/>
          </w:tcPr>
          <w:p>
            <w:pPr>
              <w:pStyle w:val="12"/>
            </w:pPr>
            <w:r>
              <w:t>冀财政法【2023】49号/中央/提前下达2024年中央政法纪检监察转移支付资金/装备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205.00</w:t>
            </w:r>
          </w:p>
        </w:tc>
        <w:tc>
          <w:tcPr>
            <w:tcW w:w="2835" w:type="dxa"/>
            <w:vAlign w:val="center"/>
          </w:tcPr>
          <w:p>
            <w:pPr>
              <w:pStyle w:val="10"/>
            </w:pPr>
            <w:r>
              <w:t>其中：财政    资金</w:t>
            </w:r>
          </w:p>
        </w:tc>
        <w:tc>
          <w:tcPr>
            <w:tcW w:w="2551" w:type="dxa"/>
            <w:vAlign w:val="center"/>
          </w:tcPr>
          <w:p>
            <w:pPr>
              <w:pStyle w:val="12"/>
            </w:pPr>
            <w:r>
              <w:t>205.00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严格执行装备经费管理制度，为公安机关开展业务工作采购指挥通迅、刑事侦查、技术侦查、应急处突等专项设备，提高公安科技信息化建设水平，为公安工作提供科技支撑和信息技术保障。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1.严格执行装备经费管理制度，为公安机关开展业务工作采购指挥通迅、刑事侦查、技术侦查、应急处突等专项设备，提高公安科技信息化建设水平，为公安工作提供科技支撑和信息技术保障。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采购设备到位率</w:t>
            </w:r>
          </w:p>
        </w:tc>
        <w:tc>
          <w:tcPr>
            <w:tcW w:w="5386" w:type="dxa"/>
            <w:vAlign w:val="center"/>
          </w:tcPr>
          <w:p>
            <w:pPr>
              <w:pStyle w:val="12"/>
            </w:pPr>
            <w:r>
              <w:t>采购设备到位率=实际配置的设备数量/应配置的设备数量</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购置计划执行率</w:t>
            </w:r>
          </w:p>
        </w:tc>
        <w:tc>
          <w:tcPr>
            <w:tcW w:w="5386" w:type="dxa"/>
            <w:vAlign w:val="center"/>
          </w:tcPr>
          <w:p>
            <w:pPr>
              <w:pStyle w:val="12"/>
            </w:pPr>
            <w:r>
              <w:t>购置计划执行率=按计划及时购卖安装的设备/计划购买安装的设备*100%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采购总成本控制率</w:t>
            </w:r>
          </w:p>
        </w:tc>
        <w:tc>
          <w:tcPr>
            <w:tcW w:w="5386" w:type="dxa"/>
            <w:vAlign w:val="center"/>
          </w:tcPr>
          <w:p>
            <w:pPr>
              <w:pStyle w:val="12"/>
            </w:pPr>
            <w:r>
              <w:t>采购总成本控制率=实际采购总成/采购总预算成本*100%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重点工作完成的占全部重点</w:t>
            </w:r>
          </w:p>
          <w:p>
            <w:pPr>
              <w:pStyle w:val="12"/>
            </w:pPr>
            <w:r>
              <w:t>工作的比重</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业务保障能力提升率</w:t>
            </w:r>
          </w:p>
        </w:tc>
        <w:tc>
          <w:tcPr>
            <w:tcW w:w="5386" w:type="dxa"/>
            <w:vAlign w:val="center"/>
          </w:tcPr>
          <w:p>
            <w:pPr>
              <w:pStyle w:val="12"/>
            </w:pPr>
            <w:r>
              <w:t>购置对业务保障能力的提升比率</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设备用于率=设备实际使用时间/设备计划使用时间*100%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11、冀财政法【2023】50号/省级/提前下达2024年基层公检法司转移支付资金/办案业务绩效目标表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13052524P00001010452R</w:t>
            </w:r>
          </w:p>
        </w:tc>
        <w:tc>
          <w:tcPr>
            <w:tcW w:w="2835" w:type="dxa"/>
            <w:vAlign w:val="center"/>
          </w:tcPr>
          <w:p>
            <w:pPr>
              <w:pStyle w:val="10"/>
            </w:pPr>
            <w:r>
              <w:t>项目名称</w:t>
            </w:r>
          </w:p>
        </w:tc>
        <w:tc>
          <w:tcPr>
            <w:tcW w:w="6095" w:type="dxa"/>
            <w:gridSpan w:val="3"/>
            <w:vAlign w:val="center"/>
          </w:tcPr>
          <w:p>
            <w:pPr>
              <w:pStyle w:val="12"/>
            </w:pPr>
            <w:r>
              <w:t>冀财政法【2023】50号/省级/提前下达2024年基层公检法司转移支付资金/办案业务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182.00</w:t>
            </w:r>
          </w:p>
        </w:tc>
        <w:tc>
          <w:tcPr>
            <w:tcW w:w="2835" w:type="dxa"/>
            <w:vAlign w:val="center"/>
          </w:tcPr>
          <w:p>
            <w:pPr>
              <w:pStyle w:val="10"/>
            </w:pPr>
            <w:r>
              <w:t>其中：财政    资金</w:t>
            </w:r>
          </w:p>
        </w:tc>
        <w:tc>
          <w:tcPr>
            <w:tcW w:w="2551" w:type="dxa"/>
            <w:vAlign w:val="center"/>
          </w:tcPr>
          <w:p>
            <w:pPr>
              <w:pStyle w:val="12"/>
            </w:pPr>
            <w:r>
              <w:t>182.00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为各类行政刑事案件、经济犯罪案件、毒品、网络犯罪案件、食品药品安全、环境安全保卫工作的侦查、侦办提供有力的资金保障。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1.支持县级公安机关顺利完成治安防控、打击犯罪、侦查破案、扫黑除恶等专项工作，维护全县社会治安大局持续稳定。</w:t>
            </w:r>
            <w:r>
              <w:tab/>
            </w:r>
            <w:r>
              <w:tab/>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财政拨款总数/财政应拨款总数*100%</w:t>
            </w:r>
          </w:p>
        </w:tc>
        <w:tc>
          <w:tcPr>
            <w:tcW w:w="2268" w:type="dxa"/>
            <w:vAlign w:val="center"/>
          </w:tcPr>
          <w:p>
            <w:pPr>
              <w:pStyle w:val="12"/>
            </w:pPr>
            <w:r>
              <w:t>100百分比</w:t>
            </w:r>
          </w:p>
        </w:tc>
        <w:tc>
          <w:tcPr>
            <w:tcW w:w="1276"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预算执行率</w:t>
            </w:r>
          </w:p>
        </w:tc>
        <w:tc>
          <w:tcPr>
            <w:tcW w:w="5386" w:type="dxa"/>
            <w:vAlign w:val="center"/>
          </w:tcPr>
          <w:p>
            <w:pPr>
              <w:pStyle w:val="12"/>
            </w:pPr>
            <w:r>
              <w:t>预算执行率=预算执行数/预算数*100%</w:t>
            </w:r>
          </w:p>
        </w:tc>
        <w:tc>
          <w:tcPr>
            <w:tcW w:w="2268" w:type="dxa"/>
            <w:vAlign w:val="center"/>
          </w:tcPr>
          <w:p>
            <w:pPr>
              <w:pStyle w:val="12"/>
            </w:pPr>
            <w:r>
              <w:t>≥80百分比</w:t>
            </w:r>
          </w:p>
        </w:tc>
        <w:tc>
          <w:tcPr>
            <w:tcW w:w="1276"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实际成本超概（预）算比率</w:t>
            </w:r>
          </w:p>
        </w:tc>
        <w:tc>
          <w:tcPr>
            <w:tcW w:w="5386" w:type="dxa"/>
            <w:vAlign w:val="center"/>
          </w:tcPr>
          <w:p>
            <w:pPr>
              <w:pStyle w:val="12"/>
            </w:pPr>
            <w:r>
              <w:t>实际成本超概（预）算比率=项目实际成本-项目预算成本/项目预算成本*100%</w:t>
            </w:r>
          </w:p>
        </w:tc>
        <w:tc>
          <w:tcPr>
            <w:tcW w:w="2268" w:type="dxa"/>
            <w:vAlign w:val="center"/>
          </w:tcPr>
          <w:p>
            <w:pPr>
              <w:pStyle w:val="12"/>
            </w:pPr>
            <w:r>
              <w:t>≤10百分比</w:t>
            </w:r>
          </w:p>
        </w:tc>
        <w:tc>
          <w:tcPr>
            <w:tcW w:w="1276"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公安局年度重点工作完成的</w:t>
            </w:r>
          </w:p>
          <w:p>
            <w:pPr>
              <w:pStyle w:val="12"/>
            </w:pPr>
            <w:r>
              <w:t>比率</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通过问卷调查人民群众对辖区内治安防范</w:t>
            </w:r>
          </w:p>
          <w:p>
            <w:pPr>
              <w:pStyle w:val="12"/>
            </w:pPr>
            <w:r>
              <w:t>工作反映满意和较满意的用户数占调查数之比</w:t>
            </w:r>
          </w:p>
        </w:tc>
        <w:tc>
          <w:tcPr>
            <w:tcW w:w="2268" w:type="dxa"/>
            <w:vAlign w:val="center"/>
          </w:tcPr>
          <w:p>
            <w:pPr>
              <w:pStyle w:val="12"/>
            </w:pPr>
            <w:r>
              <w:t>≥80百分比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12、冀财政法【2023】50号/省级/提前下达2024年基层公检法司转移支付资金/装备绩效目标表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13052524P00001010453D</w:t>
            </w:r>
          </w:p>
        </w:tc>
        <w:tc>
          <w:tcPr>
            <w:tcW w:w="2835" w:type="dxa"/>
            <w:vAlign w:val="center"/>
          </w:tcPr>
          <w:p>
            <w:pPr>
              <w:pStyle w:val="10"/>
            </w:pPr>
            <w:r>
              <w:t>项目名称</w:t>
            </w:r>
          </w:p>
        </w:tc>
        <w:tc>
          <w:tcPr>
            <w:tcW w:w="6095" w:type="dxa"/>
            <w:gridSpan w:val="3"/>
            <w:vAlign w:val="center"/>
          </w:tcPr>
          <w:p>
            <w:pPr>
              <w:pStyle w:val="12"/>
            </w:pPr>
            <w:r>
              <w:t>冀财政法【2023】50号/省级/提前下达2024年基层公检法司转移支付资金/装备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117.00</w:t>
            </w:r>
          </w:p>
        </w:tc>
        <w:tc>
          <w:tcPr>
            <w:tcW w:w="2835" w:type="dxa"/>
            <w:vAlign w:val="center"/>
          </w:tcPr>
          <w:p>
            <w:pPr>
              <w:pStyle w:val="10"/>
            </w:pPr>
            <w:r>
              <w:t>其中：财政    资金</w:t>
            </w:r>
          </w:p>
        </w:tc>
        <w:tc>
          <w:tcPr>
            <w:tcW w:w="2551" w:type="dxa"/>
            <w:vAlign w:val="center"/>
          </w:tcPr>
          <w:p>
            <w:pPr>
              <w:pStyle w:val="12"/>
            </w:pPr>
            <w:r>
              <w:t>117.00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严格执行装备经费管理制度，为公安机关开展业务工作采购指挥通迅、刑事侦查、技术侦查、应急处突等专项设备，提高公安科技信息化建设水平，为公安工作提供科技支撑和信息技术保障。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1.严格执行装备经费管理制度，为公安机关开展业务工作采购指挥通迅、刑事侦查、技术侦查、应急处突等专项设备，提高公安科技信息化建设水平，为公安工作提供科技支撑和信息技术保障。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采购设备到位率</w:t>
            </w:r>
          </w:p>
        </w:tc>
        <w:tc>
          <w:tcPr>
            <w:tcW w:w="5386" w:type="dxa"/>
            <w:vAlign w:val="center"/>
          </w:tcPr>
          <w:p>
            <w:pPr>
              <w:pStyle w:val="12"/>
            </w:pPr>
            <w:r>
              <w:t>采购设备到位率=实际配置的设备数量/应配置的设备数量</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购置计划执行率</w:t>
            </w:r>
          </w:p>
        </w:tc>
        <w:tc>
          <w:tcPr>
            <w:tcW w:w="5386" w:type="dxa"/>
            <w:vAlign w:val="center"/>
          </w:tcPr>
          <w:p>
            <w:pPr>
              <w:pStyle w:val="12"/>
            </w:pPr>
            <w:r>
              <w:t>购置计划执行率=按计划及时购卖安装的设备/计划购买安装的设备*100%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采购总成本控制率</w:t>
            </w:r>
          </w:p>
        </w:tc>
        <w:tc>
          <w:tcPr>
            <w:tcW w:w="5386" w:type="dxa"/>
            <w:vAlign w:val="center"/>
          </w:tcPr>
          <w:p>
            <w:pPr>
              <w:pStyle w:val="12"/>
            </w:pPr>
            <w:r>
              <w:t>采购总成本控制率=实际采购总成/采购总预算成本*100%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重点工作完成的占全部重点</w:t>
            </w:r>
          </w:p>
          <w:p>
            <w:pPr>
              <w:pStyle w:val="12"/>
            </w:pPr>
            <w:r>
              <w:t>工作的比重</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业务保障能力提升率</w:t>
            </w:r>
          </w:p>
        </w:tc>
        <w:tc>
          <w:tcPr>
            <w:tcW w:w="5386" w:type="dxa"/>
            <w:vAlign w:val="center"/>
          </w:tcPr>
          <w:p>
            <w:pPr>
              <w:pStyle w:val="12"/>
            </w:pPr>
            <w:r>
              <w:t>购置对业务保障能力的提升比率</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设备用于率=设备实际使用时间/设备计划使用时间*100%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13、禁毒经费绩效目标表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13052524P000010100492</w:t>
            </w:r>
          </w:p>
        </w:tc>
        <w:tc>
          <w:tcPr>
            <w:tcW w:w="2835" w:type="dxa"/>
            <w:vAlign w:val="center"/>
          </w:tcPr>
          <w:p>
            <w:pPr>
              <w:pStyle w:val="10"/>
            </w:pPr>
            <w:r>
              <w:t>项目名称</w:t>
            </w:r>
          </w:p>
        </w:tc>
        <w:tc>
          <w:tcPr>
            <w:tcW w:w="6095" w:type="dxa"/>
            <w:gridSpan w:val="3"/>
            <w:vAlign w:val="center"/>
          </w:tcPr>
          <w:p>
            <w:pPr>
              <w:pStyle w:val="12"/>
            </w:pPr>
            <w: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组织、指导、协调、侦办全县毒品违法犯罪案件，重点用于禁毒执法部门案件侦查，鼓励公民举报毒品违法犯罪行为，涉毒犯罪得到有效防范和控制。</w:t>
            </w:r>
            <w:r>
              <w:tab/>
            </w:r>
            <w:r>
              <w:tab/>
            </w:r>
            <w:r>
              <w:tab/>
            </w:r>
            <w:r>
              <w:tab/>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1."组织、指导、协调、侦办全县毒品违法犯罪案件，重点用于禁毒执法部门案件侦查，鼓励公民举报毒品违法犯罪行为，涉毒犯罪得到有效防范和控制。</w:t>
            </w:r>
            <w:r>
              <w:tab/>
            </w:r>
            <w:r>
              <w:tab/>
            </w:r>
            <w:r>
              <w:tab/>
            </w:r>
            <w:r>
              <w:tab/>
            </w:r>
            <w:r>
              <w:tab/>
            </w:r>
            <w:r>
              <w:tab/>
            </w:r>
            <w:r>
              <w:t>"</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年度实际检测吸毒人数</w:t>
            </w:r>
          </w:p>
        </w:tc>
        <w:tc>
          <w:tcPr>
            <w:tcW w:w="5386" w:type="dxa"/>
            <w:vAlign w:val="center"/>
          </w:tcPr>
          <w:p>
            <w:pPr>
              <w:pStyle w:val="12"/>
            </w:pPr>
            <w:r>
              <w:t>年度实际检测吸毒人数</w:t>
            </w:r>
          </w:p>
        </w:tc>
        <w:tc>
          <w:tcPr>
            <w:tcW w:w="2268" w:type="dxa"/>
            <w:vAlign w:val="center"/>
          </w:tcPr>
          <w:p>
            <w:pPr>
              <w:pStyle w:val="12"/>
            </w:pPr>
            <w:r>
              <w:t>≥300人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吸毒人员查处率（%）</w:t>
            </w:r>
          </w:p>
        </w:tc>
        <w:tc>
          <w:tcPr>
            <w:tcW w:w="5386" w:type="dxa"/>
            <w:vAlign w:val="center"/>
          </w:tcPr>
          <w:p>
            <w:pPr>
              <w:pStyle w:val="12"/>
            </w:pPr>
            <w:r>
              <w:t>吸毒人员查处率（%）=吸毒人员查处数/吸毒人员应查处数*100%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各任务完成及时率（%）=禁毒各项任务及时完成数/禁毒各项任务总数*100%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实际成本超概（预）算比率</w:t>
            </w:r>
          </w:p>
        </w:tc>
        <w:tc>
          <w:tcPr>
            <w:tcW w:w="5386" w:type="dxa"/>
            <w:vAlign w:val="center"/>
          </w:tcPr>
          <w:p>
            <w:pPr>
              <w:pStyle w:val="12"/>
            </w:pPr>
            <w:r>
              <w:t>实际成本超概（预）算比率=项目实际成本-项目预算成本/项目预算成本*100%</w:t>
            </w:r>
          </w:p>
        </w:tc>
        <w:tc>
          <w:tcPr>
            <w:tcW w:w="2268" w:type="dxa"/>
            <w:vAlign w:val="center"/>
          </w:tcPr>
          <w:p>
            <w:pPr>
              <w:pStyle w:val="12"/>
            </w:pPr>
            <w:r>
              <w:t>≤10百分比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吸毒人员管控比率(%)</w:t>
            </w:r>
          </w:p>
        </w:tc>
        <w:tc>
          <w:tcPr>
            <w:tcW w:w="5386" w:type="dxa"/>
            <w:vAlign w:val="center"/>
          </w:tcPr>
          <w:p>
            <w:pPr>
              <w:pStyle w:val="12"/>
            </w:pPr>
            <w:r>
              <w:t>吸毒人员管控比率(%)=吸毒人员管控数/吸毒人员应列管数*100%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公众安全感指数(%)</w:t>
            </w:r>
          </w:p>
        </w:tc>
        <w:tc>
          <w:tcPr>
            <w:tcW w:w="5386" w:type="dxa"/>
            <w:vAlign w:val="center"/>
          </w:tcPr>
          <w:p>
            <w:pPr>
              <w:pStyle w:val="12"/>
            </w:pPr>
            <w:r>
              <w:t>对公安机关禁毒工作开展情况满意的人数査调查总人数的比率</w:t>
            </w:r>
          </w:p>
        </w:tc>
        <w:tc>
          <w:tcPr>
            <w:tcW w:w="2268" w:type="dxa"/>
            <w:vAlign w:val="center"/>
          </w:tcPr>
          <w:p>
            <w:pPr>
              <w:pStyle w:val="12"/>
            </w:pPr>
            <w:r>
              <w:t>≥80百分比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14、劳务派遣人员费用绩效目标表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13052524P00001010047T</w:t>
            </w:r>
          </w:p>
        </w:tc>
        <w:tc>
          <w:tcPr>
            <w:tcW w:w="2835" w:type="dxa"/>
            <w:vAlign w:val="center"/>
          </w:tcPr>
          <w:p>
            <w:pPr>
              <w:pStyle w:val="10"/>
            </w:pPr>
            <w:r>
              <w:t>项目名称</w:t>
            </w:r>
          </w:p>
        </w:tc>
        <w:tc>
          <w:tcPr>
            <w:tcW w:w="6095" w:type="dxa"/>
            <w:gridSpan w:val="3"/>
            <w:vAlign w:val="center"/>
          </w:tcPr>
          <w:p>
            <w:pPr>
              <w:pStyle w:val="12"/>
            </w:pPr>
            <w:r>
              <w:t>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1394.44</w:t>
            </w:r>
          </w:p>
        </w:tc>
        <w:tc>
          <w:tcPr>
            <w:tcW w:w="2835" w:type="dxa"/>
            <w:vAlign w:val="center"/>
          </w:tcPr>
          <w:p>
            <w:pPr>
              <w:pStyle w:val="10"/>
            </w:pPr>
            <w:r>
              <w:t>其中：财政    资金</w:t>
            </w:r>
          </w:p>
        </w:tc>
        <w:tc>
          <w:tcPr>
            <w:tcW w:w="2551" w:type="dxa"/>
            <w:vAlign w:val="center"/>
          </w:tcPr>
          <w:p>
            <w:pPr>
              <w:pStyle w:val="12"/>
            </w:pPr>
            <w:r>
              <w:t>1394.44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劳务派遣人员费用</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1.保障劳务派遣人员的各项福利待遇，使劳务派遣人员能够顺利完成本职工作</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劳务派遣人员经费发放准确率</w:t>
            </w:r>
          </w:p>
        </w:tc>
        <w:tc>
          <w:tcPr>
            <w:tcW w:w="5386" w:type="dxa"/>
            <w:vAlign w:val="center"/>
          </w:tcPr>
          <w:p>
            <w:pPr>
              <w:pStyle w:val="12"/>
            </w:pPr>
            <w:r>
              <w:t>计算发放准确的月数/实际发放月数*100%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劳务派遣人员经费按时发放率</w:t>
            </w:r>
          </w:p>
        </w:tc>
        <w:tc>
          <w:tcPr>
            <w:tcW w:w="5386" w:type="dxa"/>
            <w:vAlign w:val="center"/>
          </w:tcPr>
          <w:p>
            <w:pPr>
              <w:pStyle w:val="12"/>
            </w:pPr>
            <w:r>
              <w:t>按时发放月数/实际发放月数*100%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劳务派遣人员服装成本</w:t>
            </w:r>
          </w:p>
        </w:tc>
        <w:tc>
          <w:tcPr>
            <w:tcW w:w="5386" w:type="dxa"/>
            <w:vAlign w:val="center"/>
          </w:tcPr>
          <w:p>
            <w:pPr>
              <w:pStyle w:val="12"/>
            </w:pPr>
            <w:r>
              <w:t>劳务派遣人员服装成本</w:t>
            </w:r>
          </w:p>
        </w:tc>
        <w:tc>
          <w:tcPr>
            <w:tcW w:w="2268" w:type="dxa"/>
            <w:vAlign w:val="center"/>
          </w:tcPr>
          <w:p>
            <w:pPr>
              <w:pStyle w:val="12"/>
            </w:pPr>
            <w:r>
              <w:t>≤3500元/每人</w:t>
            </w:r>
          </w:p>
        </w:tc>
        <w:tc>
          <w:tcPr>
            <w:tcW w:w="1276" w:type="dxa"/>
            <w:vAlign w:val="center"/>
          </w:tcPr>
          <w:p>
            <w:pPr>
              <w:pStyle w:val="12"/>
            </w:pPr>
            <w:r>
              <w:t>按招录辅助警务人员实施意见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劳务派遣人员年度考核率</w:t>
            </w:r>
          </w:p>
        </w:tc>
        <w:tc>
          <w:tcPr>
            <w:tcW w:w="5386" w:type="dxa"/>
            <w:vAlign w:val="center"/>
          </w:tcPr>
          <w:p>
            <w:pPr>
              <w:pStyle w:val="12"/>
            </w:pPr>
            <w:r>
              <w:t>劳务派遣人员年度考核合格人数/劳务派遣人员总数</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公安局年度重点工作完成的比率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劳务派遣人员满意度调查</w:t>
            </w:r>
          </w:p>
        </w:tc>
        <w:tc>
          <w:tcPr>
            <w:tcW w:w="5386" w:type="dxa"/>
            <w:vAlign w:val="center"/>
          </w:tcPr>
          <w:p>
            <w:pPr>
              <w:pStyle w:val="12"/>
            </w:pPr>
            <w:r>
              <w:t>劳务派遣人员满意度调查满意或较满意之占之</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15、流动人口管理专项绩效目标表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13052524P00001010050D</w:t>
            </w:r>
          </w:p>
        </w:tc>
        <w:tc>
          <w:tcPr>
            <w:tcW w:w="2835" w:type="dxa"/>
            <w:vAlign w:val="center"/>
          </w:tcPr>
          <w:p>
            <w:pPr>
              <w:pStyle w:val="10"/>
            </w:pPr>
            <w:r>
              <w:t>项目名称</w:t>
            </w:r>
          </w:p>
        </w:tc>
        <w:tc>
          <w:tcPr>
            <w:tcW w:w="6095" w:type="dxa"/>
            <w:gridSpan w:val="3"/>
            <w:vAlign w:val="center"/>
          </w:tcPr>
          <w:p>
            <w:pPr>
              <w:pStyle w:val="12"/>
            </w:pPr>
            <w:r>
              <w:t>流动人口管理专项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51" w:type="dxa"/>
            <w:vAlign w:val="center"/>
          </w:tcPr>
          <w:p>
            <w:pPr>
              <w:pStyle w:val="12"/>
            </w:pPr>
            <w:r>
              <w:t>0.80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流动人口管理专项费用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1.通过信息采集、登记等手段，加强对流动人口的管理，掌握底数和变化情况，对流动人口中的工作对象进行列管，有效保障全县符合条件的流动人口《居住证》证件业务办理和持有需求。</w:t>
            </w:r>
            <w:r>
              <w:tab/>
            </w:r>
            <w:r>
              <w:tab/>
            </w:r>
            <w:r>
              <w:tab/>
            </w:r>
            <w:r>
              <w:tab/>
            </w:r>
            <w:r>
              <w:tab/>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流动人口暂住证持证率</w:t>
            </w:r>
          </w:p>
        </w:tc>
        <w:tc>
          <w:tcPr>
            <w:tcW w:w="5386" w:type="dxa"/>
            <w:vAlign w:val="center"/>
          </w:tcPr>
          <w:p>
            <w:pPr>
              <w:pStyle w:val="12"/>
            </w:pPr>
            <w:r>
              <w:t>流动人口暂住证持证率=流动人口暂住证持证数/流动人口暂住证应持证人数</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重点人口管控率</w:t>
            </w:r>
          </w:p>
        </w:tc>
        <w:tc>
          <w:tcPr>
            <w:tcW w:w="5386" w:type="dxa"/>
            <w:vAlign w:val="center"/>
          </w:tcPr>
          <w:p>
            <w:pPr>
              <w:pStyle w:val="12"/>
            </w:pPr>
            <w:r>
              <w:t>重点人口管控率=实际管控人数/应列管人数</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各项工作完成及时率=流动人口各项工作及时完成数/流动人口各项工作总数</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预算资金控制数</w:t>
            </w:r>
          </w:p>
        </w:tc>
        <w:tc>
          <w:tcPr>
            <w:tcW w:w="5386" w:type="dxa"/>
            <w:vAlign w:val="center"/>
          </w:tcPr>
          <w:p>
            <w:pPr>
              <w:pStyle w:val="12"/>
            </w:pPr>
            <w:r>
              <w:t>预算资金控制数</w:t>
            </w:r>
          </w:p>
        </w:tc>
        <w:tc>
          <w:tcPr>
            <w:tcW w:w="2268" w:type="dxa"/>
            <w:vAlign w:val="center"/>
          </w:tcPr>
          <w:p>
            <w:pPr>
              <w:pStyle w:val="12"/>
            </w:pPr>
            <w:r>
              <w:t>≤0.8万元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重点工作完成率=重点工作完成数/重点工作总数</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16、隆尧县公安局＂视频图像智能化应用＂中心平台建设项目绩效目标表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13052524P00001010059X</w:t>
            </w:r>
          </w:p>
        </w:tc>
        <w:tc>
          <w:tcPr>
            <w:tcW w:w="2835" w:type="dxa"/>
            <w:vAlign w:val="center"/>
          </w:tcPr>
          <w:p>
            <w:pPr>
              <w:pStyle w:val="10"/>
            </w:pPr>
            <w:r>
              <w:t>项目名称</w:t>
            </w:r>
          </w:p>
        </w:tc>
        <w:tc>
          <w:tcPr>
            <w:tcW w:w="6095" w:type="dxa"/>
            <w:gridSpan w:val="3"/>
            <w:vAlign w:val="center"/>
          </w:tcPr>
          <w:p>
            <w:pPr>
              <w:pStyle w:val="12"/>
            </w:pPr>
            <w:r>
              <w:t>隆尧县公安局＂视频图像智能化应用＂中心平台建设项目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支付隆尧县公安局＂视频图像智能化应用＂中心平台建设项目款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1.及时足额支付隆尧县公安局＂视频图像智能化应用＂中心平台建设项目款</w:t>
            </w:r>
            <w:r>
              <w:tab/>
            </w:r>
            <w:r>
              <w:tab/>
            </w:r>
          </w:p>
          <w:p>
            <w:pPr>
              <w:pStyle w:val="12"/>
            </w:pP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≤154.59万元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监控覆盖社区内案件下降率（%）</w:t>
            </w:r>
          </w:p>
        </w:tc>
        <w:tc>
          <w:tcPr>
            <w:tcW w:w="5386" w:type="dxa"/>
            <w:vAlign w:val="center"/>
          </w:tcPr>
          <w:p>
            <w:pPr>
              <w:pStyle w:val="12"/>
            </w:pPr>
            <w:r>
              <w:t>监控覆盖区域内案件数量以往年度下降百分比</w:t>
            </w:r>
          </w:p>
        </w:tc>
        <w:tc>
          <w:tcPr>
            <w:tcW w:w="2268" w:type="dxa"/>
            <w:vAlign w:val="center"/>
          </w:tcPr>
          <w:p>
            <w:pPr>
              <w:pStyle w:val="12"/>
            </w:pPr>
            <w:r>
              <w:t>≥80百分比</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视频图像智能化应用平台实际使用率</w:t>
            </w:r>
          </w:p>
        </w:tc>
        <w:tc>
          <w:tcPr>
            <w:tcW w:w="5386" w:type="dxa"/>
            <w:vAlign w:val="center"/>
          </w:tcPr>
          <w:p>
            <w:pPr>
              <w:pStyle w:val="12"/>
            </w:pPr>
            <w:r>
              <w:t>视频图像智能化应用平台实际使用率=视频图像智能化应用平台实际使用时间/视频图像智能化应用平台计划使用时间*100%</w:t>
            </w:r>
          </w:p>
        </w:tc>
        <w:tc>
          <w:tcPr>
            <w:tcW w:w="2268" w:type="dxa"/>
            <w:vAlign w:val="center"/>
          </w:tcPr>
          <w:p>
            <w:pPr>
              <w:pStyle w:val="12"/>
            </w:pPr>
            <w:r>
              <w:t>≥90百分比</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17、人民警察执勤岗位津贴及法定工作日之外加班补贴绩效目标表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13052524P00001010048E</w:t>
            </w:r>
          </w:p>
        </w:tc>
        <w:tc>
          <w:tcPr>
            <w:tcW w:w="2835" w:type="dxa"/>
            <w:vAlign w:val="center"/>
          </w:tcPr>
          <w:p>
            <w:pPr>
              <w:pStyle w:val="10"/>
            </w:pPr>
            <w:r>
              <w:t>项目名称</w:t>
            </w:r>
          </w:p>
        </w:tc>
        <w:tc>
          <w:tcPr>
            <w:tcW w:w="6095" w:type="dxa"/>
            <w:gridSpan w:val="3"/>
            <w:vAlign w:val="center"/>
          </w:tcPr>
          <w:p>
            <w:pPr>
              <w:pStyle w:val="12"/>
            </w:pPr>
            <w:r>
              <w:t>人民警察执勤岗位津贴及法定工作日之外加班补贴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320.00</w:t>
            </w:r>
          </w:p>
        </w:tc>
        <w:tc>
          <w:tcPr>
            <w:tcW w:w="2835" w:type="dxa"/>
            <w:vAlign w:val="center"/>
          </w:tcPr>
          <w:p>
            <w:pPr>
              <w:pStyle w:val="10"/>
            </w:pPr>
            <w:r>
              <w:t>其中：财政    资金</w:t>
            </w:r>
          </w:p>
        </w:tc>
        <w:tc>
          <w:tcPr>
            <w:tcW w:w="2551" w:type="dxa"/>
            <w:vAlign w:val="center"/>
          </w:tcPr>
          <w:p>
            <w:pPr>
              <w:pStyle w:val="12"/>
            </w:pPr>
            <w:r>
              <w:t>320.00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"依据人社部规【2017】9号、10号、冀人社字【2017】176号、177号邢人社发[2017]39号、40号文件精神以及县公安局人民警察执勤岗位津贴及法定工作日之外加班补贴发放的相关制度，确保及时足额发放。</w:t>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1.依据人社部规【2017】9号、10号、冀人社字【2017】176号、177号邢人社发[2017]39号、40号文件精神以及县公安局人民警察执勤岗位津贴及法定工作日之外加班补贴发放的相关制度，确保及时足额发放。</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享有加班补贴的人民警察人数</w:t>
            </w:r>
          </w:p>
        </w:tc>
        <w:tc>
          <w:tcPr>
            <w:tcW w:w="5386" w:type="dxa"/>
            <w:vAlign w:val="center"/>
          </w:tcPr>
          <w:p>
            <w:pPr>
              <w:pStyle w:val="12"/>
            </w:pPr>
            <w:r>
              <w:t>上年末国家政法专项编制内人民警察实有人数（期间有增减变化的以人事门部提供</w:t>
            </w:r>
          </w:p>
        </w:tc>
        <w:tc>
          <w:tcPr>
            <w:tcW w:w="2268" w:type="dxa"/>
            <w:vAlign w:val="center"/>
          </w:tcPr>
          <w:p>
            <w:pPr>
              <w:pStyle w:val="12"/>
            </w:pPr>
            <w:r>
              <w:t>213人</w:t>
            </w:r>
          </w:p>
        </w:tc>
        <w:tc>
          <w:tcPr>
            <w:tcW w:w="1276" w:type="dxa"/>
            <w:vAlign w:val="center"/>
          </w:tcPr>
          <w:p>
            <w:pPr>
              <w:pStyle w:val="12"/>
            </w:pPr>
            <w:r>
              <w:t>邢人社发[2017]39号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享有执勤津贴有人民警察人数</w:t>
            </w:r>
          </w:p>
        </w:tc>
        <w:tc>
          <w:tcPr>
            <w:tcW w:w="5386" w:type="dxa"/>
            <w:vAlign w:val="center"/>
          </w:tcPr>
          <w:p>
            <w:pPr>
              <w:pStyle w:val="12"/>
            </w:pPr>
            <w:r>
              <w:t>上年末国家政法专项编制内人民警察实有人数（期间有增减变化的以人事门部提供</w:t>
            </w:r>
          </w:p>
          <w:p>
            <w:pPr>
              <w:pStyle w:val="12"/>
            </w:pPr>
            <w:r>
              <w:t>的相关手续为依据）</w:t>
            </w:r>
          </w:p>
          <w:p>
            <w:pPr>
              <w:pStyle w:val="12"/>
            </w:pPr>
          </w:p>
        </w:tc>
        <w:tc>
          <w:tcPr>
            <w:tcW w:w="2268" w:type="dxa"/>
            <w:vAlign w:val="center"/>
          </w:tcPr>
          <w:p>
            <w:pPr>
              <w:pStyle w:val="12"/>
            </w:pPr>
            <w:r>
              <w:t>213人</w:t>
            </w:r>
          </w:p>
        </w:tc>
        <w:tc>
          <w:tcPr>
            <w:tcW w:w="1276" w:type="dxa"/>
            <w:vAlign w:val="center"/>
          </w:tcPr>
          <w:p>
            <w:pPr>
              <w:pStyle w:val="12"/>
            </w:pPr>
            <w:r>
              <w:t>邢人社发[2017]40号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津补贴发放覆盖率</w:t>
            </w:r>
          </w:p>
        </w:tc>
        <w:tc>
          <w:tcPr>
            <w:tcW w:w="5386" w:type="dxa"/>
            <w:vAlign w:val="center"/>
          </w:tcPr>
          <w:p>
            <w:pPr>
              <w:pStyle w:val="12"/>
            </w:pPr>
            <w:r>
              <w:t>津补贴发放覆盖率=实际发放值勤津贴、加班补贴总额/应</w:t>
            </w:r>
          </w:p>
          <w:p>
            <w:pPr>
              <w:pStyle w:val="12"/>
            </w:pPr>
            <w:r>
              <w:t>发值勤津贴、加班补贴总额*100%</w:t>
            </w:r>
          </w:p>
          <w:p>
            <w:pPr>
              <w:pStyle w:val="12"/>
            </w:pPr>
          </w:p>
        </w:tc>
        <w:tc>
          <w:tcPr>
            <w:tcW w:w="2268" w:type="dxa"/>
            <w:vAlign w:val="center"/>
          </w:tcPr>
          <w:p>
            <w:pPr>
              <w:pStyle w:val="12"/>
            </w:pPr>
            <w:r>
              <w:t>≥95百分比</w:t>
            </w:r>
          </w:p>
        </w:tc>
        <w:tc>
          <w:tcPr>
            <w:tcW w:w="1276" w:type="dxa"/>
            <w:vAlign w:val="center"/>
          </w:tcPr>
          <w:p>
            <w:pPr>
              <w:pStyle w:val="12"/>
            </w:pPr>
            <w:r>
              <w:t>邢人社发[2017]39号、40号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津补贴发放及时率</w:t>
            </w:r>
          </w:p>
        </w:tc>
        <w:tc>
          <w:tcPr>
            <w:tcW w:w="5386" w:type="dxa"/>
            <w:vAlign w:val="center"/>
          </w:tcPr>
          <w:p>
            <w:pPr>
              <w:pStyle w:val="12"/>
            </w:pPr>
            <w:r>
              <w:t>津补贴发放及时率=按时发放的月数/实际发放</w:t>
            </w:r>
          </w:p>
          <w:p>
            <w:pPr>
              <w:pStyle w:val="12"/>
            </w:pPr>
            <w:r>
              <w:t>月数*100%</w:t>
            </w:r>
          </w:p>
        </w:tc>
        <w:tc>
          <w:tcPr>
            <w:tcW w:w="2268" w:type="dxa"/>
            <w:vAlign w:val="center"/>
          </w:tcPr>
          <w:p>
            <w:pPr>
              <w:pStyle w:val="12"/>
            </w:pPr>
            <w:r>
              <w:t>≥95百分比</w:t>
            </w:r>
          </w:p>
        </w:tc>
        <w:tc>
          <w:tcPr>
            <w:tcW w:w="1276" w:type="dxa"/>
            <w:vAlign w:val="center"/>
          </w:tcPr>
          <w:p>
            <w:pPr>
              <w:pStyle w:val="12"/>
            </w:pPr>
            <w:r>
              <w:t>邢人社发[2017]39号、40号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p>
          <w:p>
            <w:pPr>
              <w:pStyle w:val="12"/>
            </w:pPr>
            <w:r>
              <w:t>加班补贴发放总成本</w:t>
            </w:r>
          </w:p>
          <w:p>
            <w:pPr>
              <w:pStyle w:val="12"/>
            </w:pPr>
          </w:p>
        </w:tc>
        <w:tc>
          <w:tcPr>
            <w:tcW w:w="5386" w:type="dxa"/>
            <w:vAlign w:val="center"/>
          </w:tcPr>
          <w:p>
            <w:pPr>
              <w:pStyle w:val="12"/>
            </w:pPr>
            <w:r>
              <w:tab/>
            </w:r>
            <w:r>
              <w:t>年度加班补贴总额,按每人每月 710 元的标准实行总量管理</w:t>
            </w:r>
          </w:p>
        </w:tc>
        <w:tc>
          <w:tcPr>
            <w:tcW w:w="2268" w:type="dxa"/>
            <w:vAlign w:val="center"/>
          </w:tcPr>
          <w:p>
            <w:pPr>
              <w:pStyle w:val="12"/>
            </w:pPr>
            <w:r>
              <w:t>≤185万元</w:t>
            </w:r>
          </w:p>
        </w:tc>
        <w:tc>
          <w:tcPr>
            <w:tcW w:w="1276" w:type="dxa"/>
            <w:vAlign w:val="center"/>
          </w:tcPr>
          <w:p>
            <w:pPr>
              <w:pStyle w:val="12"/>
            </w:pPr>
            <w:r>
              <w:t>邢人社发[2017]39号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单位年终考核成绩</w:t>
            </w:r>
          </w:p>
        </w:tc>
        <w:tc>
          <w:tcPr>
            <w:tcW w:w="5386" w:type="dxa"/>
            <w:vAlign w:val="center"/>
          </w:tcPr>
          <w:p>
            <w:pPr>
              <w:pStyle w:val="12"/>
            </w:pPr>
            <w:r>
              <w:t>县委对公安局的年终考核成绩</w:t>
            </w:r>
          </w:p>
        </w:tc>
        <w:tc>
          <w:tcPr>
            <w:tcW w:w="2268" w:type="dxa"/>
            <w:vAlign w:val="center"/>
          </w:tcPr>
          <w:p>
            <w:pPr>
              <w:pStyle w:val="12"/>
            </w:pPr>
            <w:r>
              <w:t>≥95百分比</w:t>
            </w:r>
          </w:p>
        </w:tc>
        <w:tc>
          <w:tcPr>
            <w:tcW w:w="1276" w:type="dxa"/>
            <w:vAlign w:val="center"/>
          </w:tcPr>
          <w:p>
            <w:pPr>
              <w:pStyle w:val="12"/>
            </w:pPr>
            <w:r>
              <w:t>邢人社发[2017]39号、40号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通过问卷调查对执勤岗位津贴、加班补贴发放工作反映满意和较满意的人民警察占调查数之比</w:t>
            </w:r>
          </w:p>
        </w:tc>
        <w:tc>
          <w:tcPr>
            <w:tcW w:w="2268" w:type="dxa"/>
            <w:vAlign w:val="center"/>
          </w:tcPr>
          <w:p>
            <w:pPr>
              <w:pStyle w:val="12"/>
            </w:pPr>
            <w:r>
              <w:t>≥95百分比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18、扫黑除恶专项经费绩效目标表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13052524P00001010057N</w:t>
            </w:r>
          </w:p>
        </w:tc>
        <w:tc>
          <w:tcPr>
            <w:tcW w:w="2835" w:type="dxa"/>
            <w:vAlign w:val="center"/>
          </w:tcPr>
          <w:p>
            <w:pPr>
              <w:pStyle w:val="10"/>
            </w:pPr>
            <w:r>
              <w:t>项目名称</w:t>
            </w:r>
          </w:p>
        </w:tc>
        <w:tc>
          <w:tcPr>
            <w:tcW w:w="6095" w:type="dxa"/>
            <w:gridSpan w:val="3"/>
            <w:vAlign w:val="center"/>
          </w:tcPr>
          <w:p>
            <w:pPr>
              <w:pStyle w:val="12"/>
            </w:pPr>
            <w: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w:t>
            </w:r>
          </w:p>
        </w:tc>
        <w:tc>
          <w:tcPr>
            <w:tcW w:w="2835" w:type="dxa"/>
            <w:vAlign w:val="center"/>
          </w:tcPr>
          <w:p>
            <w:pPr>
              <w:pStyle w:val="10"/>
            </w:pPr>
            <w:r>
              <w:t>其中：财政    资金</w:t>
            </w:r>
          </w:p>
        </w:tc>
        <w:tc>
          <w:tcPr>
            <w:tcW w:w="2551" w:type="dxa"/>
            <w:vAlign w:val="center"/>
          </w:tcPr>
          <w:p>
            <w:pPr>
              <w:pStyle w:val="12"/>
            </w:pPr>
            <w:r>
              <w:t>6.40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扫黑除恶专项经费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1.全力维护社会稳定持续推动扫黑除恶专项行动，为扫黑除恶案件侦办提供资金保障。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重大案件（事件）破案率</w:t>
            </w:r>
          </w:p>
        </w:tc>
        <w:tc>
          <w:tcPr>
            <w:tcW w:w="5386" w:type="dxa"/>
            <w:vAlign w:val="center"/>
          </w:tcPr>
          <w:p>
            <w:pPr>
              <w:pStyle w:val="12"/>
            </w:pPr>
            <w:r>
              <w:t>重大案件（事件）破案=重大案件（事件）破案数/重大案件（事件）立案数*100%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诉讼期限内案件审结率</w:t>
            </w:r>
          </w:p>
        </w:tc>
        <w:tc>
          <w:tcPr>
            <w:tcW w:w="5386" w:type="dxa"/>
            <w:vAlign w:val="center"/>
          </w:tcPr>
          <w:p>
            <w:pPr>
              <w:pStyle w:val="12"/>
            </w:pPr>
            <w:r>
              <w:t>诉讼期限内案件审结率</w:t>
            </w:r>
          </w:p>
          <w:p>
            <w:pPr>
              <w:pStyle w:val="12"/>
            </w:pPr>
            <w:r>
              <w:t>=诉讼期限内审结案件/诉讼期限内应审结案件*100%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涉黑案件处理及时率</w:t>
            </w:r>
          </w:p>
        </w:tc>
        <w:tc>
          <w:tcPr>
            <w:tcW w:w="5386" w:type="dxa"/>
            <w:vAlign w:val="center"/>
          </w:tcPr>
          <w:p>
            <w:pPr>
              <w:pStyle w:val="12"/>
            </w:pPr>
            <w:r>
              <w:t>涉黑案件处理及时率</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≤25万元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调查问卷表示满意和较满意的占服务对象之比</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19、涉案仓库租赁费绩效目标表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13052524P000010100538</w:t>
            </w:r>
          </w:p>
        </w:tc>
        <w:tc>
          <w:tcPr>
            <w:tcW w:w="2835" w:type="dxa"/>
            <w:vAlign w:val="center"/>
          </w:tcPr>
          <w:p>
            <w:pPr>
              <w:pStyle w:val="10"/>
            </w:pPr>
            <w:r>
              <w:t>项目名称</w:t>
            </w:r>
          </w:p>
        </w:tc>
        <w:tc>
          <w:tcPr>
            <w:tcW w:w="6095" w:type="dxa"/>
            <w:gridSpan w:val="3"/>
            <w:vAlign w:val="center"/>
          </w:tcPr>
          <w:p>
            <w:pPr>
              <w:pStyle w:val="12"/>
            </w:pPr>
            <w:r>
              <w:t>涉案仓库租赁费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9.07</w:t>
            </w:r>
          </w:p>
        </w:tc>
        <w:tc>
          <w:tcPr>
            <w:tcW w:w="2835" w:type="dxa"/>
            <w:vAlign w:val="center"/>
          </w:tcPr>
          <w:p>
            <w:pPr>
              <w:pStyle w:val="10"/>
            </w:pPr>
            <w:r>
              <w:t>其中：财政    资金</w:t>
            </w:r>
          </w:p>
        </w:tc>
        <w:tc>
          <w:tcPr>
            <w:tcW w:w="2551" w:type="dxa"/>
            <w:vAlign w:val="center"/>
          </w:tcPr>
          <w:p>
            <w:pPr>
              <w:pStyle w:val="12"/>
            </w:pPr>
            <w:r>
              <w:t>9.07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涉案仓库租赁费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1."为进一步规范涉案财物管理，确保各类涉众经济犯罪、扫黑除恶等案件中涉案物品能够规范管理，</w:t>
            </w:r>
            <w:r>
              <w:tab/>
            </w:r>
            <w:r>
              <w:tab/>
            </w:r>
            <w:r>
              <w:tab/>
            </w:r>
            <w:r>
              <w:tab/>
            </w:r>
            <w:r>
              <w:tab/>
            </w:r>
            <w:r>
              <w:tab/>
            </w: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租金支付及时率</w:t>
            </w:r>
          </w:p>
        </w:tc>
        <w:tc>
          <w:tcPr>
            <w:tcW w:w="5386" w:type="dxa"/>
            <w:vAlign w:val="center"/>
          </w:tcPr>
          <w:p>
            <w:pPr>
              <w:pStyle w:val="12"/>
            </w:pPr>
            <w:r>
              <w:t>租金支付及时率=按照合同约定时间及时向供应商支付资金数/按照合同约定应向供应商支付资金总数</w:t>
            </w:r>
          </w:p>
        </w:tc>
        <w:tc>
          <w:tcPr>
            <w:tcW w:w="2268" w:type="dxa"/>
            <w:vAlign w:val="center"/>
          </w:tcPr>
          <w:p>
            <w:pPr>
              <w:pStyle w:val="12"/>
            </w:pPr>
            <w:r>
              <w:t>≥90百分比</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按预算资金完成率</w:t>
            </w:r>
          </w:p>
        </w:tc>
        <w:tc>
          <w:tcPr>
            <w:tcW w:w="5386" w:type="dxa"/>
            <w:vAlign w:val="center"/>
          </w:tcPr>
          <w:p>
            <w:pPr>
              <w:pStyle w:val="12"/>
            </w:pPr>
            <w:r>
              <w:t>按预算资金完成率=预算资金实际完成数/预算资金计划完成数</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场地平方米</w:t>
            </w:r>
          </w:p>
        </w:tc>
        <w:tc>
          <w:tcPr>
            <w:tcW w:w="5386" w:type="dxa"/>
            <w:vAlign w:val="center"/>
          </w:tcPr>
          <w:p>
            <w:pPr>
              <w:pStyle w:val="12"/>
            </w:pPr>
            <w:r>
              <w:t>按合同依据取得涉案仓库面积及使用权</w:t>
            </w:r>
          </w:p>
        </w:tc>
        <w:tc>
          <w:tcPr>
            <w:tcW w:w="2268" w:type="dxa"/>
            <w:vAlign w:val="center"/>
          </w:tcPr>
          <w:p>
            <w:pPr>
              <w:pStyle w:val="12"/>
            </w:pPr>
            <w:r>
              <w:t>1080平方米</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收藏及保管物品完好率</w:t>
            </w:r>
          </w:p>
        </w:tc>
        <w:tc>
          <w:tcPr>
            <w:tcW w:w="5386" w:type="dxa"/>
            <w:vAlign w:val="center"/>
          </w:tcPr>
          <w:p>
            <w:pPr>
              <w:pStyle w:val="12"/>
            </w:pPr>
            <w:r>
              <w:t>收藏及保管物品完好=收藏及保管物品完好数/收藏及保管物品总数</w:t>
            </w:r>
          </w:p>
        </w:tc>
        <w:tc>
          <w:tcPr>
            <w:tcW w:w="2268" w:type="dxa"/>
            <w:vAlign w:val="center"/>
          </w:tcPr>
          <w:p>
            <w:pPr>
              <w:pStyle w:val="12"/>
            </w:pPr>
            <w:r>
              <w:t>≥80百分比</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涉案物品存放工作完成率</w:t>
            </w:r>
          </w:p>
        </w:tc>
        <w:tc>
          <w:tcPr>
            <w:tcW w:w="5386" w:type="dxa"/>
            <w:vAlign w:val="center"/>
          </w:tcPr>
          <w:p>
            <w:pPr>
              <w:pStyle w:val="12"/>
            </w:pPr>
            <w:r>
              <w:t>保障各类涉案财物物资规范存工作完成的比率</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通过问卷对各类涉案财物存放工作满意程度进行调查</w:t>
            </w:r>
          </w:p>
        </w:tc>
        <w:tc>
          <w:tcPr>
            <w:tcW w:w="2268" w:type="dxa"/>
            <w:vAlign w:val="center"/>
          </w:tcPr>
          <w:p>
            <w:pPr>
              <w:pStyle w:val="12"/>
            </w:pPr>
            <w:r>
              <w:t>≥95百分比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20、天网工程维修费绩效目标表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13052524P000010100563</w:t>
            </w:r>
          </w:p>
        </w:tc>
        <w:tc>
          <w:tcPr>
            <w:tcW w:w="2835" w:type="dxa"/>
            <w:vAlign w:val="center"/>
          </w:tcPr>
          <w:p>
            <w:pPr>
              <w:pStyle w:val="10"/>
            </w:pPr>
            <w:r>
              <w:t>项目名称</w:t>
            </w:r>
          </w:p>
        </w:tc>
        <w:tc>
          <w:tcPr>
            <w:tcW w:w="6095" w:type="dxa"/>
            <w:gridSpan w:val="3"/>
            <w:vAlign w:val="center"/>
          </w:tcPr>
          <w:p>
            <w:pPr>
              <w:pStyle w:val="12"/>
            </w:pPr>
            <w:r>
              <w:t>天网工程维修费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保障“天网工程”四级网正常运行，进行日常维护。</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1.保障“天网工程”四级网正常运行，进行日常维护。</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天网工程前端点位数量</w:t>
            </w:r>
          </w:p>
        </w:tc>
        <w:tc>
          <w:tcPr>
            <w:tcW w:w="5386" w:type="dxa"/>
            <w:vAlign w:val="center"/>
          </w:tcPr>
          <w:p>
            <w:pPr>
              <w:pStyle w:val="12"/>
            </w:pPr>
            <w:r>
              <w:t>天网工程前端点位数量</w:t>
            </w:r>
          </w:p>
        </w:tc>
        <w:tc>
          <w:tcPr>
            <w:tcW w:w="2268" w:type="dxa"/>
            <w:vAlign w:val="center"/>
          </w:tcPr>
          <w:p>
            <w:pPr>
              <w:pStyle w:val="12"/>
            </w:pPr>
            <w:r>
              <w:t>≥950点位</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监控平台平均月正常运行率</w:t>
            </w:r>
          </w:p>
        </w:tc>
        <w:tc>
          <w:tcPr>
            <w:tcW w:w="5386" w:type="dxa"/>
            <w:vAlign w:val="center"/>
          </w:tcPr>
          <w:p>
            <w:pPr>
              <w:pStyle w:val="12"/>
            </w:pPr>
            <w:r>
              <w:t>正常运行的监控平台月平均数量/监控平台的总数量*100%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日常巡查维修及时率</w:t>
            </w:r>
          </w:p>
        </w:tc>
        <w:tc>
          <w:tcPr>
            <w:tcW w:w="5386" w:type="dxa"/>
            <w:vAlign w:val="center"/>
          </w:tcPr>
          <w:p>
            <w:pPr>
              <w:pStyle w:val="12"/>
            </w:pPr>
            <w:r>
              <w:t>有记录的巡查维修到场次数占规定巡查维修到场次数的比率</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天网工程维修费用</w:t>
            </w:r>
          </w:p>
        </w:tc>
        <w:tc>
          <w:tcPr>
            <w:tcW w:w="5386" w:type="dxa"/>
            <w:vAlign w:val="center"/>
          </w:tcPr>
          <w:p>
            <w:pPr>
              <w:pStyle w:val="12"/>
            </w:pPr>
            <w:r>
              <w:t>维护及修复每年实际支出的费用</w:t>
            </w:r>
          </w:p>
        </w:tc>
        <w:tc>
          <w:tcPr>
            <w:tcW w:w="2268" w:type="dxa"/>
            <w:vAlign w:val="center"/>
          </w:tcPr>
          <w:p>
            <w:pPr>
              <w:pStyle w:val="12"/>
            </w:pPr>
            <w:r>
              <w:t>≤10万元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天网工程利用率</w:t>
            </w:r>
          </w:p>
        </w:tc>
        <w:tc>
          <w:tcPr>
            <w:tcW w:w="5386" w:type="dxa"/>
            <w:vAlign w:val="center"/>
          </w:tcPr>
          <w:p>
            <w:pPr>
              <w:pStyle w:val="12"/>
            </w:pPr>
            <w:r>
              <w:t>查询天网系统的案件数目占总立案数的比率</w:t>
            </w:r>
          </w:p>
        </w:tc>
        <w:tc>
          <w:tcPr>
            <w:tcW w:w="2268" w:type="dxa"/>
            <w:vAlign w:val="center"/>
          </w:tcPr>
          <w:p>
            <w:pPr>
              <w:pStyle w:val="12"/>
            </w:pPr>
            <w:r>
              <w:t>≥60百分比</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21、邢财行【2023】13号/2023年中央政法纪检监察转移支付（司法救助）资金绩效目标表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13052523P00000410318P</w:t>
            </w:r>
          </w:p>
        </w:tc>
        <w:tc>
          <w:tcPr>
            <w:tcW w:w="2835" w:type="dxa"/>
            <w:vAlign w:val="center"/>
          </w:tcPr>
          <w:p>
            <w:pPr>
              <w:pStyle w:val="10"/>
            </w:pPr>
            <w:r>
              <w:t>项目名称</w:t>
            </w:r>
          </w:p>
        </w:tc>
        <w:tc>
          <w:tcPr>
            <w:tcW w:w="6095" w:type="dxa"/>
            <w:gridSpan w:val="3"/>
            <w:vAlign w:val="center"/>
          </w:tcPr>
          <w:p>
            <w:pPr>
              <w:pStyle w:val="12"/>
            </w:pPr>
            <w:r>
              <w:t>邢财行【2023】13号/2023年中央政法纪检监察转移支付（司法救助）资金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用于困难群众的司法救助。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 xml:space="preserve"> </w:t>
            </w: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1.用于困难群众的司法救助。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1人</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司法救助率(%)</w:t>
            </w:r>
          </w:p>
        </w:tc>
        <w:tc>
          <w:tcPr>
            <w:tcW w:w="5386" w:type="dxa"/>
            <w:vAlign w:val="center"/>
          </w:tcPr>
          <w:p>
            <w:pPr>
              <w:pStyle w:val="12"/>
            </w:pPr>
            <w:r>
              <w:t>司法救助率(%)</w:t>
            </w:r>
          </w:p>
        </w:tc>
        <w:tc>
          <w:tcPr>
            <w:tcW w:w="2268" w:type="dxa"/>
            <w:vAlign w:val="center"/>
          </w:tcPr>
          <w:p>
            <w:pPr>
              <w:pStyle w:val="12"/>
            </w:pPr>
            <w:r>
              <w:t>≥95百分比</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≥95百分比</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≤10万元</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tc>
        <w:tc>
          <w:tcPr>
            <w:tcW w:w="2268" w:type="dxa"/>
            <w:vAlign w:val="center"/>
          </w:tcPr>
          <w:p>
            <w:pPr>
              <w:pStyle w:val="12"/>
            </w:pPr>
            <w:r>
              <w:t>≥95百分比</w:t>
            </w:r>
          </w:p>
        </w:tc>
        <w:tc>
          <w:tcPr>
            <w:tcW w:w="1276" w:type="dxa"/>
            <w:vAlign w:val="center"/>
          </w:tcPr>
          <w:p>
            <w:pPr>
              <w:pStyle w:val="12"/>
            </w:pPr>
            <w:r>
              <w:t>重点工作完成率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≥95百分比</w:t>
            </w:r>
          </w:p>
        </w:tc>
        <w:tc>
          <w:tcPr>
            <w:tcW w:w="1276" w:type="dxa"/>
            <w:vAlign w:val="center"/>
          </w:tcPr>
          <w:p>
            <w:pPr>
              <w:pStyle w:val="12"/>
            </w:pPr>
            <w:r>
              <w:t>被救助人满意度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22、疫情封控圈绩效目标表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13052524P00001010061W</w:t>
            </w:r>
          </w:p>
        </w:tc>
        <w:tc>
          <w:tcPr>
            <w:tcW w:w="2835" w:type="dxa"/>
            <w:vAlign w:val="center"/>
          </w:tcPr>
          <w:p>
            <w:pPr>
              <w:pStyle w:val="10"/>
            </w:pPr>
            <w:r>
              <w:t>项目名称</w:t>
            </w:r>
          </w:p>
        </w:tc>
        <w:tc>
          <w:tcPr>
            <w:tcW w:w="6095" w:type="dxa"/>
            <w:gridSpan w:val="3"/>
            <w:vAlign w:val="center"/>
          </w:tcPr>
          <w:p>
            <w:pPr>
              <w:pStyle w:val="12"/>
            </w:pPr>
            <w:r>
              <w:t>疫情封控圈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疫情封控圈费用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1.涉密</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23、应急处突特警经费绩效目标表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13052524P00001010054U</w:t>
            </w:r>
          </w:p>
        </w:tc>
        <w:tc>
          <w:tcPr>
            <w:tcW w:w="2835" w:type="dxa"/>
            <w:vAlign w:val="center"/>
          </w:tcPr>
          <w:p>
            <w:pPr>
              <w:pStyle w:val="10"/>
            </w:pPr>
            <w:r>
              <w:t>项目名称</w:t>
            </w:r>
          </w:p>
        </w:tc>
        <w:tc>
          <w:tcPr>
            <w:tcW w:w="6095" w:type="dxa"/>
            <w:gridSpan w:val="3"/>
            <w:vAlign w:val="center"/>
          </w:tcPr>
          <w:p>
            <w:pPr>
              <w:pStyle w:val="12"/>
            </w:pPr>
            <w:r>
              <w:t>应急处突特警经费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71.00</w:t>
            </w:r>
          </w:p>
        </w:tc>
        <w:tc>
          <w:tcPr>
            <w:tcW w:w="2835" w:type="dxa"/>
            <w:vAlign w:val="center"/>
          </w:tcPr>
          <w:p>
            <w:pPr>
              <w:pStyle w:val="10"/>
            </w:pPr>
            <w:r>
              <w:t>其中：财政    资金</w:t>
            </w:r>
          </w:p>
        </w:tc>
        <w:tc>
          <w:tcPr>
            <w:tcW w:w="2551" w:type="dxa"/>
            <w:vAlign w:val="center"/>
          </w:tcPr>
          <w:p>
            <w:pPr>
              <w:pStyle w:val="12"/>
            </w:pPr>
            <w:r>
              <w:t>71.00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保障县公安局45名应急处突特警（警务辅助人员）的加班及社保费用</w:t>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1.1.保障县公安局45名应急处突特警（警务辅助人员）的加班及社保费用，使警务辅助人员能够顺利完成本职工作。确保县公安局各项工作保质保量的完成</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应急处突特警人员人数</w:t>
            </w:r>
          </w:p>
        </w:tc>
        <w:tc>
          <w:tcPr>
            <w:tcW w:w="5386" w:type="dxa"/>
            <w:vAlign w:val="center"/>
          </w:tcPr>
          <w:p>
            <w:pPr>
              <w:pStyle w:val="12"/>
            </w:pPr>
            <w:r>
              <w:t>应急处突特警人员的数量</w:t>
            </w:r>
          </w:p>
        </w:tc>
        <w:tc>
          <w:tcPr>
            <w:tcW w:w="2268" w:type="dxa"/>
            <w:vAlign w:val="center"/>
          </w:tcPr>
          <w:p>
            <w:pPr>
              <w:pStyle w:val="12"/>
            </w:pPr>
            <w:r>
              <w:t>45人</w:t>
            </w:r>
          </w:p>
        </w:tc>
        <w:tc>
          <w:tcPr>
            <w:tcW w:w="1276" w:type="dxa"/>
            <w:vAlign w:val="center"/>
          </w:tcPr>
          <w:p>
            <w:pPr>
              <w:pStyle w:val="12"/>
            </w:pPr>
            <w:r>
              <w:t>《关于招录辅助警务人员的实施意见》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应急处突特警人员经费发放准确率</w:t>
            </w:r>
          </w:p>
        </w:tc>
        <w:tc>
          <w:tcPr>
            <w:tcW w:w="5386" w:type="dxa"/>
            <w:vAlign w:val="center"/>
          </w:tcPr>
          <w:p>
            <w:pPr>
              <w:pStyle w:val="12"/>
            </w:pPr>
            <w:r>
              <w:t>计算发放准确的月数/实际发放月数*100%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应急处突特警人员经费按时发放率</w:t>
            </w:r>
          </w:p>
        </w:tc>
        <w:tc>
          <w:tcPr>
            <w:tcW w:w="5386" w:type="dxa"/>
            <w:vAlign w:val="center"/>
          </w:tcPr>
          <w:p>
            <w:pPr>
              <w:pStyle w:val="12"/>
            </w:pPr>
            <w:r>
              <w:t>按时发放的月数/实际发放月数*100%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应急处突特警人员服装成本</w:t>
            </w:r>
          </w:p>
        </w:tc>
        <w:tc>
          <w:tcPr>
            <w:tcW w:w="5386" w:type="dxa"/>
            <w:vAlign w:val="center"/>
          </w:tcPr>
          <w:p>
            <w:pPr>
              <w:pStyle w:val="12"/>
            </w:pPr>
            <w:r>
              <w:t>为应急处突特警人员配置服装费用的金额</w:t>
            </w:r>
          </w:p>
        </w:tc>
        <w:tc>
          <w:tcPr>
            <w:tcW w:w="2268" w:type="dxa"/>
            <w:vAlign w:val="center"/>
          </w:tcPr>
          <w:p>
            <w:pPr>
              <w:pStyle w:val="12"/>
            </w:pPr>
            <w:r>
              <w:t>≤3500每人</w:t>
            </w:r>
          </w:p>
        </w:tc>
        <w:tc>
          <w:tcPr>
            <w:tcW w:w="1276" w:type="dxa"/>
            <w:vAlign w:val="center"/>
          </w:tcPr>
          <w:p>
            <w:pPr>
              <w:pStyle w:val="12"/>
            </w:pPr>
            <w:r>
              <w:t>《关于招录辅助警务人员的实施意见》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应急处突特警人员年度考核合格率</w:t>
            </w:r>
          </w:p>
        </w:tc>
        <w:tc>
          <w:tcPr>
            <w:tcW w:w="5386" w:type="dxa"/>
            <w:vAlign w:val="center"/>
          </w:tcPr>
          <w:p>
            <w:pPr>
              <w:pStyle w:val="12"/>
            </w:pPr>
            <w:r>
              <w:t>应急处突特警人员年度考核合格的人数/警务辅助人员总数</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应急处突特警人员满意度调查</w:t>
            </w:r>
          </w:p>
        </w:tc>
        <w:tc>
          <w:tcPr>
            <w:tcW w:w="5386" w:type="dxa"/>
            <w:vAlign w:val="center"/>
          </w:tcPr>
          <w:p>
            <w:pPr>
              <w:pStyle w:val="12"/>
            </w:pPr>
            <w:r>
              <w:t>通过对应急处突特警人员问卷调查，反映满意和较满意的用户数占调查数之比</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24、智慧平安社区建设项目绩效目标表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13052524P000010100609</w:t>
            </w:r>
          </w:p>
        </w:tc>
        <w:tc>
          <w:tcPr>
            <w:tcW w:w="2835" w:type="dxa"/>
            <w:vAlign w:val="center"/>
          </w:tcPr>
          <w:p>
            <w:pPr>
              <w:pStyle w:val="10"/>
            </w:pPr>
            <w:r>
              <w:t>项目名称</w:t>
            </w:r>
          </w:p>
        </w:tc>
        <w:tc>
          <w:tcPr>
            <w:tcW w:w="6095" w:type="dxa"/>
            <w:gridSpan w:val="3"/>
            <w:vAlign w:val="center"/>
          </w:tcPr>
          <w:p>
            <w:pPr>
              <w:pStyle w:val="12"/>
            </w:pPr>
            <w:r>
              <w:t>智慧平安社区建设项目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智慧平安社区建设项目费用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1.提高对社会治安的管控和防范能力，震慑和打击犯罪，降低社区内的发案率，提升监控区域的破案率。</w:t>
            </w:r>
            <w:r>
              <w:tab/>
            </w:r>
            <w:r>
              <w:tab/>
            </w:r>
            <w:r>
              <w:tab/>
            </w:r>
            <w:r>
              <w:tab/>
            </w:r>
            <w:r>
              <w:tab/>
            </w:r>
            <w:r>
              <w:tab/>
            </w:r>
            <w:r>
              <w:tab/>
            </w:r>
          </w:p>
          <w:p>
            <w:pPr>
              <w:pStyle w:val="12"/>
            </w:pPr>
            <w:r>
              <w:t>2.及时结算智慧平安社区建设项目款</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≤170万元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监控覆盖社区内案件下降率（%）</w:t>
            </w:r>
          </w:p>
        </w:tc>
        <w:tc>
          <w:tcPr>
            <w:tcW w:w="5386" w:type="dxa"/>
            <w:vAlign w:val="center"/>
          </w:tcPr>
          <w:p>
            <w:pPr>
              <w:pStyle w:val="12"/>
            </w:pPr>
            <w:r>
              <w:t>监控覆盖社区内案件下降率（%）=本年度监控覆盖社区内案件实际发生数-装监控前年度社区内案件发生数/*100%</w:t>
            </w:r>
          </w:p>
        </w:tc>
        <w:tc>
          <w:tcPr>
            <w:tcW w:w="2268" w:type="dxa"/>
            <w:vAlign w:val="center"/>
          </w:tcPr>
          <w:p>
            <w:pPr>
              <w:pStyle w:val="12"/>
            </w:pPr>
            <w:r>
              <w:t>≥80百分比</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25、看守所电费及空气能电费绩效目标表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13052524P000010101570</w:t>
            </w:r>
          </w:p>
        </w:tc>
        <w:tc>
          <w:tcPr>
            <w:tcW w:w="2835" w:type="dxa"/>
            <w:vAlign w:val="center"/>
          </w:tcPr>
          <w:p>
            <w:pPr>
              <w:pStyle w:val="10"/>
            </w:pPr>
            <w:r>
              <w:t>项目名称</w:t>
            </w:r>
          </w:p>
        </w:tc>
        <w:tc>
          <w:tcPr>
            <w:tcW w:w="6095" w:type="dxa"/>
            <w:gridSpan w:val="3"/>
            <w:vAlign w:val="center"/>
          </w:tcPr>
          <w:p>
            <w:pPr>
              <w:pStyle w:val="12"/>
            </w:pPr>
            <w:r>
              <w:t>看守所电费及空气能电费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用于看守所、武警日常电费及采暖空气能电费。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1.保障看守所、武警中队日常用电。</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用电保障情况</w:t>
            </w:r>
          </w:p>
        </w:tc>
        <w:tc>
          <w:tcPr>
            <w:tcW w:w="5386" w:type="dxa"/>
            <w:vAlign w:val="center"/>
          </w:tcPr>
          <w:p>
            <w:pPr>
              <w:pStyle w:val="12"/>
            </w:pPr>
            <w:r>
              <w:t>用电保障情况</w:t>
            </w:r>
          </w:p>
        </w:tc>
        <w:tc>
          <w:tcPr>
            <w:tcW w:w="2268" w:type="dxa"/>
            <w:vAlign w:val="center"/>
          </w:tcPr>
          <w:p>
            <w:pPr>
              <w:pStyle w:val="12"/>
            </w:pPr>
            <w:r>
              <w:t>571418度电</w:t>
            </w:r>
          </w:p>
        </w:tc>
        <w:tc>
          <w:tcPr>
            <w:tcW w:w="1276" w:type="dxa"/>
            <w:vAlign w:val="center"/>
          </w:tcPr>
          <w:p>
            <w:pPr>
              <w:pStyle w:val="12"/>
            </w:pPr>
            <w:r>
              <w:t>按功率计算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满足供热需求</w:t>
            </w:r>
          </w:p>
        </w:tc>
        <w:tc>
          <w:tcPr>
            <w:tcW w:w="5386" w:type="dxa"/>
            <w:vAlign w:val="center"/>
          </w:tcPr>
          <w:p>
            <w:pPr>
              <w:pStyle w:val="12"/>
            </w:pPr>
            <w:r>
              <w:t>满足监管人员供热需求</w:t>
            </w:r>
          </w:p>
        </w:tc>
        <w:tc>
          <w:tcPr>
            <w:tcW w:w="2268" w:type="dxa"/>
            <w:vAlign w:val="center"/>
          </w:tcPr>
          <w:p>
            <w:pPr>
              <w:pStyle w:val="12"/>
            </w:pPr>
            <w:r>
              <w:t>&gt;95百分比</w:t>
            </w:r>
          </w:p>
        </w:tc>
        <w:tc>
          <w:tcPr>
            <w:tcW w:w="1276" w:type="dxa"/>
            <w:vAlign w:val="center"/>
          </w:tcPr>
          <w:p>
            <w:pPr>
              <w:pStyle w:val="12"/>
            </w:pPr>
            <w:r>
              <w:t>按预期目标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年度资金计划按时完成率</w:t>
            </w:r>
          </w:p>
        </w:tc>
        <w:tc>
          <w:tcPr>
            <w:tcW w:w="5386" w:type="dxa"/>
            <w:vAlign w:val="center"/>
          </w:tcPr>
          <w:p>
            <w:pPr>
              <w:pStyle w:val="12"/>
            </w:pPr>
            <w:r>
              <w:t>年度资金计划按时完成率</w:t>
            </w:r>
          </w:p>
        </w:tc>
        <w:tc>
          <w:tcPr>
            <w:tcW w:w="2268" w:type="dxa"/>
            <w:vAlign w:val="center"/>
          </w:tcPr>
          <w:p>
            <w:pPr>
              <w:pStyle w:val="12"/>
            </w:pPr>
            <w:r>
              <w:t>100百分比</w:t>
            </w:r>
          </w:p>
        </w:tc>
        <w:tc>
          <w:tcPr>
            <w:tcW w:w="1276" w:type="dxa"/>
            <w:vAlign w:val="center"/>
          </w:tcPr>
          <w:p>
            <w:pPr>
              <w:pStyle w:val="12"/>
            </w:pPr>
            <w:r>
              <w:t>年度资金计划按时使用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≥95百分比</w:t>
            </w:r>
          </w:p>
        </w:tc>
        <w:tc>
          <w:tcPr>
            <w:tcW w:w="1276" w:type="dxa"/>
            <w:vAlign w:val="center"/>
          </w:tcPr>
          <w:p>
            <w:pPr>
              <w:pStyle w:val="12"/>
            </w:pPr>
            <w:r>
              <w:t>预算支出数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保障在押人员供暖</w:t>
            </w:r>
          </w:p>
        </w:tc>
        <w:tc>
          <w:tcPr>
            <w:tcW w:w="5386" w:type="dxa"/>
            <w:vAlign w:val="center"/>
          </w:tcPr>
          <w:p>
            <w:pPr>
              <w:pStyle w:val="12"/>
            </w:pPr>
            <w:r>
              <w:t>保障在押人员冬季供暖</w:t>
            </w:r>
          </w:p>
        </w:tc>
        <w:tc>
          <w:tcPr>
            <w:tcW w:w="2268" w:type="dxa"/>
            <w:vAlign w:val="center"/>
          </w:tcPr>
          <w:p>
            <w:pPr>
              <w:pStyle w:val="12"/>
            </w:pPr>
            <w:r>
              <w:t>≥100百分比</w:t>
            </w:r>
          </w:p>
        </w:tc>
        <w:tc>
          <w:tcPr>
            <w:tcW w:w="1276" w:type="dxa"/>
            <w:vAlign w:val="center"/>
          </w:tcPr>
          <w:p>
            <w:pPr>
              <w:pStyle w:val="12"/>
            </w:pPr>
            <w:r>
              <w:t>保障在押人员供暖安全率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≥95百分比</w:t>
            </w:r>
          </w:p>
        </w:tc>
        <w:tc>
          <w:tcPr>
            <w:tcW w:w="1276" w:type="dxa"/>
            <w:vAlign w:val="center"/>
          </w:tcPr>
          <w:p>
            <w:pPr>
              <w:pStyle w:val="12"/>
            </w:pPr>
            <w:r>
              <w:t>被羁押人员权利以及服务家属满意度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26、看守所专项经费绩效目标表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13052524P00001010155Q</w:t>
            </w:r>
          </w:p>
        </w:tc>
        <w:tc>
          <w:tcPr>
            <w:tcW w:w="2835" w:type="dxa"/>
            <w:vAlign w:val="center"/>
          </w:tcPr>
          <w:p>
            <w:pPr>
              <w:pStyle w:val="10"/>
            </w:pPr>
            <w:r>
              <w:t>项目名称</w:t>
            </w:r>
          </w:p>
        </w:tc>
        <w:tc>
          <w:tcPr>
            <w:tcW w:w="6095" w:type="dxa"/>
            <w:gridSpan w:val="3"/>
            <w:vAlign w:val="center"/>
          </w:tcPr>
          <w:p>
            <w:pPr>
              <w:pStyle w:val="12"/>
            </w:pPr>
            <w:r>
              <w:t>看守所专项经费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用于看守所在押人员日常支出。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1.保障在押人员日常生活支出，降低事故发生。</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在押人员安全事故发生数量控制率</w:t>
            </w:r>
          </w:p>
        </w:tc>
        <w:tc>
          <w:tcPr>
            <w:tcW w:w="5386" w:type="dxa"/>
            <w:vAlign w:val="center"/>
          </w:tcPr>
          <w:p>
            <w:pPr>
              <w:pStyle w:val="12"/>
            </w:pPr>
            <w:r>
              <w:t>在押人员安全事故发生数量控制率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在押罪犯伙食、被服实物量达标率</w:t>
            </w:r>
          </w:p>
        </w:tc>
        <w:tc>
          <w:tcPr>
            <w:tcW w:w="5386" w:type="dxa"/>
            <w:vAlign w:val="center"/>
          </w:tcPr>
          <w:p>
            <w:pPr>
              <w:pStyle w:val="12"/>
            </w:pPr>
            <w:r>
              <w:t>在押罪犯伙食、被服实物量达标率</w:t>
            </w:r>
          </w:p>
        </w:tc>
        <w:tc>
          <w:tcPr>
            <w:tcW w:w="2268" w:type="dxa"/>
            <w:vAlign w:val="center"/>
          </w:tcPr>
          <w:p>
            <w:pPr>
              <w:pStyle w:val="12"/>
            </w:pPr>
            <w:r>
              <w:t>≥95百分比</w:t>
            </w:r>
          </w:p>
        </w:tc>
        <w:tc>
          <w:tcPr>
            <w:tcW w:w="1276" w:type="dxa"/>
            <w:vAlign w:val="center"/>
          </w:tcPr>
          <w:p>
            <w:pPr>
              <w:pStyle w:val="12"/>
            </w:pPr>
            <w:r>
              <w:t>伙食、被服供应是否达标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年度资金计划按时完成率</w:t>
            </w:r>
          </w:p>
        </w:tc>
        <w:tc>
          <w:tcPr>
            <w:tcW w:w="5386" w:type="dxa"/>
            <w:vAlign w:val="center"/>
          </w:tcPr>
          <w:p>
            <w:pPr>
              <w:pStyle w:val="12"/>
            </w:pPr>
            <w:r>
              <w:t>年度资金计划按时完成率</w:t>
            </w:r>
          </w:p>
        </w:tc>
        <w:tc>
          <w:tcPr>
            <w:tcW w:w="2268" w:type="dxa"/>
            <w:vAlign w:val="center"/>
          </w:tcPr>
          <w:p>
            <w:pPr>
              <w:pStyle w:val="12"/>
            </w:pPr>
            <w:r>
              <w:t>100百分比</w:t>
            </w:r>
          </w:p>
        </w:tc>
        <w:tc>
          <w:tcPr>
            <w:tcW w:w="1276" w:type="dxa"/>
            <w:vAlign w:val="center"/>
          </w:tcPr>
          <w:p>
            <w:pPr>
              <w:pStyle w:val="12"/>
            </w:pPr>
            <w:r>
              <w:t>年度资金计划按时使用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≥95百分比</w:t>
            </w:r>
          </w:p>
        </w:tc>
        <w:tc>
          <w:tcPr>
            <w:tcW w:w="1276" w:type="dxa"/>
            <w:vAlign w:val="center"/>
          </w:tcPr>
          <w:p>
            <w:pPr>
              <w:pStyle w:val="12"/>
            </w:pPr>
            <w:r>
              <w:t>预算支出数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被羁押人员安全事故发生下降率</w:t>
            </w:r>
          </w:p>
        </w:tc>
        <w:tc>
          <w:tcPr>
            <w:tcW w:w="5386" w:type="dxa"/>
            <w:vAlign w:val="center"/>
          </w:tcPr>
          <w:p>
            <w:pPr>
              <w:pStyle w:val="12"/>
            </w:pPr>
            <w:r>
              <w:t>被羁押人员安全事故发生下降率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≥95百分比</w:t>
            </w:r>
          </w:p>
        </w:tc>
        <w:tc>
          <w:tcPr>
            <w:tcW w:w="1276" w:type="dxa"/>
            <w:vAlign w:val="center"/>
          </w:tcPr>
          <w:p>
            <w:pPr>
              <w:pStyle w:val="12"/>
            </w:pPr>
            <w:r>
              <w:t>被羁押人员权利以及服务家属满意度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27、缅甸电信诈骗人员经费绩效目标表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13052524P00001010156C</w:t>
            </w:r>
          </w:p>
        </w:tc>
        <w:tc>
          <w:tcPr>
            <w:tcW w:w="2835" w:type="dxa"/>
            <w:vAlign w:val="center"/>
          </w:tcPr>
          <w:p>
            <w:pPr>
              <w:pStyle w:val="10"/>
            </w:pPr>
            <w:r>
              <w:t>项目名称</w:t>
            </w:r>
          </w:p>
        </w:tc>
        <w:tc>
          <w:tcPr>
            <w:tcW w:w="6095" w:type="dxa"/>
            <w:gridSpan w:val="3"/>
            <w:vAlign w:val="center"/>
          </w:tcPr>
          <w:p>
            <w:pPr>
              <w:pStyle w:val="12"/>
            </w:pPr>
            <w:r>
              <w:t>缅甸电信诈骗人员经费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用于缅甸诈骗人员关押期间日常生活开支。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1.保障缅甸电信诈骗人员在押期间正常生活保障。</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在押人员安全事故发生数量控制数</w:t>
            </w:r>
          </w:p>
        </w:tc>
        <w:tc>
          <w:tcPr>
            <w:tcW w:w="5386" w:type="dxa"/>
            <w:vAlign w:val="center"/>
          </w:tcPr>
          <w:p>
            <w:pPr>
              <w:pStyle w:val="12"/>
            </w:pPr>
            <w:r>
              <w:t>在押人员安全事故发生数量控制数</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在押罪犯伙食、被服实物量达标率</w:t>
            </w:r>
          </w:p>
        </w:tc>
        <w:tc>
          <w:tcPr>
            <w:tcW w:w="5386" w:type="dxa"/>
            <w:vAlign w:val="center"/>
          </w:tcPr>
          <w:p>
            <w:pPr>
              <w:pStyle w:val="12"/>
            </w:pPr>
            <w:r>
              <w:t>在押罪犯伙食、被服实物量达标率</w:t>
            </w:r>
          </w:p>
        </w:tc>
        <w:tc>
          <w:tcPr>
            <w:tcW w:w="2268" w:type="dxa"/>
            <w:vAlign w:val="center"/>
          </w:tcPr>
          <w:p>
            <w:pPr>
              <w:pStyle w:val="12"/>
            </w:pPr>
            <w:r>
              <w:t>≥95百分比</w:t>
            </w:r>
          </w:p>
        </w:tc>
        <w:tc>
          <w:tcPr>
            <w:tcW w:w="1276" w:type="dxa"/>
            <w:vAlign w:val="center"/>
          </w:tcPr>
          <w:p>
            <w:pPr>
              <w:pStyle w:val="12"/>
            </w:pPr>
            <w:r>
              <w:t>伙食、被服供应是否达标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年度资金计划按时完成率</w:t>
            </w:r>
          </w:p>
        </w:tc>
        <w:tc>
          <w:tcPr>
            <w:tcW w:w="5386" w:type="dxa"/>
            <w:vAlign w:val="center"/>
          </w:tcPr>
          <w:p>
            <w:pPr>
              <w:pStyle w:val="12"/>
            </w:pPr>
            <w:r>
              <w:t>年度资金计划按时完成率</w:t>
            </w:r>
          </w:p>
        </w:tc>
        <w:tc>
          <w:tcPr>
            <w:tcW w:w="2268" w:type="dxa"/>
            <w:vAlign w:val="center"/>
          </w:tcPr>
          <w:p>
            <w:pPr>
              <w:pStyle w:val="12"/>
            </w:pPr>
            <w:r>
              <w:t>100百分比</w:t>
            </w:r>
          </w:p>
        </w:tc>
        <w:tc>
          <w:tcPr>
            <w:tcW w:w="1276" w:type="dxa"/>
            <w:vAlign w:val="center"/>
          </w:tcPr>
          <w:p>
            <w:pPr>
              <w:pStyle w:val="12"/>
            </w:pPr>
            <w:r>
              <w:t>年度资金计划按时使用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≥95百分比</w:t>
            </w:r>
          </w:p>
        </w:tc>
        <w:tc>
          <w:tcPr>
            <w:tcW w:w="1276" w:type="dxa"/>
            <w:vAlign w:val="center"/>
          </w:tcPr>
          <w:p>
            <w:pPr>
              <w:pStyle w:val="12"/>
            </w:pPr>
            <w:r>
              <w:t>预算支出数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被羁押人员安全事故发生下降率</w:t>
            </w:r>
          </w:p>
        </w:tc>
        <w:tc>
          <w:tcPr>
            <w:tcW w:w="5386" w:type="dxa"/>
            <w:vAlign w:val="center"/>
          </w:tcPr>
          <w:p>
            <w:pPr>
              <w:pStyle w:val="12"/>
            </w:pPr>
            <w:r>
              <w:t>被羁押人员安全事故发生下降率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≥95百分比</w:t>
            </w:r>
          </w:p>
        </w:tc>
        <w:tc>
          <w:tcPr>
            <w:tcW w:w="1276" w:type="dxa"/>
            <w:vAlign w:val="center"/>
          </w:tcPr>
          <w:p>
            <w:pPr>
              <w:pStyle w:val="12"/>
            </w:pPr>
            <w:r>
              <w:t>被羁押人员权利以及服务家属满意度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28、武警中队保障经费绩效目标表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13052524P00001010158K</w:t>
            </w:r>
          </w:p>
        </w:tc>
        <w:tc>
          <w:tcPr>
            <w:tcW w:w="2835" w:type="dxa"/>
            <w:vAlign w:val="center"/>
          </w:tcPr>
          <w:p>
            <w:pPr>
              <w:pStyle w:val="10"/>
            </w:pPr>
            <w:r>
              <w:t>项目名称</w:t>
            </w:r>
          </w:p>
        </w:tc>
        <w:tc>
          <w:tcPr>
            <w:tcW w:w="6095" w:type="dxa"/>
            <w:gridSpan w:val="3"/>
            <w:vAlign w:val="center"/>
          </w:tcPr>
          <w:p>
            <w:pPr>
              <w:pStyle w:val="12"/>
            </w:pPr>
            <w:r>
              <w:t>武警中队保障经费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12.75</w:t>
            </w:r>
          </w:p>
        </w:tc>
        <w:tc>
          <w:tcPr>
            <w:tcW w:w="2835" w:type="dxa"/>
            <w:vAlign w:val="center"/>
          </w:tcPr>
          <w:p>
            <w:pPr>
              <w:pStyle w:val="10"/>
            </w:pPr>
            <w:r>
              <w:t>其中：财政    资金</w:t>
            </w:r>
          </w:p>
        </w:tc>
        <w:tc>
          <w:tcPr>
            <w:tcW w:w="2551" w:type="dxa"/>
            <w:vAlign w:val="center"/>
          </w:tcPr>
          <w:p>
            <w:pPr>
              <w:pStyle w:val="12"/>
            </w:pPr>
            <w:r>
              <w:t>12.75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用于武警中队日常工作支出。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1.保障武警中队日常工作稳定开展。</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在押人员安全事故发生数量控制率</w:t>
            </w:r>
          </w:p>
        </w:tc>
        <w:tc>
          <w:tcPr>
            <w:tcW w:w="5386" w:type="dxa"/>
            <w:vAlign w:val="center"/>
          </w:tcPr>
          <w:p>
            <w:pPr>
              <w:pStyle w:val="12"/>
            </w:pPr>
            <w:r>
              <w:t>在押人员安全事故发生数量控制率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重大安保任务完成率(%)</w:t>
            </w:r>
          </w:p>
        </w:tc>
        <w:tc>
          <w:tcPr>
            <w:tcW w:w="5386" w:type="dxa"/>
            <w:vAlign w:val="center"/>
          </w:tcPr>
          <w:p>
            <w:pPr>
              <w:pStyle w:val="12"/>
            </w:pPr>
            <w:r>
              <w:t>重大安保任务完成率(%)</w:t>
            </w:r>
          </w:p>
        </w:tc>
        <w:tc>
          <w:tcPr>
            <w:tcW w:w="2268" w:type="dxa"/>
            <w:vAlign w:val="center"/>
          </w:tcPr>
          <w:p>
            <w:pPr>
              <w:pStyle w:val="12"/>
            </w:pPr>
            <w:r>
              <w:t>≥95百分比</w:t>
            </w:r>
          </w:p>
        </w:tc>
        <w:tc>
          <w:tcPr>
            <w:tcW w:w="1276" w:type="dxa"/>
            <w:vAlign w:val="center"/>
          </w:tcPr>
          <w:p>
            <w:pPr>
              <w:pStyle w:val="12"/>
            </w:pPr>
            <w:r>
              <w:t>完成重大安保任务次数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≥95百分比</w:t>
            </w:r>
          </w:p>
        </w:tc>
        <w:tc>
          <w:tcPr>
            <w:tcW w:w="1276" w:type="dxa"/>
            <w:vAlign w:val="center"/>
          </w:tcPr>
          <w:p>
            <w:pPr>
              <w:pStyle w:val="12"/>
            </w:pPr>
            <w:r>
              <w:t>任务完成次数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是</w:t>
            </w:r>
          </w:p>
        </w:tc>
        <w:tc>
          <w:tcPr>
            <w:tcW w:w="1276" w:type="dxa"/>
            <w:vAlign w:val="center"/>
          </w:tcPr>
          <w:p>
            <w:pPr>
              <w:pStyle w:val="12"/>
            </w:pPr>
            <w:r>
              <w:t>年度资金计划按时使用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是否足额使用了专项资金</w:t>
            </w:r>
          </w:p>
        </w:tc>
        <w:tc>
          <w:tcPr>
            <w:tcW w:w="5386" w:type="dxa"/>
            <w:vAlign w:val="center"/>
          </w:tcPr>
          <w:p>
            <w:pPr>
              <w:pStyle w:val="12"/>
            </w:pPr>
            <w:r>
              <w:t>是否足额使用了专项资金</w:t>
            </w:r>
          </w:p>
        </w:tc>
        <w:tc>
          <w:tcPr>
            <w:tcW w:w="2268" w:type="dxa"/>
            <w:vAlign w:val="center"/>
          </w:tcPr>
          <w:p>
            <w:pPr>
              <w:pStyle w:val="12"/>
            </w:pPr>
            <w:r>
              <w:t>是</w:t>
            </w:r>
          </w:p>
        </w:tc>
        <w:tc>
          <w:tcPr>
            <w:tcW w:w="1276" w:type="dxa"/>
            <w:vAlign w:val="center"/>
          </w:tcPr>
          <w:p>
            <w:pPr>
              <w:pStyle w:val="12"/>
            </w:pPr>
            <w:r>
              <w:t>年度资金计划按时使用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监狱突发事件应急演练次数</w:t>
            </w:r>
          </w:p>
        </w:tc>
        <w:tc>
          <w:tcPr>
            <w:tcW w:w="5386" w:type="dxa"/>
            <w:vAlign w:val="center"/>
          </w:tcPr>
          <w:p>
            <w:pPr>
              <w:pStyle w:val="12"/>
            </w:pPr>
            <w:r>
              <w:t>监狱突发事件应急演练次数</w:t>
            </w:r>
          </w:p>
        </w:tc>
        <w:tc>
          <w:tcPr>
            <w:tcW w:w="2268" w:type="dxa"/>
            <w:vAlign w:val="center"/>
          </w:tcPr>
          <w:p>
            <w:pPr>
              <w:pStyle w:val="12"/>
            </w:pPr>
            <w:r>
              <w:t>≥12次</w:t>
            </w:r>
          </w:p>
        </w:tc>
        <w:tc>
          <w:tcPr>
            <w:tcW w:w="1276" w:type="dxa"/>
            <w:vAlign w:val="center"/>
          </w:tcPr>
          <w:p>
            <w:pPr>
              <w:pStyle w:val="12"/>
            </w:pPr>
            <w:r>
              <w:t>应急演练次数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被羁押人员安全事故发生下降率</w:t>
            </w:r>
          </w:p>
        </w:tc>
        <w:tc>
          <w:tcPr>
            <w:tcW w:w="5386" w:type="dxa"/>
            <w:vAlign w:val="center"/>
          </w:tcPr>
          <w:p>
            <w:pPr>
              <w:pStyle w:val="12"/>
            </w:pPr>
            <w:r>
              <w:t>被羁押人员安全事故发生下降率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保障了监所长期稳定发展</w:t>
            </w:r>
          </w:p>
        </w:tc>
        <w:tc>
          <w:tcPr>
            <w:tcW w:w="5386" w:type="dxa"/>
            <w:vAlign w:val="center"/>
          </w:tcPr>
          <w:p>
            <w:pPr>
              <w:pStyle w:val="12"/>
            </w:pPr>
            <w:r>
              <w:t>保障了监所长期稳定发展率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≥95百分比</w:t>
            </w:r>
          </w:p>
        </w:tc>
        <w:tc>
          <w:tcPr>
            <w:tcW w:w="1276" w:type="dxa"/>
            <w:vAlign w:val="center"/>
          </w:tcPr>
          <w:p>
            <w:pPr>
              <w:pStyle w:val="12"/>
            </w:pPr>
            <w:r>
              <w:t>被羁押人员权利以及服务家属满意度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312隆尧县公安局</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304.71</w:t>
            </w:r>
          </w:p>
        </w:tc>
        <w:tc>
          <w:tcPr>
            <w:tcW w:w="964" w:type="dxa"/>
            <w:vAlign w:val="center"/>
          </w:tcPr>
          <w:p>
            <w:pPr>
              <w:pStyle w:val="15"/>
            </w:pPr>
            <w:r>
              <w:t>285.96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18.75</w:t>
            </w:r>
          </w:p>
        </w:tc>
        <w:tc>
          <w:tcPr>
            <w:tcW w:w="964" w:type="dxa"/>
            <w:vAlign w:val="center"/>
          </w:tcPr>
          <w:p>
            <w:pPr>
              <w:pStyle w:val="15"/>
            </w:pPr>
            <w:r>
              <w:t>240.96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隆尧县公安局本级小计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300.51</w:t>
            </w:r>
          </w:p>
        </w:tc>
        <w:tc>
          <w:tcPr>
            <w:tcW w:w="964" w:type="dxa"/>
            <w:vAlign w:val="center"/>
          </w:tcPr>
          <w:p>
            <w:pPr>
              <w:pStyle w:val="15"/>
            </w:pPr>
            <w:r>
              <w:t>281.76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18.75</w:t>
            </w:r>
          </w:p>
        </w:tc>
        <w:tc>
          <w:tcPr>
            <w:tcW w:w="964" w:type="dxa"/>
            <w:vAlign w:val="center"/>
          </w:tcPr>
          <w:p>
            <w:pPr>
              <w:pStyle w:val="15"/>
            </w:pPr>
            <w:r>
              <w:t>236.76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冀财政法【2022】55号/中央/提前下达2023年中央政法纪检监察转移支付资金/业务装备</w:t>
            </w:r>
          </w:p>
        </w:tc>
        <w:tc>
          <w:tcPr>
            <w:tcW w:w="964" w:type="dxa"/>
            <w:vAlign w:val="center"/>
          </w:tcPr>
          <w:p>
            <w:pPr>
              <w:pStyle w:val="11"/>
            </w:pPr>
            <w:r>
              <w:t>20.69</w:t>
            </w:r>
          </w:p>
        </w:tc>
        <w:tc>
          <w:tcPr>
            <w:tcW w:w="1134" w:type="dxa"/>
            <w:vAlign w:val="center"/>
          </w:tcPr>
          <w:p>
            <w:pPr>
              <w:pStyle w:val="12"/>
            </w:pPr>
            <w:r>
              <w:t>警车</w:t>
            </w:r>
          </w:p>
        </w:tc>
        <w:tc>
          <w:tcPr>
            <w:tcW w:w="1134" w:type="dxa"/>
            <w:vAlign w:val="center"/>
          </w:tcPr>
          <w:p>
            <w:pPr>
              <w:pStyle w:val="12"/>
            </w:pPr>
            <w:r>
              <w:t>A02030610</w:t>
            </w:r>
          </w:p>
        </w:tc>
        <w:tc>
          <w:tcPr>
            <w:tcW w:w="709" w:type="dxa"/>
            <w:vAlign w:val="center"/>
          </w:tcPr>
          <w:p>
            <w:pPr>
              <w:pStyle w:val="13"/>
            </w:pPr>
            <w:r>
              <w:t>辆</w:t>
            </w:r>
          </w:p>
        </w:tc>
        <w:tc>
          <w:tcPr>
            <w:tcW w:w="850" w:type="dxa"/>
            <w:vAlign w:val="center"/>
          </w:tcPr>
          <w:p>
            <w:pPr>
              <w:pStyle w:val="11"/>
              <w:rPr>
                <w:rFonts w:hint="eastAsia" w:eastAsiaTheme="minorEastAsia"/>
                <w:lang w:eastAsia="zh-CN"/>
              </w:rPr>
            </w:pPr>
            <w:r>
              <w:rPr>
                <w:rFonts w:hint="eastAsia" w:eastAsiaTheme="minorEastAsia"/>
                <w:lang w:eastAsia="zh-CN"/>
              </w:rPr>
              <w:t>1.4</w:t>
            </w:r>
          </w:p>
        </w:tc>
        <w:tc>
          <w:tcPr>
            <w:tcW w:w="850" w:type="dxa"/>
            <w:vAlign w:val="center"/>
          </w:tcPr>
          <w:p>
            <w:pPr>
              <w:pStyle w:val="11"/>
            </w:pPr>
            <w:r>
              <w:t>12.50</w:t>
            </w:r>
          </w:p>
        </w:tc>
        <w:tc>
          <w:tcPr>
            <w:tcW w:w="964" w:type="dxa"/>
            <w:vAlign w:val="center"/>
          </w:tcPr>
          <w:p>
            <w:pPr>
              <w:pStyle w:val="11"/>
            </w:pPr>
            <w:r>
              <w:t>18.75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18.75</w:t>
            </w: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0.35</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30</w:t>
            </w:r>
          </w:p>
        </w:tc>
        <w:tc>
          <w:tcPr>
            <w:tcW w:w="850" w:type="dxa"/>
            <w:vAlign w:val="center"/>
          </w:tcPr>
          <w:p>
            <w:pPr>
              <w:pStyle w:val="11"/>
            </w:pPr>
            <w:r>
              <w:t>0.30</w:t>
            </w:r>
          </w:p>
        </w:tc>
        <w:tc>
          <w:tcPr>
            <w:tcW w:w="964" w:type="dxa"/>
            <w:vAlign w:val="center"/>
          </w:tcPr>
          <w:p>
            <w:pPr>
              <w:pStyle w:val="11"/>
            </w:pPr>
            <w:r>
              <w:t>9.00</w:t>
            </w:r>
          </w:p>
        </w:tc>
        <w:tc>
          <w:tcPr>
            <w:tcW w:w="964" w:type="dxa"/>
            <w:vAlign w:val="center"/>
          </w:tcPr>
          <w:p>
            <w:pPr>
              <w:pStyle w:val="11"/>
            </w:pPr>
            <w:r>
              <w:t>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14.18</w:t>
            </w:r>
          </w:p>
        </w:tc>
        <w:tc>
          <w:tcPr>
            <w:tcW w:w="964" w:type="dxa"/>
            <w:vAlign w:val="center"/>
          </w:tcPr>
          <w:p>
            <w:pPr>
              <w:pStyle w:val="11"/>
            </w:pPr>
            <w:r>
              <w:t>14.18</w:t>
            </w:r>
          </w:p>
        </w:tc>
        <w:tc>
          <w:tcPr>
            <w:tcW w:w="964" w:type="dxa"/>
            <w:vAlign w:val="center"/>
          </w:tcPr>
          <w:p>
            <w:pPr>
              <w:pStyle w:val="11"/>
            </w:pPr>
            <w:r>
              <w:t>14.18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30</w:t>
            </w:r>
          </w:p>
        </w:tc>
        <w:tc>
          <w:tcPr>
            <w:tcW w:w="850" w:type="dxa"/>
            <w:vAlign w:val="center"/>
          </w:tcPr>
          <w:p>
            <w:pPr>
              <w:pStyle w:val="11"/>
            </w:pPr>
            <w:r>
              <w:t>0.30</w:t>
            </w:r>
          </w:p>
        </w:tc>
        <w:tc>
          <w:tcPr>
            <w:tcW w:w="964" w:type="dxa"/>
            <w:vAlign w:val="center"/>
          </w:tcPr>
          <w:p>
            <w:pPr>
              <w:pStyle w:val="11"/>
            </w:pPr>
            <w:r>
              <w:t>9.00</w:t>
            </w:r>
          </w:p>
        </w:tc>
        <w:tc>
          <w:tcPr>
            <w:tcW w:w="964" w:type="dxa"/>
            <w:vAlign w:val="center"/>
          </w:tcPr>
          <w:p>
            <w:pPr>
              <w:pStyle w:val="11"/>
            </w:pPr>
            <w:r>
              <w:t>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洗衣机</w:t>
            </w:r>
          </w:p>
        </w:tc>
        <w:tc>
          <w:tcPr>
            <w:tcW w:w="1134" w:type="dxa"/>
            <w:vAlign w:val="center"/>
          </w:tcPr>
          <w:p>
            <w:pPr>
              <w:pStyle w:val="12"/>
            </w:pPr>
            <w:r>
              <w:t>A02061810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0.35</w:t>
            </w:r>
          </w:p>
        </w:tc>
        <w:tc>
          <w:tcPr>
            <w:tcW w:w="964" w:type="dxa"/>
            <w:vAlign w:val="center"/>
          </w:tcPr>
          <w:p>
            <w:pPr>
              <w:pStyle w:val="11"/>
            </w:pPr>
            <w:r>
              <w:t>1.05</w:t>
            </w:r>
          </w:p>
        </w:tc>
        <w:tc>
          <w:tcPr>
            <w:tcW w:w="964" w:type="dxa"/>
            <w:vAlign w:val="center"/>
          </w:tcPr>
          <w:p>
            <w:pPr>
              <w:pStyle w:val="11"/>
            </w:pPr>
            <w:r>
              <w:t>1.05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热水器</w:t>
            </w:r>
          </w:p>
        </w:tc>
        <w:tc>
          <w:tcPr>
            <w:tcW w:w="1134" w:type="dxa"/>
            <w:vAlign w:val="center"/>
          </w:tcPr>
          <w:p>
            <w:pPr>
              <w:pStyle w:val="12"/>
            </w:pPr>
            <w:r>
              <w:t>A02061819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钢木床类</w:t>
            </w:r>
          </w:p>
        </w:tc>
        <w:tc>
          <w:tcPr>
            <w:tcW w:w="1134" w:type="dxa"/>
            <w:vAlign w:val="center"/>
          </w:tcPr>
          <w:p>
            <w:pPr>
              <w:pStyle w:val="12"/>
            </w:pPr>
            <w:r>
              <w:t>A05010101</w:t>
            </w:r>
          </w:p>
        </w:tc>
        <w:tc>
          <w:tcPr>
            <w:tcW w:w="709" w:type="dxa"/>
            <w:vAlign w:val="center"/>
          </w:tcPr>
          <w:p>
            <w:pPr>
              <w:pStyle w:val="13"/>
            </w:pPr>
            <w:r>
              <w:t>张</w:t>
            </w:r>
          </w:p>
        </w:tc>
        <w:tc>
          <w:tcPr>
            <w:tcW w:w="850" w:type="dxa"/>
            <w:vAlign w:val="center"/>
          </w:tcPr>
          <w:p>
            <w:pPr>
              <w:pStyle w:val="11"/>
            </w:pPr>
            <w:r>
              <w:t>15</w:t>
            </w:r>
          </w:p>
        </w:tc>
        <w:tc>
          <w:tcPr>
            <w:tcW w:w="850" w:type="dxa"/>
            <w:vAlign w:val="center"/>
          </w:tcPr>
          <w:p>
            <w:pPr>
              <w:pStyle w:val="11"/>
            </w:pPr>
            <w:r>
              <w:t>0.10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套</w:t>
            </w:r>
          </w:p>
        </w:tc>
        <w:tc>
          <w:tcPr>
            <w:tcW w:w="850" w:type="dxa"/>
            <w:vAlign w:val="center"/>
          </w:tcPr>
          <w:p>
            <w:pPr>
              <w:pStyle w:val="11"/>
            </w:pPr>
            <w:r>
              <w:t>50</w:t>
            </w:r>
          </w:p>
        </w:tc>
        <w:tc>
          <w:tcPr>
            <w:tcW w:w="850" w:type="dxa"/>
            <w:vAlign w:val="center"/>
          </w:tcPr>
          <w:p>
            <w:pPr>
              <w:pStyle w:val="11"/>
            </w:pPr>
            <w:r>
              <w:t>0.08</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0.15</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70</w:t>
            </w:r>
          </w:p>
        </w:tc>
        <w:tc>
          <w:tcPr>
            <w:tcW w:w="850" w:type="dxa"/>
            <w:vAlign w:val="center"/>
          </w:tcPr>
          <w:p>
            <w:pPr>
              <w:pStyle w:val="11"/>
            </w:pPr>
            <w:r>
              <w:t>0.06</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150</w:t>
            </w:r>
          </w:p>
        </w:tc>
        <w:tc>
          <w:tcPr>
            <w:tcW w:w="850" w:type="dxa"/>
            <w:vAlign w:val="center"/>
          </w:tcPr>
          <w:p>
            <w:pPr>
              <w:pStyle w:val="11"/>
            </w:pPr>
            <w:r>
              <w:t>0.03</w:t>
            </w:r>
          </w:p>
        </w:tc>
        <w:tc>
          <w:tcPr>
            <w:tcW w:w="964" w:type="dxa"/>
            <w:vAlign w:val="center"/>
          </w:tcPr>
          <w:p>
            <w:pPr>
              <w:pStyle w:val="11"/>
            </w:pPr>
            <w:r>
              <w:t>3.90</w:t>
            </w:r>
          </w:p>
        </w:tc>
        <w:tc>
          <w:tcPr>
            <w:tcW w:w="964" w:type="dxa"/>
            <w:vAlign w:val="center"/>
          </w:tcPr>
          <w:p>
            <w:pPr>
              <w:pStyle w:val="11"/>
            </w:pPr>
            <w:r>
              <w:t>3.90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30</w:t>
            </w:r>
          </w:p>
        </w:tc>
        <w:tc>
          <w:tcPr>
            <w:tcW w:w="850" w:type="dxa"/>
            <w:vAlign w:val="center"/>
          </w:tcPr>
          <w:p>
            <w:pPr>
              <w:pStyle w:val="11"/>
            </w:pPr>
            <w:r>
              <w:t>0.06</w:t>
            </w:r>
          </w:p>
        </w:tc>
        <w:tc>
          <w:tcPr>
            <w:tcW w:w="964" w:type="dxa"/>
            <w:vAlign w:val="center"/>
          </w:tcPr>
          <w:p>
            <w:pPr>
              <w:pStyle w:val="11"/>
            </w:pPr>
            <w:r>
              <w:t>1.65</w:t>
            </w:r>
          </w:p>
        </w:tc>
        <w:tc>
          <w:tcPr>
            <w:tcW w:w="964" w:type="dxa"/>
            <w:vAlign w:val="center"/>
          </w:tcPr>
          <w:p>
            <w:pPr>
              <w:pStyle w:val="11"/>
            </w:pPr>
            <w:r>
              <w:t>1.65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40</w:t>
            </w:r>
          </w:p>
        </w:tc>
        <w:tc>
          <w:tcPr>
            <w:tcW w:w="850" w:type="dxa"/>
            <w:vAlign w:val="center"/>
          </w:tcPr>
          <w:p>
            <w:pPr>
              <w:pStyle w:val="11"/>
            </w:pPr>
            <w:r>
              <w:t>0.05</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更衣柜</w:t>
            </w:r>
          </w:p>
        </w:tc>
        <w:tc>
          <w:tcPr>
            <w:tcW w:w="1134" w:type="dxa"/>
            <w:vAlign w:val="center"/>
          </w:tcPr>
          <w:p>
            <w:pPr>
              <w:pStyle w:val="12"/>
            </w:pPr>
            <w:r>
              <w:t>A05010503</w:t>
            </w:r>
          </w:p>
        </w:tc>
        <w:tc>
          <w:tcPr>
            <w:tcW w:w="709" w:type="dxa"/>
            <w:vAlign w:val="center"/>
          </w:tcPr>
          <w:p>
            <w:pPr>
              <w:pStyle w:val="13"/>
            </w:pPr>
            <w:r>
              <w:t>件</w:t>
            </w:r>
          </w:p>
        </w:tc>
        <w:tc>
          <w:tcPr>
            <w:tcW w:w="850" w:type="dxa"/>
            <w:vAlign w:val="center"/>
          </w:tcPr>
          <w:p>
            <w:pPr>
              <w:pStyle w:val="11"/>
            </w:pPr>
            <w:r>
              <w:t>20</w:t>
            </w:r>
          </w:p>
        </w:tc>
        <w:tc>
          <w:tcPr>
            <w:tcW w:w="850" w:type="dxa"/>
            <w:vAlign w:val="center"/>
          </w:tcPr>
          <w:p>
            <w:pPr>
              <w:pStyle w:val="11"/>
            </w:pPr>
            <w:r>
              <w:t>0.06</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更衣柜</w:t>
            </w:r>
          </w:p>
        </w:tc>
        <w:tc>
          <w:tcPr>
            <w:tcW w:w="1134" w:type="dxa"/>
            <w:vAlign w:val="center"/>
          </w:tcPr>
          <w:p>
            <w:pPr>
              <w:pStyle w:val="12"/>
            </w:pPr>
            <w:r>
              <w:t>A05010503</w:t>
            </w:r>
          </w:p>
        </w:tc>
        <w:tc>
          <w:tcPr>
            <w:tcW w:w="709" w:type="dxa"/>
            <w:vAlign w:val="center"/>
          </w:tcPr>
          <w:p>
            <w:pPr>
              <w:pStyle w:val="13"/>
            </w:pPr>
            <w:r>
              <w:t>件</w:t>
            </w:r>
          </w:p>
        </w:tc>
        <w:tc>
          <w:tcPr>
            <w:tcW w:w="850" w:type="dxa"/>
            <w:vAlign w:val="center"/>
          </w:tcPr>
          <w:p>
            <w:pPr>
              <w:pStyle w:val="11"/>
            </w:pPr>
            <w:r>
              <w:t>18</w:t>
            </w:r>
          </w:p>
        </w:tc>
        <w:tc>
          <w:tcPr>
            <w:tcW w:w="850" w:type="dxa"/>
            <w:vAlign w:val="center"/>
          </w:tcPr>
          <w:p>
            <w:pPr>
              <w:pStyle w:val="11"/>
            </w:pPr>
            <w:r>
              <w:t>0.09</w:t>
            </w:r>
          </w:p>
        </w:tc>
        <w:tc>
          <w:tcPr>
            <w:tcW w:w="964" w:type="dxa"/>
            <w:vAlign w:val="center"/>
          </w:tcPr>
          <w:p>
            <w:pPr>
              <w:pStyle w:val="11"/>
            </w:pPr>
            <w:r>
              <w:t>1.62</w:t>
            </w:r>
          </w:p>
        </w:tc>
        <w:tc>
          <w:tcPr>
            <w:tcW w:w="964" w:type="dxa"/>
            <w:vAlign w:val="center"/>
          </w:tcPr>
          <w:p>
            <w:pPr>
              <w:pStyle w:val="11"/>
            </w:pPr>
            <w:r>
              <w:t>1.62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金属质架类</w:t>
            </w:r>
          </w:p>
        </w:tc>
        <w:tc>
          <w:tcPr>
            <w:tcW w:w="1134" w:type="dxa"/>
            <w:vAlign w:val="center"/>
          </w:tcPr>
          <w:p>
            <w:pPr>
              <w:pStyle w:val="12"/>
            </w:pPr>
            <w:r>
              <w:t>A05010602</w:t>
            </w:r>
          </w:p>
        </w:tc>
        <w:tc>
          <w:tcPr>
            <w:tcW w:w="709" w:type="dxa"/>
            <w:vAlign w:val="center"/>
          </w:tcPr>
          <w:p>
            <w:pPr>
              <w:pStyle w:val="13"/>
            </w:pPr>
            <w:r>
              <w:t>组</w:t>
            </w:r>
          </w:p>
        </w:tc>
        <w:tc>
          <w:tcPr>
            <w:tcW w:w="850" w:type="dxa"/>
            <w:vAlign w:val="center"/>
          </w:tcPr>
          <w:p>
            <w:pPr>
              <w:pStyle w:val="11"/>
            </w:pPr>
            <w:r>
              <w:t>6</w:t>
            </w:r>
          </w:p>
        </w:tc>
        <w:tc>
          <w:tcPr>
            <w:tcW w:w="850" w:type="dxa"/>
            <w:vAlign w:val="center"/>
          </w:tcPr>
          <w:p>
            <w:pPr>
              <w:pStyle w:val="11"/>
            </w:pPr>
            <w:r>
              <w:t>0.09</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金属质架类</w:t>
            </w:r>
          </w:p>
        </w:tc>
        <w:tc>
          <w:tcPr>
            <w:tcW w:w="1134" w:type="dxa"/>
            <w:vAlign w:val="center"/>
          </w:tcPr>
          <w:p>
            <w:pPr>
              <w:pStyle w:val="12"/>
            </w:pPr>
            <w:r>
              <w:t>A05010602</w:t>
            </w:r>
          </w:p>
        </w:tc>
        <w:tc>
          <w:tcPr>
            <w:tcW w:w="709" w:type="dxa"/>
            <w:vAlign w:val="center"/>
          </w:tcPr>
          <w:p>
            <w:pPr>
              <w:pStyle w:val="13"/>
            </w:pPr>
            <w:r>
              <w:t>组</w:t>
            </w:r>
          </w:p>
        </w:tc>
        <w:tc>
          <w:tcPr>
            <w:tcW w:w="850" w:type="dxa"/>
            <w:vAlign w:val="center"/>
          </w:tcPr>
          <w:p>
            <w:pPr>
              <w:pStyle w:val="11"/>
            </w:pPr>
            <w:r>
              <w:t>10</w:t>
            </w:r>
          </w:p>
        </w:tc>
        <w:tc>
          <w:tcPr>
            <w:tcW w:w="850" w:type="dxa"/>
            <w:vAlign w:val="center"/>
          </w:tcPr>
          <w:p>
            <w:pPr>
              <w:pStyle w:val="11"/>
            </w:pPr>
            <w:r>
              <w:t>0.05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其他架类</w:t>
            </w:r>
          </w:p>
        </w:tc>
        <w:tc>
          <w:tcPr>
            <w:tcW w:w="1134" w:type="dxa"/>
            <w:vAlign w:val="center"/>
          </w:tcPr>
          <w:p>
            <w:pPr>
              <w:pStyle w:val="12"/>
            </w:pPr>
            <w:r>
              <w:t>A05010699</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0.04</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箱</w:t>
            </w:r>
          </w:p>
        </w:tc>
        <w:tc>
          <w:tcPr>
            <w:tcW w:w="850" w:type="dxa"/>
            <w:vAlign w:val="center"/>
          </w:tcPr>
          <w:p>
            <w:pPr>
              <w:pStyle w:val="11"/>
            </w:pPr>
            <w:r>
              <w:t>450</w:t>
            </w:r>
          </w:p>
        </w:tc>
        <w:tc>
          <w:tcPr>
            <w:tcW w:w="850" w:type="dxa"/>
            <w:vAlign w:val="center"/>
          </w:tcPr>
          <w:p>
            <w:pPr>
              <w:pStyle w:val="11"/>
            </w:pPr>
            <w:r>
              <w:t>0.02</w:t>
            </w:r>
          </w:p>
        </w:tc>
        <w:tc>
          <w:tcPr>
            <w:tcW w:w="964" w:type="dxa"/>
            <w:vAlign w:val="center"/>
          </w:tcPr>
          <w:p>
            <w:pPr>
              <w:pStyle w:val="11"/>
            </w:pPr>
            <w:r>
              <w:t>7.65</w:t>
            </w:r>
          </w:p>
        </w:tc>
        <w:tc>
          <w:tcPr>
            <w:tcW w:w="964" w:type="dxa"/>
            <w:vAlign w:val="center"/>
          </w:tcPr>
          <w:p>
            <w:pPr>
              <w:pStyle w:val="11"/>
            </w:pPr>
            <w:r>
              <w:t>7.65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保安服务费</w:t>
            </w:r>
          </w:p>
        </w:tc>
        <w:tc>
          <w:tcPr>
            <w:tcW w:w="964" w:type="dxa"/>
            <w:vAlign w:val="center"/>
          </w:tcPr>
          <w:p>
            <w:pPr>
              <w:pStyle w:val="11"/>
            </w:pPr>
            <w:r>
              <w:t>86.20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86.20</w:t>
            </w:r>
          </w:p>
        </w:tc>
        <w:tc>
          <w:tcPr>
            <w:tcW w:w="964" w:type="dxa"/>
            <w:vAlign w:val="center"/>
          </w:tcPr>
          <w:p>
            <w:pPr>
              <w:pStyle w:val="11"/>
            </w:pPr>
            <w:r>
              <w:t>86.20</w:t>
            </w:r>
          </w:p>
        </w:tc>
        <w:tc>
          <w:tcPr>
            <w:tcW w:w="964" w:type="dxa"/>
            <w:vAlign w:val="center"/>
          </w:tcPr>
          <w:p>
            <w:pPr>
              <w:pStyle w:val="11"/>
            </w:pPr>
            <w:r>
              <w:t>86.20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冀财政法【2023】49号/中央/提前下达2024年中央政法纪检监察转移支付资金/装备</w:t>
            </w:r>
          </w:p>
        </w:tc>
        <w:tc>
          <w:tcPr>
            <w:tcW w:w="964" w:type="dxa"/>
            <w:vAlign w:val="center"/>
          </w:tcPr>
          <w:p>
            <w:pPr>
              <w:pStyle w:val="11"/>
            </w:pPr>
            <w:r>
              <w:t>205.00</w:t>
            </w:r>
          </w:p>
        </w:tc>
        <w:tc>
          <w:tcPr>
            <w:tcW w:w="1134" w:type="dxa"/>
            <w:vAlign w:val="center"/>
          </w:tcPr>
          <w:p>
            <w:pPr>
              <w:pStyle w:val="12"/>
            </w:pPr>
            <w:r>
              <w:t>其他政法、消防、检测设备</w:t>
            </w:r>
          </w:p>
        </w:tc>
        <w:tc>
          <w:tcPr>
            <w:tcW w:w="1134" w:type="dxa"/>
            <w:vAlign w:val="center"/>
          </w:tcPr>
          <w:p>
            <w:pPr>
              <w:pStyle w:val="12"/>
            </w:pPr>
            <w:r>
              <w:t>A02379900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41.82</w:t>
            </w:r>
          </w:p>
        </w:tc>
        <w:tc>
          <w:tcPr>
            <w:tcW w:w="964" w:type="dxa"/>
            <w:vAlign w:val="center"/>
          </w:tcPr>
          <w:p>
            <w:pPr>
              <w:pStyle w:val="11"/>
            </w:pPr>
            <w:r>
              <w:t>41.82</w:t>
            </w:r>
          </w:p>
        </w:tc>
        <w:tc>
          <w:tcPr>
            <w:tcW w:w="964" w:type="dxa"/>
            <w:vAlign w:val="center"/>
          </w:tcPr>
          <w:p>
            <w:pPr>
              <w:pStyle w:val="11"/>
            </w:pPr>
            <w:r>
              <w:t>41.82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冀财政法【2023】50号/省级/提前下达2024年基层公检法司转移支付资金/装备</w:t>
            </w:r>
          </w:p>
        </w:tc>
        <w:tc>
          <w:tcPr>
            <w:tcW w:w="964" w:type="dxa"/>
            <w:vAlign w:val="center"/>
          </w:tcPr>
          <w:p>
            <w:pPr>
              <w:pStyle w:val="11"/>
            </w:pPr>
            <w:r>
              <w:t>117.00</w:t>
            </w:r>
          </w:p>
        </w:tc>
        <w:tc>
          <w:tcPr>
            <w:tcW w:w="1134" w:type="dxa"/>
            <w:vAlign w:val="center"/>
          </w:tcPr>
          <w:p>
            <w:pPr>
              <w:pStyle w:val="12"/>
            </w:pPr>
            <w:r>
              <w:t>警车</w:t>
            </w:r>
          </w:p>
        </w:tc>
        <w:tc>
          <w:tcPr>
            <w:tcW w:w="1134" w:type="dxa"/>
            <w:vAlign w:val="center"/>
          </w:tcPr>
          <w:p>
            <w:pPr>
              <w:pStyle w:val="12"/>
            </w:pPr>
            <w:r>
              <w:t>A02030610</w:t>
            </w:r>
          </w:p>
        </w:tc>
        <w:tc>
          <w:tcPr>
            <w:tcW w:w="709" w:type="dxa"/>
            <w:vAlign w:val="center"/>
          </w:tcPr>
          <w:p>
            <w:pPr>
              <w:pStyle w:val="13"/>
            </w:pPr>
            <w:r>
              <w:t>辆</w:t>
            </w:r>
          </w:p>
        </w:tc>
        <w:tc>
          <w:tcPr>
            <w:tcW w:w="850" w:type="dxa"/>
            <w:vAlign w:val="center"/>
          </w:tcPr>
          <w:p>
            <w:pPr>
              <w:pStyle w:val="11"/>
              <w:rPr>
                <w:rFonts w:hint="eastAsia" w:eastAsiaTheme="minorEastAsia"/>
                <w:lang w:eastAsia="zh-CN"/>
              </w:rPr>
            </w:pPr>
            <w:r>
              <w:rPr>
                <w:rFonts w:hint="eastAsia" w:eastAsiaTheme="minorEastAsia"/>
                <w:lang w:eastAsia="zh-CN"/>
              </w:rPr>
              <w:t>3.6</w:t>
            </w:r>
          </w:p>
        </w:tc>
        <w:tc>
          <w:tcPr>
            <w:tcW w:w="850" w:type="dxa"/>
            <w:vAlign w:val="center"/>
          </w:tcPr>
          <w:p>
            <w:pPr>
              <w:pStyle w:val="11"/>
            </w:pPr>
            <w:r>
              <w:t>12.50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冀财政法【2023】50号/省级/提前下达2024年基层公检法司转移支付资金/装备</w:t>
            </w:r>
          </w:p>
        </w:tc>
        <w:tc>
          <w:tcPr>
            <w:tcW w:w="964" w:type="dxa"/>
            <w:vAlign w:val="center"/>
          </w:tcPr>
          <w:p>
            <w:pPr>
              <w:pStyle w:val="11"/>
            </w:pPr>
            <w:r>
              <w:t>117.00</w:t>
            </w:r>
          </w:p>
        </w:tc>
        <w:tc>
          <w:tcPr>
            <w:tcW w:w="1134" w:type="dxa"/>
            <w:vAlign w:val="center"/>
          </w:tcPr>
          <w:p>
            <w:pPr>
              <w:pStyle w:val="12"/>
            </w:pPr>
            <w:r>
              <w:t>制服</w:t>
            </w:r>
          </w:p>
        </w:tc>
        <w:tc>
          <w:tcPr>
            <w:tcW w:w="1134" w:type="dxa"/>
            <w:vAlign w:val="center"/>
          </w:tcPr>
          <w:p>
            <w:pPr>
              <w:pStyle w:val="12"/>
            </w:pPr>
            <w:r>
              <w:t>A05030301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43.09</w:t>
            </w:r>
          </w:p>
        </w:tc>
        <w:tc>
          <w:tcPr>
            <w:tcW w:w="964" w:type="dxa"/>
            <w:vAlign w:val="center"/>
          </w:tcPr>
          <w:p>
            <w:pPr>
              <w:pStyle w:val="11"/>
            </w:pPr>
            <w:r>
              <w:t>43.09</w:t>
            </w:r>
          </w:p>
        </w:tc>
        <w:tc>
          <w:tcPr>
            <w:tcW w:w="964" w:type="dxa"/>
            <w:vAlign w:val="center"/>
          </w:tcPr>
          <w:p>
            <w:pPr>
              <w:pStyle w:val="11"/>
            </w:pPr>
            <w:r>
              <w:t>43.09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隆尧县看守所小计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4.20</w:t>
            </w:r>
          </w:p>
        </w:tc>
        <w:tc>
          <w:tcPr>
            <w:tcW w:w="964" w:type="dxa"/>
            <w:vAlign w:val="center"/>
          </w:tcPr>
          <w:p>
            <w:pPr>
              <w:pStyle w:val="15"/>
            </w:pPr>
            <w:r>
              <w:t>4.20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看守所专项经费</w:t>
            </w:r>
          </w:p>
        </w:tc>
        <w:tc>
          <w:tcPr>
            <w:tcW w:w="964" w:type="dxa"/>
            <w:vAlign w:val="center"/>
          </w:tcPr>
          <w:p>
            <w:pPr>
              <w:pStyle w:val="11"/>
            </w:pPr>
            <w:r>
              <w:t>50.00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看守所专项经费</w:t>
            </w:r>
          </w:p>
        </w:tc>
        <w:tc>
          <w:tcPr>
            <w:tcW w:w="964" w:type="dxa"/>
            <w:vAlign w:val="center"/>
          </w:tcPr>
          <w:p>
            <w:pPr>
              <w:pStyle w:val="11"/>
            </w:pPr>
            <w:r>
              <w:t>50.00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个</w:t>
            </w:r>
          </w:p>
        </w:tc>
        <w:tc>
          <w:tcPr>
            <w:tcW w:w="850" w:type="dxa"/>
            <w:vAlign w:val="center"/>
          </w:tcPr>
          <w:p>
            <w:pPr>
              <w:pStyle w:val="11"/>
            </w:pPr>
            <w:r>
              <w:t>20</w:t>
            </w:r>
          </w:p>
        </w:tc>
        <w:tc>
          <w:tcPr>
            <w:tcW w:w="850" w:type="dxa"/>
            <w:vAlign w:val="center"/>
          </w:tcPr>
          <w:p>
            <w:pPr>
              <w:pStyle w:val="11"/>
            </w:pPr>
            <w:r>
              <w:t>0.03</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看守所专项经费</w:t>
            </w:r>
          </w:p>
        </w:tc>
        <w:tc>
          <w:tcPr>
            <w:tcW w:w="964" w:type="dxa"/>
            <w:vAlign w:val="center"/>
          </w:tcPr>
          <w:p>
            <w:pPr>
              <w:pStyle w:val="11"/>
            </w:pPr>
            <w:r>
              <w:t>50.00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看守所专项经费</w:t>
            </w:r>
          </w:p>
        </w:tc>
        <w:tc>
          <w:tcPr>
            <w:tcW w:w="964" w:type="dxa"/>
            <w:vAlign w:val="center"/>
          </w:tcPr>
          <w:p>
            <w:pPr>
              <w:pStyle w:val="11"/>
            </w:pPr>
            <w:r>
              <w:t>50.00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0.13</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武警中队保障经费</w:t>
            </w:r>
          </w:p>
        </w:tc>
        <w:tc>
          <w:tcPr>
            <w:tcW w:w="964" w:type="dxa"/>
            <w:vAlign w:val="center"/>
          </w:tcPr>
          <w:p>
            <w:pPr>
              <w:pStyle w:val="11"/>
            </w:pPr>
            <w:r>
              <w:t>12.75</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0.65</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隆尧县公安局（含所属单位）上年末固定资产金额为7792.35万元（详见下表）。本年度拟购置固定资产总额为278.91万元，已按要求列入政府采购预算，详见政府采购预算表。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312隆尧县公安局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7792.35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17915.91</w:t>
            </w:r>
          </w:p>
        </w:tc>
        <w:tc>
          <w:tcPr>
            <w:tcW w:w="2835" w:type="dxa"/>
            <w:vAlign w:val="center"/>
          </w:tcPr>
          <w:p>
            <w:pPr>
              <w:pStyle w:val="11"/>
            </w:pPr>
            <w:r>
              <w:t>2352.72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17915.91</w:t>
            </w:r>
          </w:p>
        </w:tc>
        <w:tc>
          <w:tcPr>
            <w:tcW w:w="2835" w:type="dxa"/>
            <w:vAlign w:val="center"/>
          </w:tcPr>
          <w:p>
            <w:pPr>
              <w:pStyle w:val="11"/>
            </w:pPr>
            <w:r>
              <w:t>2352.72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45</w:t>
            </w:r>
          </w:p>
        </w:tc>
        <w:tc>
          <w:tcPr>
            <w:tcW w:w="2835" w:type="dxa"/>
            <w:vAlign w:val="center"/>
          </w:tcPr>
          <w:p>
            <w:pPr>
              <w:pStyle w:val="11"/>
            </w:pPr>
            <w:r>
              <w:t>571.90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31</w:t>
            </w:r>
          </w:p>
        </w:tc>
        <w:tc>
          <w:tcPr>
            <w:tcW w:w="2835" w:type="dxa"/>
            <w:vAlign w:val="center"/>
          </w:tcPr>
          <w:p>
            <w:pPr>
              <w:pStyle w:val="11"/>
            </w:pPr>
            <w:r>
              <w:t>2756.73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7974</w:t>
            </w:r>
          </w:p>
        </w:tc>
        <w:tc>
          <w:tcPr>
            <w:tcW w:w="2835" w:type="dxa"/>
            <w:vAlign w:val="center"/>
          </w:tcPr>
          <w:p>
            <w:pPr>
              <w:pStyle w:val="11"/>
            </w:pPr>
            <w:r>
              <w:t>2111.00</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63E4"/>
    <w:rsid w:val="001C58A8"/>
    <w:rsid w:val="00500622"/>
    <w:rsid w:val="00526EA9"/>
    <w:rsid w:val="007274D9"/>
    <w:rsid w:val="00CC63E4"/>
    <w:rsid w:val="00FD0EF5"/>
    <w:rsid w:val="1F050F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autoRedefine/>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TOC 2"/>
    <w:basedOn w:val="1"/>
    <w:autoRedefine/>
    <w:qFormat/>
    <w:uiPriority w:val="0"/>
    <w:pPr>
      <w:ind w:left="240"/>
    </w:pPr>
  </w:style>
  <w:style w:type="paragraph" w:customStyle="1" w:styleId="26">
    <w:name w:val="TOC 3"/>
    <w:basedOn w:val="1"/>
    <w:autoRedefine/>
    <w:qFormat/>
    <w:uiPriority w:val="0"/>
    <w:pPr>
      <w:ind w:left="480"/>
    </w:pPr>
  </w:style>
  <w:style w:type="paragraph" w:customStyle="1" w:styleId="27">
    <w:name w:val="TOC 1"/>
    <w:basedOn w:val="1"/>
    <w:autoRedefine/>
    <w:qFormat/>
    <w:uiPriority w:val="0"/>
    <w:pPr>
      <w:spacing w:before="120"/>
      <w:ind w:firstLine="560"/>
    </w:pPr>
    <w:rPr>
      <w:rFonts w:eastAsia="方正仿宋_GBK"/>
      <w:color w:val="000000"/>
      <w:sz w:val="28"/>
    </w:rPr>
  </w:style>
  <w:style w:type="character" w:customStyle="1" w:styleId="28">
    <w:name w:val="页眉 Char"/>
    <w:basedOn w:val="6"/>
    <w:link w:val="3"/>
    <w:autoRedefine/>
    <w:semiHidden/>
    <w:qFormat/>
    <w:uiPriority w:val="99"/>
    <w:rPr>
      <w:rFonts w:eastAsia="Times New Roman"/>
      <w:sz w:val="18"/>
      <w:szCs w:val="18"/>
      <w:lang w:eastAsia="uk-UA"/>
    </w:rPr>
  </w:style>
  <w:style w:type="character" w:customStyle="1" w:styleId="29">
    <w:name w:val="页脚 Char"/>
    <w:basedOn w:val="6"/>
    <w:link w:val="2"/>
    <w:autoRedefine/>
    <w:semiHidden/>
    <w:qFormat/>
    <w:uiPriority w:val="99"/>
    <w:rPr>
      <w:rFonts w:eastAsia="Times New Roman"/>
      <w:sz w:val="18"/>
      <w:szCs w:val="18"/>
      <w:lang w:eastAsia="uk-UA"/>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2024-02-06T15:27:58Z</dcterms:created>
  <dcterms:modified xsi:type="dcterms:W3CDTF">2024-02-06T07:27:58Z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2024-02-06T15:28:01Z</dcterms:created>
  <dcterms:modified xsi:type="dcterms:W3CDTF">2024-02-06T07:28:01Z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2024-02-06T15:28:02Z</dcterms:created>
  <dcterms:modified xsi:type="dcterms:W3CDTF">2024-02-06T07:28:02Z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2024-02-06T15:28:04Z</dcterms:created>
  <dcterms:modified xsi:type="dcterms:W3CDTF">2024-02-06T07:28:04Z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2024-02-06T15:27:58Z</dcterms:created>
  <dcterms:modified xsi:type="dcterms:W3CDTF">2024-02-06T07:27:58Z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2024-02-06T15:27:57Z</dcterms:created>
  <dcterms:modified xsi:type="dcterms:W3CDTF">2024-02-06T07:27:57Z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2024-02-06T15:28:03Z</dcterms:created>
  <dcterms:modified xsi:type="dcterms:W3CDTF">2024-02-06T07:28:03Z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2024-02-06T15:28:02Z</dcterms:created>
  <dcterms:modified xsi:type="dcterms:W3CDTF">2024-02-06T07:28:02Z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2024-02-06T15:28:00Z</dcterms:created>
  <dcterms:modified xsi:type="dcterms:W3CDTF">2024-02-06T07:28:00Z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2024-02-06T15:27:59Z</dcterms:created>
  <dcterms:modified xsi:type="dcterms:W3CDTF">2024-02-06T07:27:59Z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2024-02-06T15:28:03Z</dcterms:created>
  <dcterms:modified xsi:type="dcterms:W3CDTF">2024-02-06T07:28:03Z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2024-02-06T15:27:59Z</dcterms:created>
  <dcterms:modified xsi:type="dcterms:W3CDTF">2024-02-06T07:27:59Z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2024-02-06T15:28:02Z</dcterms:created>
  <dcterms:modified xsi:type="dcterms:W3CDTF">2024-02-06T07:28:02Z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2024-02-06T15:28:00Z</dcterms:created>
  <dcterms:modified xsi:type="dcterms:W3CDTF">2024-02-06T07:28:00Z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2024-02-06T15:28:01Z</dcterms:created>
  <dcterms:modified xsi:type="dcterms:W3CDTF">2024-02-06T07:28:01Z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2024-02-06T15:28:04Z</dcterms:created>
  <dcterms:modified xsi:type="dcterms:W3CDTF">2024-02-06T07:28:04Z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2024-02-06T15:28:01Z</dcterms:created>
  <dcterms:modified xsi:type="dcterms:W3CDTF">2024-02-06T07:28:01Z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2024-02-06T15:27:57Z</dcterms:created>
  <dcterms:modified xsi:type="dcterms:W3CDTF">2024-02-06T07:27:57Z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2024-02-06T15:28:04Z</dcterms:created>
  <dcterms:modified xsi:type="dcterms:W3CDTF">2024-02-06T07:28:04Z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2024-02-06T15:28:01Z</dcterms:created>
  <dcterms:modified xsi:type="dcterms:W3CDTF">2024-02-06T07:28:01Z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2024-02-06T15:27:58Z</dcterms:created>
  <dcterms:modified xsi:type="dcterms:W3CDTF">2024-02-06T07:27:58Z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2024-02-06T15:28:00Z</dcterms:created>
  <dcterms:modified xsi:type="dcterms:W3CDTF">2024-02-06T07:28:00Z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2024-02-06T15:28:03Z</dcterms:created>
  <dcterms:modified xsi:type="dcterms:W3CDTF">2024-02-06T07:28:03Z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2024-02-06T15:28:00Z</dcterms:created>
  <dcterms:modified xsi:type="dcterms:W3CDTF">2024-02-06T07:28:00Z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2024-02-06T15:27:59Z</dcterms:created>
  <dcterms:modified xsi:type="dcterms:W3CDTF">2024-02-06T07:27:59Z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2024-02-06T15:27:58Z</dcterms:created>
  <dcterms:modified xsi:type="dcterms:W3CDTF">2024-02-06T07:27:58Z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2024-02-06T15:27:57Z</dcterms:created>
  <dcterms:modified xsi:type="dcterms:W3CDTF">2024-02-06T07:27:57Z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2024-02-06T15:28:04Z</dcterms:created>
  <dcterms:modified xsi:type="dcterms:W3CDTF">2024-02-06T07:28:04Z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2024-02-06T15:28:05Z</dcterms:created>
  <dcterms:modified xsi:type="dcterms:W3CDTF">2024-02-06T07:28:05Z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2024-02-06T15:27:54Z</dcterms:created>
  <dcterms:modified xsi:type="dcterms:W3CDTF">2024-02-06T07:27:53Z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2024-02-06T15:28:02Z</dcterms:created>
  <dcterms:modified xsi:type="dcterms:W3CDTF">2024-02-06T07:28:02Z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2024-02-06T15:27:59Z</dcterms:created>
  <dcterms:modified xsi:type="dcterms:W3CDTF">2024-02-06T07:27:59Z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E9B8DD8-DBD5-4A43-8FC5-C0246E4BAAB0}">
  <ds:schemaRefs/>
</ds:datastoreItem>
</file>

<file path=customXml/itemProps10.xml><?xml version="1.0" encoding="utf-8"?>
<ds:datastoreItem xmlns:ds="http://schemas.openxmlformats.org/officeDocument/2006/customXml" ds:itemID="{91ED8EDA-A8EA-4AEB-8FFE-99573490D8CF}">
  <ds:schemaRefs/>
</ds:datastoreItem>
</file>

<file path=customXml/itemProps11.xml><?xml version="1.0" encoding="utf-8"?>
<ds:datastoreItem xmlns:ds="http://schemas.openxmlformats.org/officeDocument/2006/customXml" ds:itemID="{D5F9504A-1F10-4447-974A-BE46E81F3617}">
  <ds:schemaRefs/>
</ds:datastoreItem>
</file>

<file path=customXml/itemProps12.xml><?xml version="1.0" encoding="utf-8"?>
<ds:datastoreItem xmlns:ds="http://schemas.openxmlformats.org/officeDocument/2006/customXml" ds:itemID="{7A37A2BF-4822-4178-A4A7-6CCE29E102BB}">
  <ds:schemaRefs/>
</ds:datastoreItem>
</file>

<file path=customXml/itemProps13.xml><?xml version="1.0" encoding="utf-8"?>
<ds:datastoreItem xmlns:ds="http://schemas.openxmlformats.org/officeDocument/2006/customXml" ds:itemID="{7B4F8092-DF10-489F-BF26-81A03EB8B4AB}">
  <ds:schemaRefs/>
</ds:datastoreItem>
</file>

<file path=customXml/itemProps14.xml><?xml version="1.0" encoding="utf-8"?>
<ds:datastoreItem xmlns:ds="http://schemas.openxmlformats.org/officeDocument/2006/customXml" ds:itemID="{DD27015A-36DD-436A-877F-E65D56D11D13}">
  <ds:schemaRefs/>
</ds:datastoreItem>
</file>

<file path=customXml/itemProps15.xml><?xml version="1.0" encoding="utf-8"?>
<ds:datastoreItem xmlns:ds="http://schemas.openxmlformats.org/officeDocument/2006/customXml" ds:itemID="{2F9C024B-800E-46A5-9B19-DE1F614CBD56}">
  <ds:schemaRefs/>
</ds:datastoreItem>
</file>

<file path=customXml/itemProps16.xml><?xml version="1.0" encoding="utf-8"?>
<ds:datastoreItem xmlns:ds="http://schemas.openxmlformats.org/officeDocument/2006/customXml" ds:itemID="{DEB1A297-40B0-47F4-9CA5-90A3B2AF0F50}">
  <ds:schemaRefs/>
</ds:datastoreItem>
</file>

<file path=customXml/itemProps17.xml><?xml version="1.0" encoding="utf-8"?>
<ds:datastoreItem xmlns:ds="http://schemas.openxmlformats.org/officeDocument/2006/customXml" ds:itemID="{214F1B3D-3FEE-4F9A-8DC3-509015B16201}">
  <ds:schemaRefs/>
</ds:datastoreItem>
</file>

<file path=customXml/itemProps18.xml><?xml version="1.0" encoding="utf-8"?>
<ds:datastoreItem xmlns:ds="http://schemas.openxmlformats.org/officeDocument/2006/customXml" ds:itemID="{7C5D771F-37B8-44B8-AA05-4F88F3B4C732}">
  <ds:schemaRefs/>
</ds:datastoreItem>
</file>

<file path=customXml/itemProps19.xml><?xml version="1.0" encoding="utf-8"?>
<ds:datastoreItem xmlns:ds="http://schemas.openxmlformats.org/officeDocument/2006/customXml" ds:itemID="{8289191B-894C-46C9-A9D4-CF37F47CE356}">
  <ds:schemaRefs/>
</ds:datastoreItem>
</file>

<file path=customXml/itemProps2.xml><?xml version="1.0" encoding="utf-8"?>
<ds:datastoreItem xmlns:ds="http://schemas.openxmlformats.org/officeDocument/2006/customXml" ds:itemID="{C3A5DE26-4030-4EE2-9CDF-5B2C3BE0957C}">
  <ds:schemaRefs/>
</ds:datastoreItem>
</file>

<file path=customXml/itemProps20.xml><?xml version="1.0" encoding="utf-8"?>
<ds:datastoreItem xmlns:ds="http://schemas.openxmlformats.org/officeDocument/2006/customXml" ds:itemID="{02A149BA-6EFD-403D-ABCC-85E66DC8D236}">
  <ds:schemaRefs/>
</ds:datastoreItem>
</file>

<file path=customXml/itemProps21.xml><?xml version="1.0" encoding="utf-8"?>
<ds:datastoreItem xmlns:ds="http://schemas.openxmlformats.org/officeDocument/2006/customXml" ds:itemID="{8B732071-8650-40DA-B49B-52487D9554AC}">
  <ds:schemaRefs/>
</ds:datastoreItem>
</file>

<file path=customXml/itemProps22.xml><?xml version="1.0" encoding="utf-8"?>
<ds:datastoreItem xmlns:ds="http://schemas.openxmlformats.org/officeDocument/2006/customXml" ds:itemID="{987BBB5F-B9AD-486C-ADFA-FB63C801C9C6}">
  <ds:schemaRefs/>
</ds:datastoreItem>
</file>

<file path=customXml/itemProps23.xml><?xml version="1.0" encoding="utf-8"?>
<ds:datastoreItem xmlns:ds="http://schemas.openxmlformats.org/officeDocument/2006/customXml" ds:itemID="{C01B84EA-F4CA-4D50-8B9C-9C2F8D77B22F}">
  <ds:schemaRefs/>
</ds:datastoreItem>
</file>

<file path=customXml/itemProps24.xml><?xml version="1.0" encoding="utf-8"?>
<ds:datastoreItem xmlns:ds="http://schemas.openxmlformats.org/officeDocument/2006/customXml" ds:itemID="{3C23E451-1EE9-41AB-81D9-FD00800E0D92}">
  <ds:schemaRefs/>
</ds:datastoreItem>
</file>

<file path=customXml/itemProps25.xml><?xml version="1.0" encoding="utf-8"?>
<ds:datastoreItem xmlns:ds="http://schemas.openxmlformats.org/officeDocument/2006/customXml" ds:itemID="{3CD7F4CE-D1FD-4C1D-81BA-1E4FBA1CD3C8}">
  <ds:schemaRefs/>
</ds:datastoreItem>
</file>

<file path=customXml/itemProps26.xml><?xml version="1.0" encoding="utf-8"?>
<ds:datastoreItem xmlns:ds="http://schemas.openxmlformats.org/officeDocument/2006/customXml" ds:itemID="{BCA2A3D8-358C-4A9A-AFFA-677723E7843A}">
  <ds:schemaRefs/>
</ds:datastoreItem>
</file>

<file path=customXml/itemProps27.xml><?xml version="1.0" encoding="utf-8"?>
<ds:datastoreItem xmlns:ds="http://schemas.openxmlformats.org/officeDocument/2006/customXml" ds:itemID="{F8EC30BB-0822-49DE-94E4-BBC322F2F01F}">
  <ds:schemaRefs/>
</ds:datastoreItem>
</file>

<file path=customXml/itemProps28.xml><?xml version="1.0" encoding="utf-8"?>
<ds:datastoreItem xmlns:ds="http://schemas.openxmlformats.org/officeDocument/2006/customXml" ds:itemID="{AC5BEBEC-2A57-4608-8F63-31325391A615}">
  <ds:schemaRefs/>
</ds:datastoreItem>
</file>

<file path=customXml/itemProps29.xml><?xml version="1.0" encoding="utf-8"?>
<ds:datastoreItem xmlns:ds="http://schemas.openxmlformats.org/officeDocument/2006/customXml" ds:itemID="{916A25CE-B3F2-4471-AEE6-EE58A2D2480E}">
  <ds:schemaRefs/>
</ds:datastoreItem>
</file>

<file path=customXml/itemProps3.xml><?xml version="1.0" encoding="utf-8"?>
<ds:datastoreItem xmlns:ds="http://schemas.openxmlformats.org/officeDocument/2006/customXml" ds:itemID="{5562A324-4B5C-465B-9246-41B6E6E11017}">
  <ds:schemaRefs/>
</ds:datastoreItem>
</file>

<file path=customXml/itemProps30.xml><?xml version="1.0" encoding="utf-8"?>
<ds:datastoreItem xmlns:ds="http://schemas.openxmlformats.org/officeDocument/2006/customXml" ds:itemID="{682263A2-5FE3-47A1-A4AC-2781DF033B61}">
  <ds:schemaRefs/>
</ds:datastoreItem>
</file>

<file path=customXml/itemProps31.xml><?xml version="1.0" encoding="utf-8"?>
<ds:datastoreItem xmlns:ds="http://schemas.openxmlformats.org/officeDocument/2006/customXml" ds:itemID="{6E175666-42FC-4ADB-9947-02E02DD8BB5E}">
  <ds:schemaRefs/>
</ds:datastoreItem>
</file>

<file path=customXml/itemProps32.xml><?xml version="1.0" encoding="utf-8"?>
<ds:datastoreItem xmlns:ds="http://schemas.openxmlformats.org/officeDocument/2006/customXml" ds:itemID="{2247CA88-A509-462C-BD50-14E9D527E005}">
  <ds:schemaRefs/>
</ds:datastoreItem>
</file>

<file path=customXml/itemProps33.xml><?xml version="1.0" encoding="utf-8"?>
<ds:datastoreItem xmlns:ds="http://schemas.openxmlformats.org/officeDocument/2006/customXml" ds:itemID="{AD4EE08D-47A4-47D5-B833-F2DA3E1A46AE}">
  <ds:schemaRefs/>
</ds:datastoreItem>
</file>

<file path=customXml/itemProps34.xml><?xml version="1.0" encoding="utf-8"?>
<ds:datastoreItem xmlns:ds="http://schemas.openxmlformats.org/officeDocument/2006/customXml" ds:itemID="{2376E4C8-1169-4559-B4E4-3F4B5E8F1CA8}">
  <ds:schemaRefs/>
</ds:datastoreItem>
</file>

<file path=customXml/itemProps35.xml><?xml version="1.0" encoding="utf-8"?>
<ds:datastoreItem xmlns:ds="http://schemas.openxmlformats.org/officeDocument/2006/customXml" ds:itemID="{1FE3854D-75D5-4ED6-99F7-500544D6EED4}">
  <ds:schemaRefs/>
</ds:datastoreItem>
</file>

<file path=customXml/itemProps36.xml><?xml version="1.0" encoding="utf-8"?>
<ds:datastoreItem xmlns:ds="http://schemas.openxmlformats.org/officeDocument/2006/customXml" ds:itemID="{D7D55147-0508-4CE9-A81E-676D19691A67}">
  <ds:schemaRefs/>
</ds:datastoreItem>
</file>

<file path=customXml/itemProps37.xml><?xml version="1.0" encoding="utf-8"?>
<ds:datastoreItem xmlns:ds="http://schemas.openxmlformats.org/officeDocument/2006/customXml" ds:itemID="{0749B9A3-5D6E-4EA4-998C-9582277A15B3}">
  <ds:schemaRefs/>
</ds:datastoreItem>
</file>

<file path=customXml/itemProps38.xml><?xml version="1.0" encoding="utf-8"?>
<ds:datastoreItem xmlns:ds="http://schemas.openxmlformats.org/officeDocument/2006/customXml" ds:itemID="{BF796B40-3379-49FE-A239-906EC0EEE98A}">
  <ds:schemaRefs/>
</ds:datastoreItem>
</file>

<file path=customXml/itemProps39.xml><?xml version="1.0" encoding="utf-8"?>
<ds:datastoreItem xmlns:ds="http://schemas.openxmlformats.org/officeDocument/2006/customXml" ds:itemID="{DE612E72-678C-4362-A776-C014F9E20774}">
  <ds:schemaRefs/>
</ds:datastoreItem>
</file>

<file path=customXml/itemProps4.xml><?xml version="1.0" encoding="utf-8"?>
<ds:datastoreItem xmlns:ds="http://schemas.openxmlformats.org/officeDocument/2006/customXml" ds:itemID="{7726EEB9-FB63-4506-B8C5-8CE7BE10F10A}">
  <ds:schemaRefs/>
</ds:datastoreItem>
</file>

<file path=customXml/itemProps40.xml><?xml version="1.0" encoding="utf-8"?>
<ds:datastoreItem xmlns:ds="http://schemas.openxmlformats.org/officeDocument/2006/customXml" ds:itemID="{668D221E-6F97-4D7C-8766-C0EBD4FDD31C}">
  <ds:schemaRefs/>
</ds:datastoreItem>
</file>

<file path=customXml/itemProps41.xml><?xml version="1.0" encoding="utf-8"?>
<ds:datastoreItem xmlns:ds="http://schemas.openxmlformats.org/officeDocument/2006/customXml" ds:itemID="{D3023203-850B-485C-96D9-5BDB53A6231A}">
  <ds:schemaRefs/>
</ds:datastoreItem>
</file>

<file path=customXml/itemProps42.xml><?xml version="1.0" encoding="utf-8"?>
<ds:datastoreItem xmlns:ds="http://schemas.openxmlformats.org/officeDocument/2006/customXml" ds:itemID="{49A2248B-E6AA-4888-8E24-1C6BC419EC48}">
  <ds:schemaRefs/>
</ds:datastoreItem>
</file>

<file path=customXml/itemProps43.xml><?xml version="1.0" encoding="utf-8"?>
<ds:datastoreItem xmlns:ds="http://schemas.openxmlformats.org/officeDocument/2006/customXml" ds:itemID="{A3777169-4D40-407F-9474-1A3051A73510}">
  <ds:schemaRefs/>
</ds:datastoreItem>
</file>

<file path=customXml/itemProps44.xml><?xml version="1.0" encoding="utf-8"?>
<ds:datastoreItem xmlns:ds="http://schemas.openxmlformats.org/officeDocument/2006/customXml" ds:itemID="{E5CBDF18-390B-4CA0-8688-0D3C992A452A}">
  <ds:schemaRefs/>
</ds:datastoreItem>
</file>

<file path=customXml/itemProps45.xml><?xml version="1.0" encoding="utf-8"?>
<ds:datastoreItem xmlns:ds="http://schemas.openxmlformats.org/officeDocument/2006/customXml" ds:itemID="{A64A1C57-33A5-4C96-BF28-19BFCC5CC880}">
  <ds:schemaRefs/>
</ds:datastoreItem>
</file>

<file path=customXml/itemProps46.xml><?xml version="1.0" encoding="utf-8"?>
<ds:datastoreItem xmlns:ds="http://schemas.openxmlformats.org/officeDocument/2006/customXml" ds:itemID="{79B16034-9C6F-4200-BDA5-4CFACF932C1F}">
  <ds:schemaRefs/>
</ds:datastoreItem>
</file>

<file path=customXml/itemProps47.xml><?xml version="1.0" encoding="utf-8"?>
<ds:datastoreItem xmlns:ds="http://schemas.openxmlformats.org/officeDocument/2006/customXml" ds:itemID="{50FCD68D-8B01-4282-92FF-F94FD054B96A}">
  <ds:schemaRefs/>
</ds:datastoreItem>
</file>

<file path=customXml/itemProps48.xml><?xml version="1.0" encoding="utf-8"?>
<ds:datastoreItem xmlns:ds="http://schemas.openxmlformats.org/officeDocument/2006/customXml" ds:itemID="{C038E67E-79B8-4845-A446-170A8CC0F1C5}">
  <ds:schemaRefs/>
</ds:datastoreItem>
</file>

<file path=customXml/itemProps49.xml><?xml version="1.0" encoding="utf-8"?>
<ds:datastoreItem xmlns:ds="http://schemas.openxmlformats.org/officeDocument/2006/customXml" ds:itemID="{5179184D-7EB3-4A5E-BC18-F17688B0A5C8}">
  <ds:schemaRefs/>
</ds:datastoreItem>
</file>

<file path=customXml/itemProps5.xml><?xml version="1.0" encoding="utf-8"?>
<ds:datastoreItem xmlns:ds="http://schemas.openxmlformats.org/officeDocument/2006/customXml" ds:itemID="{31BB7AB0-B339-4516-ABDC-BB34252C672A}">
  <ds:schemaRefs/>
</ds:datastoreItem>
</file>

<file path=customXml/itemProps50.xml><?xml version="1.0" encoding="utf-8"?>
<ds:datastoreItem xmlns:ds="http://schemas.openxmlformats.org/officeDocument/2006/customXml" ds:itemID="{96AD09A0-D201-4998-8562-CB6ACC36E6D8}">
  <ds:schemaRefs/>
</ds:datastoreItem>
</file>

<file path=customXml/itemProps51.xml><?xml version="1.0" encoding="utf-8"?>
<ds:datastoreItem xmlns:ds="http://schemas.openxmlformats.org/officeDocument/2006/customXml" ds:itemID="{3CD69446-1ED1-485D-A779-7FFDEFA5C6D5}">
  <ds:schemaRefs/>
</ds:datastoreItem>
</file>

<file path=customXml/itemProps52.xml><?xml version="1.0" encoding="utf-8"?>
<ds:datastoreItem xmlns:ds="http://schemas.openxmlformats.org/officeDocument/2006/customXml" ds:itemID="{19536375-3A2A-4A6C-8A46-546EA1A4C602}">
  <ds:schemaRefs/>
</ds:datastoreItem>
</file>

<file path=customXml/itemProps53.xml><?xml version="1.0" encoding="utf-8"?>
<ds:datastoreItem xmlns:ds="http://schemas.openxmlformats.org/officeDocument/2006/customXml" ds:itemID="{FD38CA17-575A-4317-BE0F-A05D6C78352E}">
  <ds:schemaRefs/>
</ds:datastoreItem>
</file>

<file path=customXml/itemProps54.xml><?xml version="1.0" encoding="utf-8"?>
<ds:datastoreItem xmlns:ds="http://schemas.openxmlformats.org/officeDocument/2006/customXml" ds:itemID="{80CD4285-9F46-4676-8E6A-F5DB2B3AE581}">
  <ds:schemaRefs/>
</ds:datastoreItem>
</file>

<file path=customXml/itemProps55.xml><?xml version="1.0" encoding="utf-8"?>
<ds:datastoreItem xmlns:ds="http://schemas.openxmlformats.org/officeDocument/2006/customXml" ds:itemID="{70742AEF-B117-40B7-9E0B-09470503CFE4}">
  <ds:schemaRefs/>
</ds:datastoreItem>
</file>

<file path=customXml/itemProps56.xml><?xml version="1.0" encoding="utf-8"?>
<ds:datastoreItem xmlns:ds="http://schemas.openxmlformats.org/officeDocument/2006/customXml" ds:itemID="{1581B1DD-4B6D-450A-B779-1A1F64663BE5}">
  <ds:schemaRefs/>
</ds:datastoreItem>
</file>

<file path=customXml/itemProps57.xml><?xml version="1.0" encoding="utf-8"?>
<ds:datastoreItem xmlns:ds="http://schemas.openxmlformats.org/officeDocument/2006/customXml" ds:itemID="{3A53F115-B999-4BD7-91C1-84F013543454}">
  <ds:schemaRefs/>
</ds:datastoreItem>
</file>

<file path=customXml/itemProps58.xml><?xml version="1.0" encoding="utf-8"?>
<ds:datastoreItem xmlns:ds="http://schemas.openxmlformats.org/officeDocument/2006/customXml" ds:itemID="{889BB5AA-07E8-4506-A9F3-4BC84439CC0C}">
  <ds:schemaRefs/>
</ds:datastoreItem>
</file>

<file path=customXml/itemProps59.xml><?xml version="1.0" encoding="utf-8"?>
<ds:datastoreItem xmlns:ds="http://schemas.openxmlformats.org/officeDocument/2006/customXml" ds:itemID="{25CB5EFA-49D9-431E-BA17-BF99EF8D58D9}">
  <ds:schemaRefs/>
</ds:datastoreItem>
</file>

<file path=customXml/itemProps6.xml><?xml version="1.0" encoding="utf-8"?>
<ds:datastoreItem xmlns:ds="http://schemas.openxmlformats.org/officeDocument/2006/customXml" ds:itemID="{83B4C4E2-374A-447C-85B0-17DE68759EF1}">
  <ds:schemaRefs/>
</ds:datastoreItem>
</file>

<file path=customXml/itemProps60.xml><?xml version="1.0" encoding="utf-8"?>
<ds:datastoreItem xmlns:ds="http://schemas.openxmlformats.org/officeDocument/2006/customXml" ds:itemID="{086789E9-2496-4920-871A-2AC677157711}">
  <ds:schemaRefs/>
</ds:datastoreItem>
</file>

<file path=customXml/itemProps61.xml><?xml version="1.0" encoding="utf-8"?>
<ds:datastoreItem xmlns:ds="http://schemas.openxmlformats.org/officeDocument/2006/customXml" ds:itemID="{FC760254-E30E-4D42-B283-C76364F86E62}">
  <ds:schemaRefs/>
</ds:datastoreItem>
</file>

<file path=customXml/itemProps62.xml><?xml version="1.0" encoding="utf-8"?>
<ds:datastoreItem xmlns:ds="http://schemas.openxmlformats.org/officeDocument/2006/customXml" ds:itemID="{9600529B-CB2D-40EE-B164-1ECCB219C80F}">
  <ds:schemaRefs/>
</ds:datastoreItem>
</file>

<file path=customXml/itemProps63.xml><?xml version="1.0" encoding="utf-8"?>
<ds:datastoreItem xmlns:ds="http://schemas.openxmlformats.org/officeDocument/2006/customXml" ds:itemID="{9D087F39-FB50-45BC-8B2D-F85DF5AC0D0D}">
  <ds:schemaRefs/>
</ds:datastoreItem>
</file>

<file path=customXml/itemProps64.xml><?xml version="1.0" encoding="utf-8"?>
<ds:datastoreItem xmlns:ds="http://schemas.openxmlformats.org/officeDocument/2006/customXml" ds:itemID="{7437E69B-6BEA-4102-82BE-1DA0EE521F86}">
  <ds:schemaRefs/>
</ds:datastoreItem>
</file>

<file path=customXml/itemProps7.xml><?xml version="1.0" encoding="utf-8"?>
<ds:datastoreItem xmlns:ds="http://schemas.openxmlformats.org/officeDocument/2006/customXml" ds:itemID="{75BDB355-1030-4F9A-81B6-39BDA695F327}">
  <ds:schemaRefs/>
</ds:datastoreItem>
</file>

<file path=customXml/itemProps8.xml><?xml version="1.0" encoding="utf-8"?>
<ds:datastoreItem xmlns:ds="http://schemas.openxmlformats.org/officeDocument/2006/customXml" ds:itemID="{9A6400B0-1E7B-4002-A3DA-DF49C6F5C10C}">
  <ds:schemaRefs/>
</ds:datastoreItem>
</file>

<file path=customXml/itemProps9.xml><?xml version="1.0" encoding="utf-8"?>
<ds:datastoreItem xmlns:ds="http://schemas.openxmlformats.org/officeDocument/2006/customXml" ds:itemID="{88A53ECC-0419-4EA5-829F-C66F8D222F2A}">
  <ds:schemaRefs/>
</ds:datastoreItem>
</file>

<file path=docProps/app.xml><?xml version="1.0" encoding="utf-8"?>
<Properties xmlns="http://schemas.openxmlformats.org/officeDocument/2006/extended-properties" xmlns:vt="http://schemas.openxmlformats.org/officeDocument/2006/docPropsVTypes">
  <Template>Normal</Template>
  <Pages>63</Pages>
  <Words>5314</Words>
  <Characters>30295</Characters>
  <Lines>252</Lines>
  <Paragraphs>71</Paragraphs>
  <TotalTime>3</TotalTime>
  <ScaleCrop>false</ScaleCrop>
  <LinksUpToDate>false</LinksUpToDate>
  <CharactersWithSpaces>35538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2024-02-06T07:35:00Z</dcterms:created>
  <dc:creator>Administrator</dc:creator>
  <cp:lastModifiedBy>李明</cp:lastModifiedBy>
  <dcterms:modified xsi:type="dcterms:W3CDTF">2024-02-07T01:37:52Z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8BD54D3143A544B0984AC2CDC2146111_13</vt:lpwstr>
  </property>
</Properties>
</file>