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年部门预算信息公开目录</w:t>
      </w:r>
    </w:p>
    <w:p>
      <w:pPr>
        <w:jc w:val="center"/>
      </w:pPr>
      <w:r>
        <w:rPr>
          <w:rFonts w:ascii="黑体" w:hAnsi="黑体" w:eastAsia="黑体" w:cs="黑体"/>
          <w:b/>
          <w:color w:val="000000"/>
          <w:sz w:val="30"/>
        </w:rPr>
        <w:t xml:space="preserve"> </w:t>
      </w:r>
    </w:p>
    <w:p>
      <w:pPr>
        <w:jc w:val="center"/>
        <w:rPr>
          <w:rFonts w:eastAsia="Times New Roman"/>
        </w:rPr>
      </w:pPr>
    </w:p>
    <w:p>
      <w:pPr>
        <w:rPr>
          <w:rFonts w:hint="eastAsia" w:ascii="方正楷体_GBK" w:hAnsi="方正楷体_GBK" w:eastAsia="方正楷体_GBK" w:cs="方正楷体_GBK"/>
          <w:b/>
          <w:color w:val="000000"/>
          <w:sz w:val="28"/>
        </w:rPr>
      </w:pPr>
    </w:p>
    <w:p>
      <w:pPr>
        <w:rPr>
          <w:rFonts w:eastAsia="Times New Roman"/>
        </w:rPr>
      </w:pPr>
      <w:r>
        <w:rPr>
          <w:rFonts w:hint="eastAsia"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rP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rPr>
        <w:t>部门预算一般公共预算财政拨款支出表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rPr>
        <w:t>部门预算一般公共预算财政拨款基本支出表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rPr>
        <w:t>部门预算政府基金预算财政拨款支出表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rPr>
          <w:rFonts w:hint="eastAsia"/>
          <w:lang w:val="en-US" w:eastAsia="zh-CN"/>
        </w:rPr>
        <w:t>16</w:t>
      </w:r>
      <w: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r>
        <w:fldChar w:fldCharType="end"/>
      </w:r>
    </w:p>
    <w:p>
      <w:r>
        <w:rPr>
          <w:rFonts w:hint="eastAsia"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3</w:t>
      </w:r>
    </w:p>
    <w:p/>
    <w:p>
      <w: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pPr>
        <w:jc w:val="center"/>
        <w:rPr>
          <w:rFonts w:ascii="方正小标宋_GBK" w:hAnsi="方正小标宋_GBK" w:eastAsia="方正小标宋_GBK" w:cs="方正小标宋_GBK"/>
          <w:color w:val="000000"/>
          <w:sz w:val="44"/>
        </w:rPr>
      </w:pPr>
    </w:p>
    <w:p>
      <w:pPr>
        <w:jc w:val="both"/>
      </w:pPr>
      <w:r>
        <w:rPr>
          <w:rFonts w:ascii="方正小标宋_GBK" w:hAnsi="方正小标宋_GBK" w:eastAsia="方正小标宋_GBK" w:cs="方正小标宋_GBK"/>
          <w:color w:val="000000"/>
          <w:sz w:val="44"/>
        </w:rPr>
        <w:t xml:space="preserve"> </w:t>
      </w:r>
    </w:p>
    <w:p>
      <w:pPr>
        <w:jc w:val="center"/>
        <w:outlineLvl w:val="1"/>
        <w:rPr>
          <w:b w:val="0"/>
          <w:bCs w:val="0"/>
        </w:rPr>
      </w:pPr>
      <w:bookmarkStart w:id="0" w:name="_Toc_2_2_0000000001"/>
      <w:r>
        <w:rPr>
          <w:rFonts w:hint="eastAsia" w:ascii="方正小标宋_GBK" w:hAnsi="方正小标宋_GBK" w:eastAsia="方正小标宋_GBK" w:cs="方正小标宋_GBK"/>
          <w:b w:val="0"/>
          <w:bCs w:val="0"/>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211</w:t>
            </w:r>
            <w:r>
              <w:rPr>
                <w:rFonts w:hint="eastAsia"/>
              </w:rPr>
              <w:t>中国共产党隆尧县委员会宣传部</w:t>
            </w:r>
          </w:p>
        </w:tc>
        <w:tc>
          <w:tcPr>
            <w:tcW w:w="2126"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1"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rPr>
                <w:rFonts w:hint="eastAsia"/>
              </w:rPr>
              <w:t>一、一般公共预算拨款收入</w:t>
            </w:r>
          </w:p>
        </w:tc>
        <w:tc>
          <w:tcPr>
            <w:tcW w:w="2126" w:type="dxa"/>
            <w:vAlign w:val="center"/>
          </w:tcPr>
          <w:p>
            <w:pPr>
              <w:pStyle w:val="15"/>
            </w:pPr>
            <w:r>
              <w:t>607.75</w:t>
            </w:r>
          </w:p>
        </w:tc>
        <w:tc>
          <w:tcPr>
            <w:tcW w:w="4535" w:type="dxa"/>
            <w:vAlign w:val="center"/>
          </w:tcPr>
          <w:p>
            <w:pPr>
              <w:pStyle w:val="16"/>
            </w:pPr>
            <w:r>
              <w:rPr>
                <w:rFonts w:hint="eastAsia"/>
              </w:rPr>
              <w:t>一、一般公共服务支出</w:t>
            </w:r>
          </w:p>
        </w:tc>
        <w:tc>
          <w:tcPr>
            <w:tcW w:w="2126" w:type="dxa"/>
            <w:vAlign w:val="center"/>
          </w:tcPr>
          <w:p>
            <w:pPr>
              <w:pStyle w:val="15"/>
            </w:pPr>
            <w:r>
              <w:t>149.67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rPr>
                <w:rFonts w:hint="eastAsia"/>
              </w:rPr>
              <w:t>二、政府性基金预算拨款收入</w:t>
            </w:r>
          </w:p>
        </w:tc>
        <w:tc>
          <w:tcPr>
            <w:tcW w:w="2126" w:type="dxa"/>
            <w:vAlign w:val="center"/>
          </w:tcPr>
          <w:p>
            <w:pPr>
              <w:pStyle w:val="15"/>
            </w:pPr>
            <w:r>
              <w:t>7.00</w:t>
            </w: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r>
              <w:t>424.42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18.36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rPr>
                <w:rFonts w:hint="default" w:eastAsia="方正书宋_GBK"/>
                <w:lang w:val="en-US" w:eastAsia="zh-CN"/>
              </w:rPr>
            </w:pPr>
            <w:r>
              <w:t>14.</w:t>
            </w:r>
            <w:r>
              <w:rPr>
                <w:rFonts w:hint="eastAsia"/>
                <w:lang w:val="en-US" w:eastAsia="zh-CN"/>
              </w:rPr>
              <w:t>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三十一、往来性收支</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rPr>
                <w:rFonts w:hint="eastAsia"/>
              </w:rPr>
              <w:t>本年收入合计</w:t>
            </w:r>
          </w:p>
        </w:tc>
        <w:tc>
          <w:tcPr>
            <w:tcW w:w="2126" w:type="dxa"/>
            <w:vAlign w:val="center"/>
          </w:tcPr>
          <w:p>
            <w:pPr>
              <w:pStyle w:val="19"/>
            </w:pPr>
            <w:r>
              <w:t>614.75</w:t>
            </w:r>
          </w:p>
        </w:tc>
        <w:tc>
          <w:tcPr>
            <w:tcW w:w="4535" w:type="dxa"/>
            <w:vAlign w:val="center"/>
          </w:tcPr>
          <w:p>
            <w:pPr>
              <w:pStyle w:val="18"/>
            </w:pPr>
            <w:r>
              <w:rPr>
                <w:rFonts w:hint="eastAsia"/>
              </w:rPr>
              <w:t>本年支出合计</w:t>
            </w:r>
          </w:p>
        </w:tc>
        <w:tc>
          <w:tcPr>
            <w:tcW w:w="2126" w:type="dxa"/>
            <w:vAlign w:val="center"/>
          </w:tcPr>
          <w:p>
            <w:pPr>
              <w:pStyle w:val="19"/>
            </w:pPr>
            <w:r>
              <w:t>614.75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rPr>
                <w:rFonts w:hint="eastAsia"/>
              </w:rPr>
              <w:t>收入总计</w:t>
            </w:r>
          </w:p>
        </w:tc>
        <w:tc>
          <w:tcPr>
            <w:tcW w:w="2126" w:type="dxa"/>
            <w:vAlign w:val="center"/>
          </w:tcPr>
          <w:p>
            <w:pPr>
              <w:pStyle w:val="19"/>
            </w:pPr>
            <w:r>
              <w:t>614.75</w:t>
            </w:r>
          </w:p>
        </w:tc>
        <w:tc>
          <w:tcPr>
            <w:tcW w:w="4535" w:type="dxa"/>
            <w:vAlign w:val="center"/>
          </w:tcPr>
          <w:p>
            <w:pPr>
              <w:pStyle w:val="18"/>
            </w:pPr>
            <w:r>
              <w:rPr>
                <w:rFonts w:hint="eastAsia"/>
              </w:rPr>
              <w:t>支出总计</w:t>
            </w:r>
          </w:p>
        </w:tc>
        <w:tc>
          <w:tcPr>
            <w:tcW w:w="2126" w:type="dxa"/>
            <w:vAlign w:val="center"/>
          </w:tcPr>
          <w:p>
            <w:pPr>
              <w:pStyle w:val="19"/>
            </w:pPr>
            <w:r>
              <w:t>614.75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220"/>
        <w:gridCol w:w="912"/>
        <w:gridCol w:w="840"/>
        <w:gridCol w:w="1116"/>
        <w:gridCol w:w="1068"/>
        <w:gridCol w:w="804"/>
        <w:gridCol w:w="840"/>
        <w:gridCol w:w="1056"/>
        <w:gridCol w:w="1152"/>
        <w:gridCol w:w="972"/>
        <w:gridCol w:w="9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44" w:type="dxa"/>
            <w:gridSpan w:val="5"/>
            <w:tcBorders>
              <w:top w:val="single" w:color="FFFFFF" w:sz="6" w:space="0"/>
              <w:left w:val="single" w:color="FFFFFF" w:sz="6" w:space="0"/>
              <w:right w:val="single" w:color="FFFFFF" w:sz="6" w:space="0"/>
            </w:tcBorders>
            <w:vAlign w:val="center"/>
          </w:tcPr>
          <w:p>
            <w:pPr>
              <w:pStyle w:val="13"/>
            </w:pPr>
            <w:r>
              <w:t>211</w:t>
            </w:r>
            <w:r>
              <w:rPr>
                <w:rFonts w:hint="eastAsia"/>
              </w:rPr>
              <w:t>中国共产党隆尧县委员会宣传部</w:t>
            </w:r>
          </w:p>
        </w:tc>
        <w:tc>
          <w:tcPr>
            <w:tcW w:w="2988" w:type="dxa"/>
            <w:gridSpan w:val="3"/>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4939"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4212" w:type="dxa"/>
            <w:gridSpan w:val="2"/>
            <w:vAlign w:val="center"/>
          </w:tcPr>
          <w:p>
            <w:pPr>
              <w:pStyle w:val="14"/>
            </w:pPr>
            <w:r>
              <w:rPr>
                <w:rFonts w:hint="eastAsia"/>
              </w:rPr>
              <w:t>功能分类科目</w:t>
            </w:r>
          </w:p>
        </w:tc>
        <w:tc>
          <w:tcPr>
            <w:tcW w:w="912" w:type="dxa"/>
            <w:vMerge w:val="restart"/>
            <w:vAlign w:val="center"/>
          </w:tcPr>
          <w:p>
            <w:pPr>
              <w:pStyle w:val="14"/>
            </w:pPr>
            <w:r>
              <w:rPr>
                <w:rFonts w:hint="eastAsia"/>
              </w:rPr>
              <w:t>合计</w:t>
            </w:r>
          </w:p>
        </w:tc>
        <w:tc>
          <w:tcPr>
            <w:tcW w:w="7848" w:type="dxa"/>
            <w:gridSpan w:val="8"/>
            <w:vAlign w:val="center"/>
          </w:tcPr>
          <w:p>
            <w:pPr>
              <w:pStyle w:val="14"/>
            </w:pPr>
            <w:r>
              <w:rPr>
                <w:rFonts w:hint="eastAsia"/>
              </w:rPr>
              <w:t>本年收入</w:t>
            </w:r>
          </w:p>
        </w:tc>
        <w:tc>
          <w:tcPr>
            <w:tcW w:w="919"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3220" w:type="dxa"/>
            <w:vAlign w:val="center"/>
          </w:tcPr>
          <w:p>
            <w:pPr>
              <w:pStyle w:val="14"/>
            </w:pPr>
            <w:r>
              <w:rPr>
                <w:rFonts w:hint="eastAsia"/>
              </w:rPr>
              <w:t>科目名称</w:t>
            </w:r>
          </w:p>
        </w:tc>
        <w:tc>
          <w:tcPr>
            <w:tcW w:w="912" w:type="dxa"/>
            <w:vMerge w:val="continue"/>
          </w:tcPr>
          <w:p/>
        </w:tc>
        <w:tc>
          <w:tcPr>
            <w:tcW w:w="840" w:type="dxa"/>
            <w:vAlign w:val="center"/>
          </w:tcPr>
          <w:p>
            <w:pPr>
              <w:pStyle w:val="14"/>
            </w:pPr>
            <w:r>
              <w:rPr>
                <w:rFonts w:hint="eastAsia"/>
              </w:rPr>
              <w:t>小计</w:t>
            </w:r>
          </w:p>
        </w:tc>
        <w:tc>
          <w:tcPr>
            <w:tcW w:w="1116" w:type="dxa"/>
            <w:vAlign w:val="center"/>
          </w:tcPr>
          <w:p>
            <w:pPr>
              <w:pStyle w:val="14"/>
            </w:pPr>
            <w:r>
              <w:rPr>
                <w:rFonts w:hint="eastAsia"/>
              </w:rPr>
              <w:t>财政拨款</w:t>
            </w:r>
            <w:r>
              <w:t xml:space="preserve"> </w:t>
            </w:r>
            <w:r>
              <w:rPr>
                <w:rFonts w:hint="eastAsia"/>
              </w:rPr>
              <w:t>收入</w:t>
            </w:r>
          </w:p>
        </w:tc>
        <w:tc>
          <w:tcPr>
            <w:tcW w:w="1068" w:type="dxa"/>
            <w:vAlign w:val="center"/>
          </w:tcPr>
          <w:p>
            <w:pPr>
              <w:pStyle w:val="14"/>
            </w:pPr>
            <w:r>
              <w:rPr>
                <w:rFonts w:hint="eastAsia"/>
              </w:rPr>
              <w:t>财政专户</w:t>
            </w:r>
            <w:r>
              <w:t xml:space="preserve"> </w:t>
            </w:r>
            <w:r>
              <w:rPr>
                <w:rFonts w:hint="eastAsia"/>
              </w:rPr>
              <w:t>收入</w:t>
            </w:r>
          </w:p>
        </w:tc>
        <w:tc>
          <w:tcPr>
            <w:tcW w:w="804" w:type="dxa"/>
            <w:vAlign w:val="center"/>
          </w:tcPr>
          <w:p>
            <w:pPr>
              <w:pStyle w:val="14"/>
            </w:pPr>
            <w:r>
              <w:rPr>
                <w:rFonts w:hint="eastAsia"/>
              </w:rPr>
              <w:t>事业收入</w:t>
            </w:r>
          </w:p>
        </w:tc>
        <w:tc>
          <w:tcPr>
            <w:tcW w:w="840" w:type="dxa"/>
            <w:vAlign w:val="center"/>
          </w:tcPr>
          <w:p>
            <w:pPr>
              <w:pStyle w:val="14"/>
            </w:pPr>
            <w:r>
              <w:rPr>
                <w:rFonts w:hint="eastAsia"/>
              </w:rPr>
              <w:t>经营收入</w:t>
            </w:r>
          </w:p>
        </w:tc>
        <w:tc>
          <w:tcPr>
            <w:tcW w:w="1056" w:type="dxa"/>
            <w:vAlign w:val="center"/>
          </w:tcPr>
          <w:p>
            <w:pPr>
              <w:pStyle w:val="14"/>
            </w:pPr>
            <w:r>
              <w:rPr>
                <w:rFonts w:hint="eastAsia"/>
              </w:rPr>
              <w:t>上级补助收入</w:t>
            </w:r>
          </w:p>
        </w:tc>
        <w:tc>
          <w:tcPr>
            <w:tcW w:w="1152" w:type="dxa"/>
            <w:vAlign w:val="center"/>
          </w:tcPr>
          <w:p>
            <w:pPr>
              <w:pStyle w:val="14"/>
            </w:pPr>
            <w:r>
              <w:rPr>
                <w:rFonts w:hint="eastAsia"/>
              </w:rPr>
              <w:t>附属单位上缴收入</w:t>
            </w:r>
          </w:p>
        </w:tc>
        <w:tc>
          <w:tcPr>
            <w:tcW w:w="972" w:type="dxa"/>
            <w:vAlign w:val="center"/>
          </w:tcPr>
          <w:p>
            <w:pPr>
              <w:pStyle w:val="14"/>
            </w:pPr>
            <w:r>
              <w:rPr>
                <w:rFonts w:hint="eastAsia"/>
              </w:rPr>
              <w:t>其他收入</w:t>
            </w:r>
          </w:p>
        </w:tc>
        <w:tc>
          <w:tcPr>
            <w:tcW w:w="91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3220" w:type="dxa"/>
            <w:vAlign w:val="center"/>
          </w:tcPr>
          <w:p>
            <w:pPr>
              <w:pStyle w:val="14"/>
            </w:pPr>
            <w:r>
              <w:t>2</w:t>
            </w:r>
          </w:p>
        </w:tc>
        <w:tc>
          <w:tcPr>
            <w:tcW w:w="912" w:type="dxa"/>
            <w:vAlign w:val="center"/>
          </w:tcPr>
          <w:p>
            <w:pPr>
              <w:pStyle w:val="14"/>
            </w:pPr>
            <w:r>
              <w:t>3</w:t>
            </w:r>
          </w:p>
        </w:tc>
        <w:tc>
          <w:tcPr>
            <w:tcW w:w="840" w:type="dxa"/>
            <w:vAlign w:val="center"/>
          </w:tcPr>
          <w:p>
            <w:pPr>
              <w:pStyle w:val="14"/>
            </w:pPr>
            <w:r>
              <w:t>4</w:t>
            </w:r>
          </w:p>
        </w:tc>
        <w:tc>
          <w:tcPr>
            <w:tcW w:w="1116" w:type="dxa"/>
            <w:vAlign w:val="center"/>
          </w:tcPr>
          <w:p>
            <w:pPr>
              <w:pStyle w:val="14"/>
            </w:pPr>
            <w:r>
              <w:t>5</w:t>
            </w:r>
          </w:p>
        </w:tc>
        <w:tc>
          <w:tcPr>
            <w:tcW w:w="1068" w:type="dxa"/>
            <w:vAlign w:val="center"/>
          </w:tcPr>
          <w:p>
            <w:pPr>
              <w:pStyle w:val="14"/>
            </w:pPr>
            <w:r>
              <w:t>6</w:t>
            </w:r>
          </w:p>
        </w:tc>
        <w:tc>
          <w:tcPr>
            <w:tcW w:w="804" w:type="dxa"/>
            <w:vAlign w:val="center"/>
          </w:tcPr>
          <w:p>
            <w:pPr>
              <w:pStyle w:val="14"/>
            </w:pPr>
            <w:r>
              <w:t>7</w:t>
            </w:r>
          </w:p>
        </w:tc>
        <w:tc>
          <w:tcPr>
            <w:tcW w:w="840" w:type="dxa"/>
            <w:vAlign w:val="center"/>
          </w:tcPr>
          <w:p>
            <w:pPr>
              <w:pStyle w:val="14"/>
            </w:pPr>
            <w:r>
              <w:t>8</w:t>
            </w:r>
          </w:p>
        </w:tc>
        <w:tc>
          <w:tcPr>
            <w:tcW w:w="1056" w:type="dxa"/>
            <w:vAlign w:val="center"/>
          </w:tcPr>
          <w:p>
            <w:pPr>
              <w:pStyle w:val="14"/>
            </w:pPr>
            <w:r>
              <w:t>9</w:t>
            </w:r>
          </w:p>
        </w:tc>
        <w:tc>
          <w:tcPr>
            <w:tcW w:w="1152" w:type="dxa"/>
            <w:vAlign w:val="center"/>
          </w:tcPr>
          <w:p>
            <w:pPr>
              <w:pStyle w:val="14"/>
            </w:pPr>
            <w:r>
              <w:t>10</w:t>
            </w:r>
          </w:p>
        </w:tc>
        <w:tc>
          <w:tcPr>
            <w:tcW w:w="972" w:type="dxa"/>
            <w:vAlign w:val="center"/>
          </w:tcPr>
          <w:p>
            <w:pPr>
              <w:pStyle w:val="14"/>
            </w:pPr>
            <w:r>
              <w:t>11</w:t>
            </w:r>
          </w:p>
        </w:tc>
        <w:tc>
          <w:tcPr>
            <w:tcW w:w="919"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3220" w:type="dxa"/>
            <w:vAlign w:val="center"/>
          </w:tcPr>
          <w:p>
            <w:pPr>
              <w:pStyle w:val="18"/>
            </w:pPr>
            <w:r>
              <w:t>合计</w:t>
            </w:r>
          </w:p>
        </w:tc>
        <w:tc>
          <w:tcPr>
            <w:tcW w:w="912" w:type="dxa"/>
            <w:vAlign w:val="center"/>
          </w:tcPr>
          <w:p>
            <w:pPr>
              <w:pStyle w:val="19"/>
            </w:pPr>
            <w:r>
              <w:t>614.75</w:t>
            </w:r>
          </w:p>
        </w:tc>
        <w:tc>
          <w:tcPr>
            <w:tcW w:w="840" w:type="dxa"/>
            <w:vAlign w:val="center"/>
          </w:tcPr>
          <w:p>
            <w:pPr>
              <w:pStyle w:val="19"/>
            </w:pPr>
            <w:r>
              <w:t>614.75</w:t>
            </w:r>
          </w:p>
        </w:tc>
        <w:tc>
          <w:tcPr>
            <w:tcW w:w="1116" w:type="dxa"/>
            <w:vAlign w:val="center"/>
          </w:tcPr>
          <w:p>
            <w:pPr>
              <w:pStyle w:val="19"/>
            </w:pPr>
            <w:r>
              <w:t>614.75</w:t>
            </w:r>
          </w:p>
        </w:tc>
        <w:tc>
          <w:tcPr>
            <w:tcW w:w="1068" w:type="dxa"/>
            <w:vAlign w:val="center"/>
          </w:tcPr>
          <w:p>
            <w:pPr>
              <w:pStyle w:val="19"/>
            </w:pPr>
          </w:p>
        </w:tc>
        <w:tc>
          <w:tcPr>
            <w:tcW w:w="804" w:type="dxa"/>
            <w:vAlign w:val="center"/>
          </w:tcPr>
          <w:p>
            <w:pPr>
              <w:pStyle w:val="19"/>
            </w:pPr>
          </w:p>
        </w:tc>
        <w:tc>
          <w:tcPr>
            <w:tcW w:w="840" w:type="dxa"/>
            <w:vAlign w:val="center"/>
          </w:tcPr>
          <w:p>
            <w:pPr>
              <w:pStyle w:val="19"/>
            </w:pPr>
          </w:p>
        </w:tc>
        <w:tc>
          <w:tcPr>
            <w:tcW w:w="1056" w:type="dxa"/>
            <w:vAlign w:val="center"/>
          </w:tcPr>
          <w:p>
            <w:pPr>
              <w:pStyle w:val="19"/>
            </w:pPr>
          </w:p>
        </w:tc>
        <w:tc>
          <w:tcPr>
            <w:tcW w:w="1152" w:type="dxa"/>
            <w:vAlign w:val="center"/>
          </w:tcPr>
          <w:p>
            <w:pPr>
              <w:pStyle w:val="19"/>
            </w:pPr>
          </w:p>
        </w:tc>
        <w:tc>
          <w:tcPr>
            <w:tcW w:w="972" w:type="dxa"/>
            <w:vAlign w:val="center"/>
          </w:tcPr>
          <w:p>
            <w:pPr>
              <w:pStyle w:val="19"/>
            </w:pPr>
          </w:p>
        </w:tc>
        <w:tc>
          <w:tcPr>
            <w:tcW w:w="91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3220" w:type="dxa"/>
            <w:vAlign w:val="center"/>
          </w:tcPr>
          <w:p>
            <w:pPr>
              <w:pStyle w:val="16"/>
            </w:pPr>
            <w:r>
              <w:t>一般公共服务支出</w:t>
            </w:r>
          </w:p>
        </w:tc>
        <w:tc>
          <w:tcPr>
            <w:tcW w:w="912" w:type="dxa"/>
            <w:vAlign w:val="center"/>
          </w:tcPr>
          <w:p>
            <w:pPr>
              <w:pStyle w:val="15"/>
            </w:pPr>
            <w:r>
              <w:t>149.67</w:t>
            </w:r>
          </w:p>
        </w:tc>
        <w:tc>
          <w:tcPr>
            <w:tcW w:w="840" w:type="dxa"/>
            <w:vAlign w:val="center"/>
          </w:tcPr>
          <w:p>
            <w:pPr>
              <w:pStyle w:val="15"/>
            </w:pPr>
            <w:r>
              <w:t>149.67</w:t>
            </w:r>
          </w:p>
        </w:tc>
        <w:tc>
          <w:tcPr>
            <w:tcW w:w="1116" w:type="dxa"/>
            <w:vAlign w:val="center"/>
          </w:tcPr>
          <w:p>
            <w:pPr>
              <w:pStyle w:val="15"/>
            </w:pPr>
            <w:r>
              <w:t>149.67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20133</w:t>
            </w:r>
          </w:p>
        </w:tc>
        <w:tc>
          <w:tcPr>
            <w:tcW w:w="3220" w:type="dxa"/>
            <w:vAlign w:val="center"/>
          </w:tcPr>
          <w:p>
            <w:pPr>
              <w:pStyle w:val="16"/>
            </w:pPr>
            <w:r>
              <w:t>宣传事务</w:t>
            </w:r>
          </w:p>
        </w:tc>
        <w:tc>
          <w:tcPr>
            <w:tcW w:w="912" w:type="dxa"/>
            <w:vAlign w:val="center"/>
          </w:tcPr>
          <w:p>
            <w:pPr>
              <w:pStyle w:val="15"/>
            </w:pPr>
            <w:r>
              <w:t>149.67</w:t>
            </w:r>
          </w:p>
        </w:tc>
        <w:tc>
          <w:tcPr>
            <w:tcW w:w="840" w:type="dxa"/>
            <w:vAlign w:val="center"/>
          </w:tcPr>
          <w:p>
            <w:pPr>
              <w:pStyle w:val="15"/>
            </w:pPr>
            <w:r>
              <w:t>149.67</w:t>
            </w:r>
          </w:p>
        </w:tc>
        <w:tc>
          <w:tcPr>
            <w:tcW w:w="1116" w:type="dxa"/>
            <w:vAlign w:val="center"/>
          </w:tcPr>
          <w:p>
            <w:pPr>
              <w:pStyle w:val="15"/>
            </w:pPr>
            <w:r>
              <w:t>149.67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2013301</w:t>
            </w:r>
          </w:p>
        </w:tc>
        <w:tc>
          <w:tcPr>
            <w:tcW w:w="3220" w:type="dxa"/>
            <w:vAlign w:val="center"/>
          </w:tcPr>
          <w:p>
            <w:pPr>
              <w:pStyle w:val="16"/>
            </w:pPr>
            <w:r>
              <w:t>行政运行</w:t>
            </w:r>
          </w:p>
        </w:tc>
        <w:tc>
          <w:tcPr>
            <w:tcW w:w="912" w:type="dxa"/>
            <w:vAlign w:val="center"/>
          </w:tcPr>
          <w:p>
            <w:pPr>
              <w:pStyle w:val="15"/>
            </w:pPr>
            <w:r>
              <w:t>149.67</w:t>
            </w:r>
          </w:p>
        </w:tc>
        <w:tc>
          <w:tcPr>
            <w:tcW w:w="840" w:type="dxa"/>
            <w:vAlign w:val="center"/>
          </w:tcPr>
          <w:p>
            <w:pPr>
              <w:pStyle w:val="15"/>
            </w:pPr>
            <w:r>
              <w:t>149.67</w:t>
            </w:r>
          </w:p>
        </w:tc>
        <w:tc>
          <w:tcPr>
            <w:tcW w:w="1116" w:type="dxa"/>
            <w:vAlign w:val="center"/>
          </w:tcPr>
          <w:p>
            <w:pPr>
              <w:pStyle w:val="15"/>
            </w:pPr>
            <w:r>
              <w:t>149.67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207</w:t>
            </w:r>
          </w:p>
        </w:tc>
        <w:tc>
          <w:tcPr>
            <w:tcW w:w="3220" w:type="dxa"/>
            <w:vAlign w:val="center"/>
          </w:tcPr>
          <w:p>
            <w:pPr>
              <w:pStyle w:val="16"/>
            </w:pPr>
            <w:r>
              <w:t>文化旅游体育与传媒支出</w:t>
            </w:r>
          </w:p>
        </w:tc>
        <w:tc>
          <w:tcPr>
            <w:tcW w:w="912" w:type="dxa"/>
            <w:vAlign w:val="center"/>
          </w:tcPr>
          <w:p>
            <w:pPr>
              <w:pStyle w:val="15"/>
            </w:pPr>
            <w:r>
              <w:t>424.42</w:t>
            </w:r>
          </w:p>
        </w:tc>
        <w:tc>
          <w:tcPr>
            <w:tcW w:w="840" w:type="dxa"/>
            <w:vAlign w:val="center"/>
          </w:tcPr>
          <w:p>
            <w:pPr>
              <w:pStyle w:val="15"/>
            </w:pPr>
            <w:r>
              <w:t>424.42</w:t>
            </w:r>
          </w:p>
        </w:tc>
        <w:tc>
          <w:tcPr>
            <w:tcW w:w="1116" w:type="dxa"/>
            <w:vAlign w:val="center"/>
          </w:tcPr>
          <w:p>
            <w:pPr>
              <w:pStyle w:val="15"/>
            </w:pPr>
            <w:r>
              <w:t>424.42</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20701</w:t>
            </w:r>
          </w:p>
        </w:tc>
        <w:tc>
          <w:tcPr>
            <w:tcW w:w="3220" w:type="dxa"/>
            <w:vAlign w:val="center"/>
          </w:tcPr>
          <w:p>
            <w:pPr>
              <w:pStyle w:val="16"/>
            </w:pPr>
            <w:r>
              <w:t>文化和旅游</w:t>
            </w:r>
          </w:p>
        </w:tc>
        <w:tc>
          <w:tcPr>
            <w:tcW w:w="912" w:type="dxa"/>
            <w:vAlign w:val="center"/>
          </w:tcPr>
          <w:p>
            <w:pPr>
              <w:pStyle w:val="15"/>
            </w:pPr>
            <w:r>
              <w:t>141.00</w:t>
            </w:r>
          </w:p>
        </w:tc>
        <w:tc>
          <w:tcPr>
            <w:tcW w:w="840" w:type="dxa"/>
            <w:vAlign w:val="center"/>
          </w:tcPr>
          <w:p>
            <w:pPr>
              <w:pStyle w:val="15"/>
            </w:pPr>
            <w:r>
              <w:t>141.00</w:t>
            </w:r>
          </w:p>
        </w:tc>
        <w:tc>
          <w:tcPr>
            <w:tcW w:w="1116" w:type="dxa"/>
            <w:vAlign w:val="center"/>
          </w:tcPr>
          <w:p>
            <w:pPr>
              <w:pStyle w:val="15"/>
            </w:pPr>
            <w:r>
              <w:t>141.00</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2070199</w:t>
            </w:r>
          </w:p>
        </w:tc>
        <w:tc>
          <w:tcPr>
            <w:tcW w:w="3220" w:type="dxa"/>
            <w:vAlign w:val="center"/>
          </w:tcPr>
          <w:p>
            <w:pPr>
              <w:pStyle w:val="16"/>
            </w:pPr>
            <w:r>
              <w:t>其他文化和旅游支出</w:t>
            </w:r>
          </w:p>
        </w:tc>
        <w:tc>
          <w:tcPr>
            <w:tcW w:w="912" w:type="dxa"/>
            <w:vAlign w:val="center"/>
          </w:tcPr>
          <w:p>
            <w:pPr>
              <w:pStyle w:val="15"/>
            </w:pPr>
            <w:r>
              <w:t>141.00</w:t>
            </w:r>
          </w:p>
        </w:tc>
        <w:tc>
          <w:tcPr>
            <w:tcW w:w="840" w:type="dxa"/>
            <w:vAlign w:val="center"/>
          </w:tcPr>
          <w:p>
            <w:pPr>
              <w:pStyle w:val="15"/>
            </w:pPr>
            <w:r>
              <w:t>141.00</w:t>
            </w:r>
          </w:p>
        </w:tc>
        <w:tc>
          <w:tcPr>
            <w:tcW w:w="1116" w:type="dxa"/>
            <w:vAlign w:val="center"/>
          </w:tcPr>
          <w:p>
            <w:pPr>
              <w:pStyle w:val="15"/>
            </w:pPr>
            <w:r>
              <w:t>141.00</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20707</w:t>
            </w:r>
          </w:p>
        </w:tc>
        <w:tc>
          <w:tcPr>
            <w:tcW w:w="3220" w:type="dxa"/>
            <w:vAlign w:val="center"/>
          </w:tcPr>
          <w:p>
            <w:pPr>
              <w:pStyle w:val="16"/>
            </w:pPr>
            <w:r>
              <w:t>国家电影事业发展专项资金安排的支出</w:t>
            </w:r>
          </w:p>
        </w:tc>
        <w:tc>
          <w:tcPr>
            <w:tcW w:w="912" w:type="dxa"/>
            <w:vAlign w:val="center"/>
          </w:tcPr>
          <w:p>
            <w:pPr>
              <w:pStyle w:val="15"/>
            </w:pPr>
            <w:r>
              <w:t>7.00</w:t>
            </w:r>
          </w:p>
        </w:tc>
        <w:tc>
          <w:tcPr>
            <w:tcW w:w="840" w:type="dxa"/>
            <w:vAlign w:val="center"/>
          </w:tcPr>
          <w:p>
            <w:pPr>
              <w:pStyle w:val="15"/>
            </w:pPr>
            <w:r>
              <w:t>7.00</w:t>
            </w:r>
          </w:p>
        </w:tc>
        <w:tc>
          <w:tcPr>
            <w:tcW w:w="1116" w:type="dxa"/>
            <w:vAlign w:val="center"/>
          </w:tcPr>
          <w:p>
            <w:pPr>
              <w:pStyle w:val="15"/>
            </w:pPr>
            <w:r>
              <w:t>7.00</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2070701</w:t>
            </w:r>
          </w:p>
        </w:tc>
        <w:tc>
          <w:tcPr>
            <w:tcW w:w="3220" w:type="dxa"/>
            <w:vAlign w:val="center"/>
          </w:tcPr>
          <w:p>
            <w:pPr>
              <w:pStyle w:val="16"/>
            </w:pPr>
            <w:r>
              <w:t>资助国产影片放映</w:t>
            </w:r>
          </w:p>
        </w:tc>
        <w:tc>
          <w:tcPr>
            <w:tcW w:w="912" w:type="dxa"/>
            <w:vAlign w:val="center"/>
          </w:tcPr>
          <w:p>
            <w:pPr>
              <w:pStyle w:val="15"/>
            </w:pPr>
            <w:r>
              <w:t>7.00</w:t>
            </w:r>
          </w:p>
        </w:tc>
        <w:tc>
          <w:tcPr>
            <w:tcW w:w="840" w:type="dxa"/>
            <w:vAlign w:val="center"/>
          </w:tcPr>
          <w:p>
            <w:pPr>
              <w:pStyle w:val="15"/>
            </w:pPr>
            <w:r>
              <w:t>7.00</w:t>
            </w:r>
          </w:p>
        </w:tc>
        <w:tc>
          <w:tcPr>
            <w:tcW w:w="1116" w:type="dxa"/>
            <w:vAlign w:val="center"/>
          </w:tcPr>
          <w:p>
            <w:pPr>
              <w:pStyle w:val="15"/>
            </w:pPr>
            <w:r>
              <w:t>7.00</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20799</w:t>
            </w:r>
          </w:p>
        </w:tc>
        <w:tc>
          <w:tcPr>
            <w:tcW w:w="3220" w:type="dxa"/>
            <w:vAlign w:val="center"/>
          </w:tcPr>
          <w:p>
            <w:pPr>
              <w:pStyle w:val="16"/>
            </w:pPr>
            <w:r>
              <w:t>其他文化旅游体育与传媒支出</w:t>
            </w:r>
          </w:p>
        </w:tc>
        <w:tc>
          <w:tcPr>
            <w:tcW w:w="912" w:type="dxa"/>
            <w:vAlign w:val="center"/>
          </w:tcPr>
          <w:p>
            <w:pPr>
              <w:pStyle w:val="15"/>
            </w:pPr>
            <w:r>
              <w:t>276.42</w:t>
            </w:r>
          </w:p>
        </w:tc>
        <w:tc>
          <w:tcPr>
            <w:tcW w:w="840" w:type="dxa"/>
            <w:vAlign w:val="center"/>
          </w:tcPr>
          <w:p>
            <w:pPr>
              <w:pStyle w:val="15"/>
            </w:pPr>
            <w:r>
              <w:t>276.42</w:t>
            </w:r>
          </w:p>
        </w:tc>
        <w:tc>
          <w:tcPr>
            <w:tcW w:w="1116" w:type="dxa"/>
            <w:vAlign w:val="center"/>
          </w:tcPr>
          <w:p>
            <w:pPr>
              <w:pStyle w:val="15"/>
            </w:pPr>
            <w:r>
              <w:t>276.42</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2079999</w:t>
            </w:r>
          </w:p>
        </w:tc>
        <w:tc>
          <w:tcPr>
            <w:tcW w:w="3220" w:type="dxa"/>
            <w:vAlign w:val="center"/>
          </w:tcPr>
          <w:p>
            <w:pPr>
              <w:pStyle w:val="16"/>
            </w:pPr>
            <w:r>
              <w:t>其他文化旅游体育与传媒支出</w:t>
            </w:r>
          </w:p>
        </w:tc>
        <w:tc>
          <w:tcPr>
            <w:tcW w:w="912" w:type="dxa"/>
            <w:vAlign w:val="center"/>
          </w:tcPr>
          <w:p>
            <w:pPr>
              <w:pStyle w:val="15"/>
            </w:pPr>
            <w:r>
              <w:t>276.42</w:t>
            </w:r>
          </w:p>
        </w:tc>
        <w:tc>
          <w:tcPr>
            <w:tcW w:w="840" w:type="dxa"/>
            <w:vAlign w:val="center"/>
          </w:tcPr>
          <w:p>
            <w:pPr>
              <w:pStyle w:val="15"/>
            </w:pPr>
            <w:r>
              <w:t>276.42</w:t>
            </w:r>
          </w:p>
        </w:tc>
        <w:tc>
          <w:tcPr>
            <w:tcW w:w="1116" w:type="dxa"/>
            <w:vAlign w:val="center"/>
          </w:tcPr>
          <w:p>
            <w:pPr>
              <w:pStyle w:val="15"/>
            </w:pPr>
            <w:r>
              <w:t>276.42</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w:t>
            </w:r>
          </w:p>
        </w:tc>
        <w:tc>
          <w:tcPr>
            <w:tcW w:w="3220" w:type="dxa"/>
            <w:vAlign w:val="center"/>
          </w:tcPr>
          <w:p>
            <w:pPr>
              <w:pStyle w:val="16"/>
            </w:pPr>
            <w:r>
              <w:t>社会保障和就业支出</w:t>
            </w:r>
          </w:p>
        </w:tc>
        <w:tc>
          <w:tcPr>
            <w:tcW w:w="912" w:type="dxa"/>
            <w:vAlign w:val="center"/>
          </w:tcPr>
          <w:p>
            <w:pPr>
              <w:pStyle w:val="15"/>
            </w:pPr>
            <w:r>
              <w:t>18.36</w:t>
            </w:r>
          </w:p>
        </w:tc>
        <w:tc>
          <w:tcPr>
            <w:tcW w:w="840" w:type="dxa"/>
            <w:vAlign w:val="center"/>
          </w:tcPr>
          <w:p>
            <w:pPr>
              <w:pStyle w:val="15"/>
            </w:pPr>
            <w:r>
              <w:t>18.36</w:t>
            </w:r>
          </w:p>
        </w:tc>
        <w:tc>
          <w:tcPr>
            <w:tcW w:w="1116" w:type="dxa"/>
            <w:vAlign w:val="center"/>
          </w:tcPr>
          <w:p>
            <w:pPr>
              <w:pStyle w:val="15"/>
            </w:pPr>
            <w:r>
              <w:t>18.36</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20805</w:t>
            </w:r>
          </w:p>
        </w:tc>
        <w:tc>
          <w:tcPr>
            <w:tcW w:w="3220" w:type="dxa"/>
            <w:vAlign w:val="center"/>
          </w:tcPr>
          <w:p>
            <w:pPr>
              <w:pStyle w:val="16"/>
            </w:pPr>
            <w:r>
              <w:t>行政事业单位养老支出</w:t>
            </w:r>
          </w:p>
        </w:tc>
        <w:tc>
          <w:tcPr>
            <w:tcW w:w="912" w:type="dxa"/>
            <w:vAlign w:val="center"/>
          </w:tcPr>
          <w:p>
            <w:pPr>
              <w:pStyle w:val="15"/>
            </w:pPr>
            <w:r>
              <w:t>18.36</w:t>
            </w:r>
          </w:p>
        </w:tc>
        <w:tc>
          <w:tcPr>
            <w:tcW w:w="840" w:type="dxa"/>
            <w:vAlign w:val="center"/>
          </w:tcPr>
          <w:p>
            <w:pPr>
              <w:pStyle w:val="15"/>
            </w:pPr>
            <w:r>
              <w:t>18.36</w:t>
            </w:r>
          </w:p>
        </w:tc>
        <w:tc>
          <w:tcPr>
            <w:tcW w:w="1116" w:type="dxa"/>
            <w:vAlign w:val="center"/>
          </w:tcPr>
          <w:p>
            <w:pPr>
              <w:pStyle w:val="15"/>
            </w:pPr>
            <w:r>
              <w:t>18.36</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2080505</w:t>
            </w:r>
          </w:p>
        </w:tc>
        <w:tc>
          <w:tcPr>
            <w:tcW w:w="3220" w:type="dxa"/>
            <w:vAlign w:val="center"/>
          </w:tcPr>
          <w:p>
            <w:pPr>
              <w:pStyle w:val="16"/>
            </w:pPr>
            <w:r>
              <w:t>机关事业单位基本养老保险缴费支出</w:t>
            </w:r>
          </w:p>
        </w:tc>
        <w:tc>
          <w:tcPr>
            <w:tcW w:w="912" w:type="dxa"/>
            <w:vAlign w:val="center"/>
          </w:tcPr>
          <w:p>
            <w:pPr>
              <w:pStyle w:val="15"/>
            </w:pPr>
            <w:r>
              <w:t>18.36</w:t>
            </w:r>
          </w:p>
        </w:tc>
        <w:tc>
          <w:tcPr>
            <w:tcW w:w="840" w:type="dxa"/>
            <w:vAlign w:val="center"/>
          </w:tcPr>
          <w:p>
            <w:pPr>
              <w:pStyle w:val="15"/>
            </w:pPr>
            <w:r>
              <w:t>18.36</w:t>
            </w:r>
          </w:p>
        </w:tc>
        <w:tc>
          <w:tcPr>
            <w:tcW w:w="1116" w:type="dxa"/>
            <w:vAlign w:val="center"/>
          </w:tcPr>
          <w:p>
            <w:pPr>
              <w:pStyle w:val="15"/>
            </w:pPr>
            <w:r>
              <w:t>18.36</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w:t>
            </w:r>
          </w:p>
        </w:tc>
        <w:tc>
          <w:tcPr>
            <w:tcW w:w="3220" w:type="dxa"/>
            <w:vAlign w:val="center"/>
          </w:tcPr>
          <w:p>
            <w:pPr>
              <w:pStyle w:val="16"/>
            </w:pPr>
            <w:r>
              <w:t>卫生健康支出</w:t>
            </w:r>
          </w:p>
        </w:tc>
        <w:tc>
          <w:tcPr>
            <w:tcW w:w="912" w:type="dxa"/>
            <w:vAlign w:val="center"/>
          </w:tcPr>
          <w:p>
            <w:pPr>
              <w:pStyle w:val="15"/>
            </w:pPr>
            <w:r>
              <w:t>8.07</w:t>
            </w:r>
          </w:p>
        </w:tc>
        <w:tc>
          <w:tcPr>
            <w:tcW w:w="840" w:type="dxa"/>
            <w:vAlign w:val="center"/>
          </w:tcPr>
          <w:p>
            <w:pPr>
              <w:pStyle w:val="15"/>
            </w:pPr>
            <w:r>
              <w:t>8.07</w:t>
            </w:r>
          </w:p>
        </w:tc>
        <w:tc>
          <w:tcPr>
            <w:tcW w:w="1116" w:type="dxa"/>
            <w:vAlign w:val="center"/>
          </w:tcPr>
          <w:p>
            <w:pPr>
              <w:pStyle w:val="15"/>
            </w:pPr>
            <w:r>
              <w:t>8.07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21011</w:t>
            </w:r>
          </w:p>
        </w:tc>
        <w:tc>
          <w:tcPr>
            <w:tcW w:w="3220" w:type="dxa"/>
            <w:vAlign w:val="center"/>
          </w:tcPr>
          <w:p>
            <w:pPr>
              <w:pStyle w:val="16"/>
            </w:pPr>
            <w:r>
              <w:t>行政事业单位医疗</w:t>
            </w:r>
          </w:p>
        </w:tc>
        <w:tc>
          <w:tcPr>
            <w:tcW w:w="912" w:type="dxa"/>
            <w:vAlign w:val="center"/>
          </w:tcPr>
          <w:p>
            <w:pPr>
              <w:pStyle w:val="15"/>
            </w:pPr>
            <w:r>
              <w:t>8.07</w:t>
            </w:r>
          </w:p>
        </w:tc>
        <w:tc>
          <w:tcPr>
            <w:tcW w:w="840" w:type="dxa"/>
            <w:vAlign w:val="center"/>
          </w:tcPr>
          <w:p>
            <w:pPr>
              <w:pStyle w:val="15"/>
            </w:pPr>
            <w:r>
              <w:t>8.07</w:t>
            </w:r>
          </w:p>
        </w:tc>
        <w:tc>
          <w:tcPr>
            <w:tcW w:w="1116" w:type="dxa"/>
            <w:vAlign w:val="center"/>
          </w:tcPr>
          <w:p>
            <w:pPr>
              <w:pStyle w:val="15"/>
            </w:pPr>
            <w:r>
              <w:t>8.07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2101101</w:t>
            </w:r>
          </w:p>
        </w:tc>
        <w:tc>
          <w:tcPr>
            <w:tcW w:w="3220" w:type="dxa"/>
            <w:vAlign w:val="center"/>
          </w:tcPr>
          <w:p>
            <w:pPr>
              <w:pStyle w:val="16"/>
            </w:pPr>
            <w:r>
              <w:t>行政单位医疗</w:t>
            </w:r>
          </w:p>
        </w:tc>
        <w:tc>
          <w:tcPr>
            <w:tcW w:w="912" w:type="dxa"/>
            <w:vAlign w:val="center"/>
          </w:tcPr>
          <w:p>
            <w:pPr>
              <w:pStyle w:val="15"/>
            </w:pPr>
            <w:r>
              <w:t>8.07</w:t>
            </w:r>
          </w:p>
        </w:tc>
        <w:tc>
          <w:tcPr>
            <w:tcW w:w="840" w:type="dxa"/>
            <w:vAlign w:val="center"/>
          </w:tcPr>
          <w:p>
            <w:pPr>
              <w:pStyle w:val="15"/>
            </w:pPr>
            <w:r>
              <w:t>8.07</w:t>
            </w:r>
          </w:p>
        </w:tc>
        <w:tc>
          <w:tcPr>
            <w:tcW w:w="1116" w:type="dxa"/>
            <w:vAlign w:val="center"/>
          </w:tcPr>
          <w:p>
            <w:pPr>
              <w:pStyle w:val="15"/>
            </w:pPr>
            <w:r>
              <w:t>8.07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w:t>
            </w:r>
          </w:p>
        </w:tc>
        <w:tc>
          <w:tcPr>
            <w:tcW w:w="3220" w:type="dxa"/>
            <w:vAlign w:val="center"/>
          </w:tcPr>
          <w:p>
            <w:pPr>
              <w:pStyle w:val="16"/>
            </w:pPr>
            <w:r>
              <w:t>住房保障支出</w:t>
            </w:r>
          </w:p>
        </w:tc>
        <w:tc>
          <w:tcPr>
            <w:tcW w:w="912" w:type="dxa"/>
            <w:vAlign w:val="center"/>
          </w:tcPr>
          <w:p>
            <w:pPr>
              <w:pStyle w:val="15"/>
            </w:pPr>
            <w:r>
              <w:t>14.23</w:t>
            </w:r>
          </w:p>
        </w:tc>
        <w:tc>
          <w:tcPr>
            <w:tcW w:w="840" w:type="dxa"/>
            <w:vAlign w:val="center"/>
          </w:tcPr>
          <w:p>
            <w:pPr>
              <w:pStyle w:val="15"/>
            </w:pPr>
            <w:r>
              <w:t>14.23</w:t>
            </w:r>
          </w:p>
        </w:tc>
        <w:tc>
          <w:tcPr>
            <w:tcW w:w="1116" w:type="dxa"/>
            <w:vAlign w:val="center"/>
          </w:tcPr>
          <w:p>
            <w:pPr>
              <w:pStyle w:val="15"/>
            </w:pPr>
            <w:r>
              <w:t>14.23</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22102</w:t>
            </w:r>
          </w:p>
        </w:tc>
        <w:tc>
          <w:tcPr>
            <w:tcW w:w="3220" w:type="dxa"/>
            <w:vAlign w:val="center"/>
          </w:tcPr>
          <w:p>
            <w:pPr>
              <w:pStyle w:val="16"/>
            </w:pPr>
            <w:r>
              <w:t>住房改革支出</w:t>
            </w:r>
          </w:p>
        </w:tc>
        <w:tc>
          <w:tcPr>
            <w:tcW w:w="912" w:type="dxa"/>
            <w:vAlign w:val="center"/>
          </w:tcPr>
          <w:p>
            <w:pPr>
              <w:pStyle w:val="15"/>
            </w:pPr>
            <w:r>
              <w:t>14.23</w:t>
            </w:r>
          </w:p>
        </w:tc>
        <w:tc>
          <w:tcPr>
            <w:tcW w:w="840" w:type="dxa"/>
            <w:vAlign w:val="center"/>
          </w:tcPr>
          <w:p>
            <w:pPr>
              <w:pStyle w:val="15"/>
            </w:pPr>
            <w:r>
              <w:t>14.23</w:t>
            </w:r>
          </w:p>
        </w:tc>
        <w:tc>
          <w:tcPr>
            <w:tcW w:w="1116" w:type="dxa"/>
            <w:vAlign w:val="center"/>
          </w:tcPr>
          <w:p>
            <w:pPr>
              <w:pStyle w:val="15"/>
            </w:pPr>
            <w:r>
              <w:t>14.23</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2210201</w:t>
            </w:r>
          </w:p>
        </w:tc>
        <w:tc>
          <w:tcPr>
            <w:tcW w:w="3220" w:type="dxa"/>
            <w:vAlign w:val="center"/>
          </w:tcPr>
          <w:p>
            <w:pPr>
              <w:pStyle w:val="16"/>
            </w:pPr>
            <w:r>
              <w:t>住房公积金</w:t>
            </w:r>
          </w:p>
        </w:tc>
        <w:tc>
          <w:tcPr>
            <w:tcW w:w="912" w:type="dxa"/>
            <w:vAlign w:val="center"/>
          </w:tcPr>
          <w:p>
            <w:pPr>
              <w:pStyle w:val="15"/>
            </w:pPr>
            <w:r>
              <w:t>14.23</w:t>
            </w:r>
          </w:p>
        </w:tc>
        <w:tc>
          <w:tcPr>
            <w:tcW w:w="840" w:type="dxa"/>
            <w:vAlign w:val="center"/>
          </w:tcPr>
          <w:p>
            <w:pPr>
              <w:pStyle w:val="15"/>
            </w:pPr>
            <w:r>
              <w:t>14.23</w:t>
            </w:r>
          </w:p>
        </w:tc>
        <w:tc>
          <w:tcPr>
            <w:tcW w:w="1116" w:type="dxa"/>
            <w:vAlign w:val="center"/>
          </w:tcPr>
          <w:p>
            <w:pPr>
              <w:pStyle w:val="15"/>
            </w:pPr>
            <w:r>
              <w:t>14.23</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211</w:t>
            </w:r>
            <w:r>
              <w:rPr>
                <w:rFonts w:hint="eastAsia"/>
              </w:rPr>
              <w:t>中国共产党隆尧县委员会宣传部</w:t>
            </w:r>
          </w:p>
        </w:tc>
        <w:tc>
          <w:tcPr>
            <w:tcW w:w="2722" w:type="dxa"/>
            <w:gridSpan w:val="2"/>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444"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6"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614.75</w:t>
            </w:r>
          </w:p>
        </w:tc>
        <w:tc>
          <w:tcPr>
            <w:tcW w:w="1361" w:type="dxa"/>
            <w:vAlign w:val="center"/>
          </w:tcPr>
          <w:p>
            <w:pPr>
              <w:pStyle w:val="19"/>
            </w:pPr>
            <w:r>
              <w:t>190.34</w:t>
            </w:r>
          </w:p>
        </w:tc>
        <w:tc>
          <w:tcPr>
            <w:tcW w:w="1361" w:type="dxa"/>
            <w:vAlign w:val="center"/>
          </w:tcPr>
          <w:p>
            <w:pPr>
              <w:pStyle w:val="19"/>
            </w:pPr>
            <w:r>
              <w:t>424.42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t>一般公共服务支出</w:t>
            </w:r>
          </w:p>
        </w:tc>
        <w:tc>
          <w:tcPr>
            <w:tcW w:w="1361" w:type="dxa"/>
            <w:vAlign w:val="center"/>
          </w:tcPr>
          <w:p>
            <w:pPr>
              <w:pStyle w:val="15"/>
            </w:pPr>
            <w:r>
              <w:t>149.67</w:t>
            </w:r>
          </w:p>
        </w:tc>
        <w:tc>
          <w:tcPr>
            <w:tcW w:w="1361" w:type="dxa"/>
            <w:vAlign w:val="center"/>
          </w:tcPr>
          <w:p>
            <w:pPr>
              <w:pStyle w:val="15"/>
            </w:pPr>
            <w:r>
              <w:t>149.67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20133</w:t>
            </w:r>
          </w:p>
        </w:tc>
        <w:tc>
          <w:tcPr>
            <w:tcW w:w="4536" w:type="dxa"/>
            <w:vAlign w:val="center"/>
          </w:tcPr>
          <w:p>
            <w:pPr>
              <w:pStyle w:val="16"/>
            </w:pPr>
            <w:r>
              <w:t>宣传事务</w:t>
            </w:r>
          </w:p>
        </w:tc>
        <w:tc>
          <w:tcPr>
            <w:tcW w:w="1361" w:type="dxa"/>
            <w:vAlign w:val="center"/>
          </w:tcPr>
          <w:p>
            <w:pPr>
              <w:pStyle w:val="15"/>
            </w:pPr>
            <w:r>
              <w:t>149.67</w:t>
            </w:r>
          </w:p>
        </w:tc>
        <w:tc>
          <w:tcPr>
            <w:tcW w:w="1361" w:type="dxa"/>
            <w:vAlign w:val="center"/>
          </w:tcPr>
          <w:p>
            <w:pPr>
              <w:pStyle w:val="15"/>
            </w:pPr>
            <w:r>
              <w:t>149.67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2013301</w:t>
            </w:r>
          </w:p>
        </w:tc>
        <w:tc>
          <w:tcPr>
            <w:tcW w:w="4536" w:type="dxa"/>
            <w:vAlign w:val="center"/>
          </w:tcPr>
          <w:p>
            <w:pPr>
              <w:pStyle w:val="16"/>
            </w:pPr>
            <w:r>
              <w:t>行政运行</w:t>
            </w:r>
          </w:p>
        </w:tc>
        <w:tc>
          <w:tcPr>
            <w:tcW w:w="1361" w:type="dxa"/>
            <w:vAlign w:val="center"/>
          </w:tcPr>
          <w:p>
            <w:pPr>
              <w:pStyle w:val="15"/>
            </w:pPr>
            <w:r>
              <w:t>149.67</w:t>
            </w:r>
          </w:p>
        </w:tc>
        <w:tc>
          <w:tcPr>
            <w:tcW w:w="1361" w:type="dxa"/>
            <w:vAlign w:val="center"/>
          </w:tcPr>
          <w:p>
            <w:pPr>
              <w:pStyle w:val="15"/>
            </w:pPr>
            <w:r>
              <w:t>149.67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207</w:t>
            </w:r>
          </w:p>
        </w:tc>
        <w:tc>
          <w:tcPr>
            <w:tcW w:w="4536" w:type="dxa"/>
            <w:vAlign w:val="center"/>
          </w:tcPr>
          <w:p>
            <w:pPr>
              <w:pStyle w:val="16"/>
            </w:pPr>
            <w:r>
              <w:t>文化旅游体育与传媒支出</w:t>
            </w:r>
          </w:p>
        </w:tc>
        <w:tc>
          <w:tcPr>
            <w:tcW w:w="1361" w:type="dxa"/>
            <w:vAlign w:val="center"/>
          </w:tcPr>
          <w:p>
            <w:pPr>
              <w:pStyle w:val="15"/>
            </w:pPr>
            <w:r>
              <w:t>424.42</w:t>
            </w:r>
          </w:p>
        </w:tc>
        <w:tc>
          <w:tcPr>
            <w:tcW w:w="1361" w:type="dxa"/>
            <w:vAlign w:val="center"/>
          </w:tcPr>
          <w:p>
            <w:pPr>
              <w:pStyle w:val="15"/>
            </w:pPr>
          </w:p>
        </w:tc>
        <w:tc>
          <w:tcPr>
            <w:tcW w:w="1361" w:type="dxa"/>
            <w:vAlign w:val="center"/>
          </w:tcPr>
          <w:p>
            <w:pPr>
              <w:pStyle w:val="15"/>
            </w:pPr>
            <w:r>
              <w:t>424.42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20701</w:t>
            </w:r>
          </w:p>
        </w:tc>
        <w:tc>
          <w:tcPr>
            <w:tcW w:w="4536" w:type="dxa"/>
            <w:vAlign w:val="center"/>
          </w:tcPr>
          <w:p>
            <w:pPr>
              <w:pStyle w:val="16"/>
            </w:pPr>
            <w:r>
              <w:t>文化和旅游</w:t>
            </w:r>
          </w:p>
        </w:tc>
        <w:tc>
          <w:tcPr>
            <w:tcW w:w="1361" w:type="dxa"/>
            <w:vAlign w:val="center"/>
          </w:tcPr>
          <w:p>
            <w:pPr>
              <w:pStyle w:val="15"/>
            </w:pPr>
            <w:r>
              <w:t>141.00</w:t>
            </w:r>
          </w:p>
        </w:tc>
        <w:tc>
          <w:tcPr>
            <w:tcW w:w="1361" w:type="dxa"/>
            <w:vAlign w:val="center"/>
          </w:tcPr>
          <w:p>
            <w:pPr>
              <w:pStyle w:val="15"/>
            </w:pPr>
          </w:p>
        </w:tc>
        <w:tc>
          <w:tcPr>
            <w:tcW w:w="1361" w:type="dxa"/>
            <w:vAlign w:val="center"/>
          </w:tcPr>
          <w:p>
            <w:pPr>
              <w:pStyle w:val="15"/>
            </w:pPr>
            <w:r>
              <w:t>141.00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2070199</w:t>
            </w:r>
          </w:p>
        </w:tc>
        <w:tc>
          <w:tcPr>
            <w:tcW w:w="4536" w:type="dxa"/>
            <w:vAlign w:val="center"/>
          </w:tcPr>
          <w:p>
            <w:pPr>
              <w:pStyle w:val="16"/>
            </w:pPr>
            <w:r>
              <w:t>其他文化和旅游支出</w:t>
            </w:r>
          </w:p>
        </w:tc>
        <w:tc>
          <w:tcPr>
            <w:tcW w:w="1361" w:type="dxa"/>
            <w:vAlign w:val="center"/>
          </w:tcPr>
          <w:p>
            <w:pPr>
              <w:pStyle w:val="15"/>
            </w:pPr>
            <w:r>
              <w:t>141.00</w:t>
            </w:r>
          </w:p>
        </w:tc>
        <w:tc>
          <w:tcPr>
            <w:tcW w:w="1361" w:type="dxa"/>
            <w:vAlign w:val="center"/>
          </w:tcPr>
          <w:p>
            <w:pPr>
              <w:pStyle w:val="15"/>
            </w:pPr>
          </w:p>
        </w:tc>
        <w:tc>
          <w:tcPr>
            <w:tcW w:w="1361" w:type="dxa"/>
            <w:vAlign w:val="center"/>
          </w:tcPr>
          <w:p>
            <w:pPr>
              <w:pStyle w:val="15"/>
            </w:pPr>
            <w:r>
              <w:t>141.00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20707</w:t>
            </w:r>
          </w:p>
        </w:tc>
        <w:tc>
          <w:tcPr>
            <w:tcW w:w="4536" w:type="dxa"/>
            <w:vAlign w:val="center"/>
          </w:tcPr>
          <w:p>
            <w:pPr>
              <w:pStyle w:val="16"/>
            </w:pPr>
            <w:r>
              <w:t>国家电影事业发展专项资金安排的支出</w:t>
            </w: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2070701</w:t>
            </w:r>
          </w:p>
        </w:tc>
        <w:tc>
          <w:tcPr>
            <w:tcW w:w="4536" w:type="dxa"/>
            <w:vAlign w:val="center"/>
          </w:tcPr>
          <w:p>
            <w:pPr>
              <w:pStyle w:val="16"/>
            </w:pPr>
            <w:r>
              <w:t>资助国产影片放映</w:t>
            </w: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20799</w:t>
            </w:r>
          </w:p>
        </w:tc>
        <w:tc>
          <w:tcPr>
            <w:tcW w:w="4536" w:type="dxa"/>
            <w:vAlign w:val="center"/>
          </w:tcPr>
          <w:p>
            <w:pPr>
              <w:pStyle w:val="16"/>
            </w:pPr>
            <w:r>
              <w:t>其他文化旅游体育与传媒支出</w:t>
            </w:r>
          </w:p>
        </w:tc>
        <w:tc>
          <w:tcPr>
            <w:tcW w:w="1361" w:type="dxa"/>
            <w:vAlign w:val="center"/>
          </w:tcPr>
          <w:p>
            <w:pPr>
              <w:pStyle w:val="15"/>
            </w:pPr>
            <w:r>
              <w:t>276.42</w:t>
            </w:r>
          </w:p>
        </w:tc>
        <w:tc>
          <w:tcPr>
            <w:tcW w:w="1361" w:type="dxa"/>
            <w:vAlign w:val="center"/>
          </w:tcPr>
          <w:p>
            <w:pPr>
              <w:pStyle w:val="15"/>
            </w:pPr>
          </w:p>
        </w:tc>
        <w:tc>
          <w:tcPr>
            <w:tcW w:w="1361" w:type="dxa"/>
            <w:vAlign w:val="center"/>
          </w:tcPr>
          <w:p>
            <w:pPr>
              <w:pStyle w:val="15"/>
            </w:pPr>
            <w:r>
              <w:t>276.42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2079999</w:t>
            </w:r>
          </w:p>
        </w:tc>
        <w:tc>
          <w:tcPr>
            <w:tcW w:w="4536" w:type="dxa"/>
            <w:vAlign w:val="center"/>
          </w:tcPr>
          <w:p>
            <w:pPr>
              <w:pStyle w:val="16"/>
            </w:pPr>
            <w:r>
              <w:t>其他文化旅游体育与传媒支出</w:t>
            </w:r>
          </w:p>
        </w:tc>
        <w:tc>
          <w:tcPr>
            <w:tcW w:w="1361" w:type="dxa"/>
            <w:vAlign w:val="center"/>
          </w:tcPr>
          <w:p>
            <w:pPr>
              <w:pStyle w:val="15"/>
            </w:pPr>
            <w:r>
              <w:t>276.42</w:t>
            </w:r>
          </w:p>
        </w:tc>
        <w:tc>
          <w:tcPr>
            <w:tcW w:w="1361" w:type="dxa"/>
            <w:vAlign w:val="center"/>
          </w:tcPr>
          <w:p>
            <w:pPr>
              <w:pStyle w:val="15"/>
            </w:pPr>
          </w:p>
        </w:tc>
        <w:tc>
          <w:tcPr>
            <w:tcW w:w="1361" w:type="dxa"/>
            <w:vAlign w:val="center"/>
          </w:tcPr>
          <w:p>
            <w:pPr>
              <w:pStyle w:val="15"/>
            </w:pPr>
            <w:r>
              <w:t>276.42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18.36</w:t>
            </w:r>
          </w:p>
        </w:tc>
        <w:tc>
          <w:tcPr>
            <w:tcW w:w="1361" w:type="dxa"/>
            <w:vAlign w:val="center"/>
          </w:tcPr>
          <w:p>
            <w:pPr>
              <w:pStyle w:val="15"/>
            </w:pPr>
            <w:r>
              <w:t>18.36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18.36</w:t>
            </w:r>
          </w:p>
        </w:tc>
        <w:tc>
          <w:tcPr>
            <w:tcW w:w="1361" w:type="dxa"/>
            <w:vAlign w:val="center"/>
          </w:tcPr>
          <w:p>
            <w:pPr>
              <w:pStyle w:val="15"/>
            </w:pPr>
            <w:r>
              <w:t>18.36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18.36</w:t>
            </w:r>
          </w:p>
        </w:tc>
        <w:tc>
          <w:tcPr>
            <w:tcW w:w="1361" w:type="dxa"/>
            <w:vAlign w:val="center"/>
          </w:tcPr>
          <w:p>
            <w:pPr>
              <w:pStyle w:val="15"/>
            </w:pPr>
            <w:r>
              <w:t>18.36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8.07</w:t>
            </w:r>
          </w:p>
        </w:tc>
        <w:tc>
          <w:tcPr>
            <w:tcW w:w="1361" w:type="dxa"/>
            <w:vAlign w:val="center"/>
          </w:tcPr>
          <w:p>
            <w:pPr>
              <w:pStyle w:val="15"/>
            </w:pPr>
            <w:r>
              <w:t>8.07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8.07</w:t>
            </w:r>
          </w:p>
        </w:tc>
        <w:tc>
          <w:tcPr>
            <w:tcW w:w="1361" w:type="dxa"/>
            <w:vAlign w:val="center"/>
          </w:tcPr>
          <w:p>
            <w:pPr>
              <w:pStyle w:val="15"/>
            </w:pPr>
            <w:r>
              <w:t>8.07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2101101</w:t>
            </w:r>
          </w:p>
        </w:tc>
        <w:tc>
          <w:tcPr>
            <w:tcW w:w="4536" w:type="dxa"/>
            <w:vAlign w:val="center"/>
          </w:tcPr>
          <w:p>
            <w:pPr>
              <w:pStyle w:val="16"/>
            </w:pPr>
            <w:r>
              <w:t>行政单位医疗</w:t>
            </w:r>
          </w:p>
        </w:tc>
        <w:tc>
          <w:tcPr>
            <w:tcW w:w="1361" w:type="dxa"/>
            <w:vAlign w:val="center"/>
          </w:tcPr>
          <w:p>
            <w:pPr>
              <w:pStyle w:val="15"/>
            </w:pPr>
            <w:r>
              <w:t>8.07</w:t>
            </w:r>
          </w:p>
        </w:tc>
        <w:tc>
          <w:tcPr>
            <w:tcW w:w="1361" w:type="dxa"/>
            <w:vAlign w:val="center"/>
          </w:tcPr>
          <w:p>
            <w:pPr>
              <w:pStyle w:val="15"/>
            </w:pPr>
            <w:r>
              <w:t>8.07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w:t>
            </w:r>
          </w:p>
        </w:tc>
        <w:tc>
          <w:tcPr>
            <w:tcW w:w="4536" w:type="dxa"/>
            <w:vAlign w:val="center"/>
          </w:tcPr>
          <w:p>
            <w:pPr>
              <w:pStyle w:val="16"/>
            </w:pPr>
            <w:r>
              <w:t>住房保障支出</w:t>
            </w:r>
          </w:p>
        </w:tc>
        <w:tc>
          <w:tcPr>
            <w:tcW w:w="1361" w:type="dxa"/>
            <w:vAlign w:val="center"/>
          </w:tcPr>
          <w:p>
            <w:pPr>
              <w:pStyle w:val="15"/>
            </w:pPr>
            <w:r>
              <w:t>14.23</w:t>
            </w:r>
          </w:p>
        </w:tc>
        <w:tc>
          <w:tcPr>
            <w:tcW w:w="1361" w:type="dxa"/>
            <w:vAlign w:val="center"/>
          </w:tcPr>
          <w:p>
            <w:pPr>
              <w:pStyle w:val="15"/>
            </w:pPr>
            <w:r>
              <w:t>14.23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22102</w:t>
            </w:r>
          </w:p>
        </w:tc>
        <w:tc>
          <w:tcPr>
            <w:tcW w:w="4536" w:type="dxa"/>
            <w:vAlign w:val="center"/>
          </w:tcPr>
          <w:p>
            <w:pPr>
              <w:pStyle w:val="16"/>
            </w:pPr>
            <w:r>
              <w:t>住房改革支出</w:t>
            </w:r>
          </w:p>
        </w:tc>
        <w:tc>
          <w:tcPr>
            <w:tcW w:w="1361" w:type="dxa"/>
            <w:vAlign w:val="center"/>
          </w:tcPr>
          <w:p>
            <w:pPr>
              <w:pStyle w:val="15"/>
            </w:pPr>
            <w:r>
              <w:t>14.23</w:t>
            </w:r>
          </w:p>
        </w:tc>
        <w:tc>
          <w:tcPr>
            <w:tcW w:w="1361" w:type="dxa"/>
            <w:vAlign w:val="center"/>
          </w:tcPr>
          <w:p>
            <w:pPr>
              <w:pStyle w:val="15"/>
            </w:pPr>
            <w:r>
              <w:t>14.23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2210201</w:t>
            </w:r>
          </w:p>
        </w:tc>
        <w:tc>
          <w:tcPr>
            <w:tcW w:w="4536" w:type="dxa"/>
            <w:vAlign w:val="center"/>
          </w:tcPr>
          <w:p>
            <w:pPr>
              <w:pStyle w:val="16"/>
            </w:pPr>
            <w:r>
              <w:t>住房公积金</w:t>
            </w:r>
          </w:p>
        </w:tc>
        <w:tc>
          <w:tcPr>
            <w:tcW w:w="1361" w:type="dxa"/>
            <w:vAlign w:val="center"/>
          </w:tcPr>
          <w:p>
            <w:pPr>
              <w:pStyle w:val="15"/>
            </w:pPr>
            <w:r>
              <w:t>14.23</w:t>
            </w:r>
          </w:p>
        </w:tc>
        <w:tc>
          <w:tcPr>
            <w:tcW w:w="1361" w:type="dxa"/>
            <w:vAlign w:val="center"/>
          </w:tcPr>
          <w:p>
            <w:pPr>
              <w:pStyle w:val="15"/>
            </w:pPr>
            <w:r>
              <w:t>14.23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211</w:t>
            </w:r>
            <w:r>
              <w:rPr>
                <w:rFonts w:hint="eastAsia"/>
              </w:rPr>
              <w:t>中国共产党隆尧县委员会宣传部</w:t>
            </w:r>
          </w:p>
        </w:tc>
        <w:tc>
          <w:tcPr>
            <w:tcW w:w="3402"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607.75</w:t>
            </w:r>
          </w:p>
        </w:tc>
        <w:tc>
          <w:tcPr>
            <w:tcW w:w="3402" w:type="dxa"/>
            <w:vAlign w:val="center"/>
          </w:tcPr>
          <w:p>
            <w:pPr>
              <w:pStyle w:val="16"/>
            </w:pPr>
            <w:r>
              <w:t>一、一般公共服务支出</w:t>
            </w:r>
          </w:p>
        </w:tc>
        <w:tc>
          <w:tcPr>
            <w:tcW w:w="1474" w:type="dxa"/>
            <w:vAlign w:val="center"/>
          </w:tcPr>
          <w:p>
            <w:pPr>
              <w:pStyle w:val="15"/>
            </w:pPr>
            <w:r>
              <w:t>149.67</w:t>
            </w:r>
          </w:p>
        </w:tc>
        <w:tc>
          <w:tcPr>
            <w:tcW w:w="1474" w:type="dxa"/>
            <w:vAlign w:val="center"/>
          </w:tcPr>
          <w:p>
            <w:pPr>
              <w:pStyle w:val="15"/>
            </w:pPr>
            <w:r>
              <w:t>149.67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7.00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r>
              <w:t>424.42</w:t>
            </w:r>
          </w:p>
        </w:tc>
        <w:tc>
          <w:tcPr>
            <w:tcW w:w="1474" w:type="dxa"/>
            <w:vAlign w:val="center"/>
          </w:tcPr>
          <w:p>
            <w:pPr>
              <w:pStyle w:val="15"/>
            </w:pPr>
            <w:r>
              <w:t>417.42</w:t>
            </w:r>
          </w:p>
        </w:tc>
        <w:tc>
          <w:tcPr>
            <w:tcW w:w="1474" w:type="dxa"/>
            <w:vAlign w:val="center"/>
          </w:tcPr>
          <w:p>
            <w:pPr>
              <w:pStyle w:val="15"/>
            </w:pPr>
            <w:r>
              <w:t>7.00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18.36</w:t>
            </w:r>
          </w:p>
        </w:tc>
        <w:tc>
          <w:tcPr>
            <w:tcW w:w="1474" w:type="dxa"/>
            <w:vAlign w:val="center"/>
          </w:tcPr>
          <w:p>
            <w:pPr>
              <w:pStyle w:val="15"/>
            </w:pPr>
            <w:r>
              <w:t>18.36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8.07</w:t>
            </w:r>
          </w:p>
        </w:tc>
        <w:tc>
          <w:tcPr>
            <w:tcW w:w="1474" w:type="dxa"/>
            <w:vAlign w:val="center"/>
          </w:tcPr>
          <w:p>
            <w:pPr>
              <w:pStyle w:val="15"/>
            </w:pPr>
            <w:r>
              <w:t>8.07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14.23</w:t>
            </w:r>
          </w:p>
        </w:tc>
        <w:tc>
          <w:tcPr>
            <w:tcW w:w="1474" w:type="dxa"/>
            <w:vAlign w:val="center"/>
          </w:tcPr>
          <w:p>
            <w:pPr>
              <w:pStyle w:val="15"/>
            </w:pPr>
            <w:r>
              <w:t>14.23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三十一、往来性收支</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614.75</w:t>
            </w:r>
          </w:p>
        </w:tc>
        <w:tc>
          <w:tcPr>
            <w:tcW w:w="3402" w:type="dxa"/>
            <w:vAlign w:val="center"/>
          </w:tcPr>
          <w:p>
            <w:pPr>
              <w:pStyle w:val="18"/>
            </w:pPr>
            <w:r>
              <w:t>本年支出合计</w:t>
            </w:r>
          </w:p>
        </w:tc>
        <w:tc>
          <w:tcPr>
            <w:tcW w:w="1474" w:type="dxa"/>
            <w:vAlign w:val="center"/>
          </w:tcPr>
          <w:p>
            <w:pPr>
              <w:pStyle w:val="19"/>
            </w:pPr>
            <w:r>
              <w:t>614.75</w:t>
            </w:r>
          </w:p>
        </w:tc>
        <w:tc>
          <w:tcPr>
            <w:tcW w:w="1474" w:type="dxa"/>
            <w:vAlign w:val="center"/>
          </w:tcPr>
          <w:p>
            <w:pPr>
              <w:pStyle w:val="19"/>
            </w:pPr>
            <w:r>
              <w:t>607.75</w:t>
            </w:r>
          </w:p>
        </w:tc>
        <w:tc>
          <w:tcPr>
            <w:tcW w:w="1474" w:type="dxa"/>
            <w:vAlign w:val="center"/>
          </w:tcPr>
          <w:p>
            <w:pPr>
              <w:pStyle w:val="19"/>
            </w:pPr>
            <w:r>
              <w:t>7.00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614.75</w:t>
            </w:r>
          </w:p>
        </w:tc>
        <w:tc>
          <w:tcPr>
            <w:tcW w:w="3402" w:type="dxa"/>
            <w:vAlign w:val="center"/>
          </w:tcPr>
          <w:p>
            <w:pPr>
              <w:pStyle w:val="18"/>
            </w:pPr>
            <w:r>
              <w:t>支出总计</w:t>
            </w:r>
          </w:p>
        </w:tc>
        <w:tc>
          <w:tcPr>
            <w:tcW w:w="1474" w:type="dxa"/>
            <w:vAlign w:val="center"/>
          </w:tcPr>
          <w:p>
            <w:pPr>
              <w:pStyle w:val="19"/>
            </w:pPr>
            <w:r>
              <w:t>614.75</w:t>
            </w:r>
          </w:p>
        </w:tc>
        <w:tc>
          <w:tcPr>
            <w:tcW w:w="1474" w:type="dxa"/>
            <w:vAlign w:val="center"/>
          </w:tcPr>
          <w:p>
            <w:pPr>
              <w:pStyle w:val="19"/>
            </w:pPr>
            <w:r>
              <w:t>607.75</w:t>
            </w:r>
          </w:p>
        </w:tc>
        <w:tc>
          <w:tcPr>
            <w:tcW w:w="1474" w:type="dxa"/>
            <w:vAlign w:val="center"/>
          </w:tcPr>
          <w:p>
            <w:pPr>
              <w:pStyle w:val="19"/>
            </w:pPr>
            <w:r>
              <w:t>7.00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211</w:t>
            </w:r>
            <w:r>
              <w:rPr>
                <w:rFonts w:hint="eastAsia"/>
              </w:rPr>
              <w:t>中国共产党隆尧县委员会宣传部</w:t>
            </w:r>
          </w:p>
        </w:tc>
        <w:tc>
          <w:tcPr>
            <w:tcW w:w="255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607.75</w:t>
            </w:r>
          </w:p>
        </w:tc>
        <w:tc>
          <w:tcPr>
            <w:tcW w:w="2551" w:type="dxa"/>
            <w:vAlign w:val="center"/>
          </w:tcPr>
          <w:p>
            <w:pPr>
              <w:pStyle w:val="19"/>
            </w:pPr>
            <w:r>
              <w:t>190.34</w:t>
            </w:r>
          </w:p>
        </w:tc>
        <w:tc>
          <w:tcPr>
            <w:tcW w:w="2551" w:type="dxa"/>
            <w:vAlign w:val="center"/>
          </w:tcPr>
          <w:p>
            <w:pPr>
              <w:pStyle w:val="19"/>
            </w:pPr>
            <w:r>
              <w:t>417.42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149.67</w:t>
            </w:r>
          </w:p>
        </w:tc>
        <w:tc>
          <w:tcPr>
            <w:tcW w:w="2551" w:type="dxa"/>
            <w:vAlign w:val="center"/>
          </w:tcPr>
          <w:p>
            <w:pPr>
              <w:pStyle w:val="15"/>
            </w:pPr>
            <w:r>
              <w:t>149.67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20133</w:t>
            </w:r>
          </w:p>
        </w:tc>
        <w:tc>
          <w:tcPr>
            <w:tcW w:w="4535" w:type="dxa"/>
            <w:vAlign w:val="center"/>
          </w:tcPr>
          <w:p>
            <w:pPr>
              <w:pStyle w:val="16"/>
            </w:pPr>
            <w:r>
              <w:t>宣传事务</w:t>
            </w:r>
          </w:p>
        </w:tc>
        <w:tc>
          <w:tcPr>
            <w:tcW w:w="2551" w:type="dxa"/>
            <w:vAlign w:val="center"/>
          </w:tcPr>
          <w:p>
            <w:pPr>
              <w:pStyle w:val="15"/>
            </w:pPr>
            <w:r>
              <w:t>149.67</w:t>
            </w:r>
          </w:p>
        </w:tc>
        <w:tc>
          <w:tcPr>
            <w:tcW w:w="2551" w:type="dxa"/>
            <w:vAlign w:val="center"/>
          </w:tcPr>
          <w:p>
            <w:pPr>
              <w:pStyle w:val="15"/>
            </w:pPr>
            <w:r>
              <w:t>149.67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2013301</w:t>
            </w:r>
          </w:p>
        </w:tc>
        <w:tc>
          <w:tcPr>
            <w:tcW w:w="4535" w:type="dxa"/>
            <w:vAlign w:val="center"/>
          </w:tcPr>
          <w:p>
            <w:pPr>
              <w:pStyle w:val="16"/>
            </w:pPr>
            <w:r>
              <w:t>行政运行</w:t>
            </w:r>
          </w:p>
        </w:tc>
        <w:tc>
          <w:tcPr>
            <w:tcW w:w="2551" w:type="dxa"/>
            <w:vAlign w:val="center"/>
          </w:tcPr>
          <w:p>
            <w:pPr>
              <w:pStyle w:val="15"/>
            </w:pPr>
            <w:r>
              <w:t>149.67</w:t>
            </w:r>
          </w:p>
        </w:tc>
        <w:tc>
          <w:tcPr>
            <w:tcW w:w="2551" w:type="dxa"/>
            <w:vAlign w:val="center"/>
          </w:tcPr>
          <w:p>
            <w:pPr>
              <w:pStyle w:val="15"/>
            </w:pPr>
            <w:r>
              <w:t>149.67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207</w:t>
            </w:r>
          </w:p>
        </w:tc>
        <w:tc>
          <w:tcPr>
            <w:tcW w:w="4535" w:type="dxa"/>
            <w:vAlign w:val="center"/>
          </w:tcPr>
          <w:p>
            <w:pPr>
              <w:pStyle w:val="16"/>
            </w:pPr>
            <w:r>
              <w:t>文化旅游体育与传媒支出</w:t>
            </w:r>
          </w:p>
        </w:tc>
        <w:tc>
          <w:tcPr>
            <w:tcW w:w="2551" w:type="dxa"/>
            <w:vAlign w:val="center"/>
          </w:tcPr>
          <w:p>
            <w:pPr>
              <w:pStyle w:val="15"/>
            </w:pPr>
            <w:r>
              <w:t>417.42</w:t>
            </w:r>
          </w:p>
        </w:tc>
        <w:tc>
          <w:tcPr>
            <w:tcW w:w="2551" w:type="dxa"/>
            <w:vAlign w:val="center"/>
          </w:tcPr>
          <w:p>
            <w:pPr>
              <w:pStyle w:val="15"/>
            </w:pPr>
          </w:p>
        </w:tc>
        <w:tc>
          <w:tcPr>
            <w:tcW w:w="2551" w:type="dxa"/>
            <w:vAlign w:val="center"/>
          </w:tcPr>
          <w:p>
            <w:pPr>
              <w:pStyle w:val="15"/>
            </w:pPr>
            <w:r>
              <w:t>417.42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20701</w:t>
            </w:r>
          </w:p>
        </w:tc>
        <w:tc>
          <w:tcPr>
            <w:tcW w:w="4535" w:type="dxa"/>
            <w:vAlign w:val="center"/>
          </w:tcPr>
          <w:p>
            <w:pPr>
              <w:pStyle w:val="16"/>
            </w:pPr>
            <w:r>
              <w:t>文化和旅游</w:t>
            </w:r>
          </w:p>
        </w:tc>
        <w:tc>
          <w:tcPr>
            <w:tcW w:w="2551" w:type="dxa"/>
            <w:vAlign w:val="center"/>
          </w:tcPr>
          <w:p>
            <w:pPr>
              <w:pStyle w:val="15"/>
            </w:pPr>
            <w:r>
              <w:t>141.00</w:t>
            </w:r>
          </w:p>
        </w:tc>
        <w:tc>
          <w:tcPr>
            <w:tcW w:w="2551" w:type="dxa"/>
            <w:vAlign w:val="center"/>
          </w:tcPr>
          <w:p>
            <w:pPr>
              <w:pStyle w:val="15"/>
            </w:pPr>
          </w:p>
        </w:tc>
        <w:tc>
          <w:tcPr>
            <w:tcW w:w="2551" w:type="dxa"/>
            <w:vAlign w:val="center"/>
          </w:tcPr>
          <w:p>
            <w:pPr>
              <w:pStyle w:val="15"/>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2070199</w:t>
            </w:r>
          </w:p>
        </w:tc>
        <w:tc>
          <w:tcPr>
            <w:tcW w:w="4535" w:type="dxa"/>
            <w:vAlign w:val="center"/>
          </w:tcPr>
          <w:p>
            <w:pPr>
              <w:pStyle w:val="16"/>
            </w:pPr>
            <w:r>
              <w:t>其他文化和旅游支出</w:t>
            </w:r>
          </w:p>
        </w:tc>
        <w:tc>
          <w:tcPr>
            <w:tcW w:w="2551" w:type="dxa"/>
            <w:vAlign w:val="center"/>
          </w:tcPr>
          <w:p>
            <w:pPr>
              <w:pStyle w:val="15"/>
            </w:pPr>
            <w:r>
              <w:t>141.00</w:t>
            </w:r>
          </w:p>
        </w:tc>
        <w:tc>
          <w:tcPr>
            <w:tcW w:w="2551" w:type="dxa"/>
            <w:vAlign w:val="center"/>
          </w:tcPr>
          <w:p>
            <w:pPr>
              <w:pStyle w:val="15"/>
            </w:pPr>
          </w:p>
        </w:tc>
        <w:tc>
          <w:tcPr>
            <w:tcW w:w="2551" w:type="dxa"/>
            <w:vAlign w:val="center"/>
          </w:tcPr>
          <w:p>
            <w:pPr>
              <w:pStyle w:val="15"/>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20799</w:t>
            </w:r>
          </w:p>
        </w:tc>
        <w:tc>
          <w:tcPr>
            <w:tcW w:w="4535" w:type="dxa"/>
            <w:vAlign w:val="center"/>
          </w:tcPr>
          <w:p>
            <w:pPr>
              <w:pStyle w:val="16"/>
            </w:pPr>
            <w:r>
              <w:t>其他文化旅游体育与传媒支出</w:t>
            </w:r>
          </w:p>
        </w:tc>
        <w:tc>
          <w:tcPr>
            <w:tcW w:w="2551" w:type="dxa"/>
            <w:vAlign w:val="center"/>
          </w:tcPr>
          <w:p>
            <w:pPr>
              <w:pStyle w:val="15"/>
            </w:pPr>
            <w:r>
              <w:t>276.42</w:t>
            </w:r>
          </w:p>
        </w:tc>
        <w:tc>
          <w:tcPr>
            <w:tcW w:w="2551" w:type="dxa"/>
            <w:vAlign w:val="center"/>
          </w:tcPr>
          <w:p>
            <w:pPr>
              <w:pStyle w:val="15"/>
            </w:pPr>
          </w:p>
        </w:tc>
        <w:tc>
          <w:tcPr>
            <w:tcW w:w="2551" w:type="dxa"/>
            <w:vAlign w:val="center"/>
          </w:tcPr>
          <w:p>
            <w:pPr>
              <w:pStyle w:val="15"/>
            </w:pPr>
            <w:r>
              <w:t>276.42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2079999</w:t>
            </w:r>
          </w:p>
        </w:tc>
        <w:tc>
          <w:tcPr>
            <w:tcW w:w="4535" w:type="dxa"/>
            <w:vAlign w:val="center"/>
          </w:tcPr>
          <w:p>
            <w:pPr>
              <w:pStyle w:val="16"/>
            </w:pPr>
            <w:r>
              <w:t>其他文化旅游体育与传媒支出</w:t>
            </w:r>
          </w:p>
        </w:tc>
        <w:tc>
          <w:tcPr>
            <w:tcW w:w="2551" w:type="dxa"/>
            <w:vAlign w:val="center"/>
          </w:tcPr>
          <w:p>
            <w:pPr>
              <w:pStyle w:val="15"/>
            </w:pPr>
            <w:r>
              <w:t>276.42</w:t>
            </w:r>
          </w:p>
        </w:tc>
        <w:tc>
          <w:tcPr>
            <w:tcW w:w="2551" w:type="dxa"/>
            <w:vAlign w:val="center"/>
          </w:tcPr>
          <w:p>
            <w:pPr>
              <w:pStyle w:val="15"/>
            </w:pPr>
          </w:p>
        </w:tc>
        <w:tc>
          <w:tcPr>
            <w:tcW w:w="2551" w:type="dxa"/>
            <w:vAlign w:val="center"/>
          </w:tcPr>
          <w:p>
            <w:pPr>
              <w:pStyle w:val="15"/>
            </w:pPr>
            <w:r>
              <w:t>276.42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18.36</w:t>
            </w:r>
          </w:p>
        </w:tc>
        <w:tc>
          <w:tcPr>
            <w:tcW w:w="2551" w:type="dxa"/>
            <w:vAlign w:val="center"/>
          </w:tcPr>
          <w:p>
            <w:pPr>
              <w:pStyle w:val="15"/>
            </w:pPr>
            <w:r>
              <w:t>18.36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18.36</w:t>
            </w:r>
          </w:p>
        </w:tc>
        <w:tc>
          <w:tcPr>
            <w:tcW w:w="2551" w:type="dxa"/>
            <w:vAlign w:val="center"/>
          </w:tcPr>
          <w:p>
            <w:pPr>
              <w:pStyle w:val="15"/>
            </w:pPr>
            <w:r>
              <w:t>18.36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18.36</w:t>
            </w:r>
          </w:p>
        </w:tc>
        <w:tc>
          <w:tcPr>
            <w:tcW w:w="2551" w:type="dxa"/>
            <w:vAlign w:val="center"/>
          </w:tcPr>
          <w:p>
            <w:pPr>
              <w:pStyle w:val="15"/>
            </w:pPr>
            <w:r>
              <w:t>18.36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8.07</w:t>
            </w:r>
          </w:p>
        </w:tc>
        <w:tc>
          <w:tcPr>
            <w:tcW w:w="2551" w:type="dxa"/>
            <w:vAlign w:val="center"/>
          </w:tcPr>
          <w:p>
            <w:pPr>
              <w:pStyle w:val="15"/>
            </w:pPr>
            <w:r>
              <w:t>8.07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8.07</w:t>
            </w:r>
          </w:p>
        </w:tc>
        <w:tc>
          <w:tcPr>
            <w:tcW w:w="2551" w:type="dxa"/>
            <w:vAlign w:val="center"/>
          </w:tcPr>
          <w:p>
            <w:pPr>
              <w:pStyle w:val="15"/>
            </w:pPr>
            <w:r>
              <w:t>8.07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8.07</w:t>
            </w:r>
          </w:p>
        </w:tc>
        <w:tc>
          <w:tcPr>
            <w:tcW w:w="2551" w:type="dxa"/>
            <w:vAlign w:val="center"/>
          </w:tcPr>
          <w:p>
            <w:pPr>
              <w:pStyle w:val="15"/>
            </w:pPr>
            <w:r>
              <w:t>8.07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14.23</w:t>
            </w:r>
          </w:p>
        </w:tc>
        <w:tc>
          <w:tcPr>
            <w:tcW w:w="2551" w:type="dxa"/>
            <w:vAlign w:val="center"/>
          </w:tcPr>
          <w:p>
            <w:pPr>
              <w:pStyle w:val="15"/>
            </w:pPr>
            <w:r>
              <w:t>14.23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14.23</w:t>
            </w:r>
          </w:p>
        </w:tc>
        <w:tc>
          <w:tcPr>
            <w:tcW w:w="2551" w:type="dxa"/>
            <w:vAlign w:val="center"/>
          </w:tcPr>
          <w:p>
            <w:pPr>
              <w:pStyle w:val="15"/>
            </w:pPr>
            <w:r>
              <w:t>14.23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14.23</w:t>
            </w:r>
          </w:p>
        </w:tc>
        <w:tc>
          <w:tcPr>
            <w:tcW w:w="2551" w:type="dxa"/>
            <w:vAlign w:val="center"/>
          </w:tcPr>
          <w:p>
            <w:pPr>
              <w:pStyle w:val="15"/>
            </w:pPr>
            <w:r>
              <w:t>14.23</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211</w:t>
            </w:r>
            <w:r>
              <w:rPr>
                <w:rFonts w:hint="eastAsia"/>
              </w:rPr>
              <w:t>中国共产党隆尧县委员会宣传部</w:t>
            </w:r>
          </w:p>
        </w:tc>
        <w:tc>
          <w:tcPr>
            <w:tcW w:w="255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103"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2"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w:t>
            </w:r>
          </w:p>
        </w:tc>
        <w:tc>
          <w:tcPr>
            <w:tcW w:w="1191" w:type="dxa"/>
            <w:vAlign w:val="center"/>
          </w:tcPr>
          <w:p>
            <w:pPr>
              <w:pStyle w:val="20"/>
              <w:rPr>
                <w:rFonts w:ascii="方正书宋_GBK" w:hAnsi="方正书宋_GBK" w:eastAsia="方正书宋_GBK" w:cs="方正书宋_GBK"/>
                <w:b/>
                <w:kern w:val="0"/>
                <w:sz w:val="21"/>
                <w:szCs w:val="24"/>
                <w:lang w:val="en-US" w:eastAsia="uk-UA" w:bidi="ar-SA"/>
              </w:rPr>
            </w:pPr>
          </w:p>
        </w:tc>
        <w:tc>
          <w:tcPr>
            <w:tcW w:w="4535" w:type="dxa"/>
            <w:vAlign w:val="center"/>
          </w:tcPr>
          <w:p>
            <w:pPr>
              <w:pStyle w:val="18"/>
              <w:rPr>
                <w:rFonts w:ascii="方正书宋_GBK" w:hAnsi="方正书宋_GBK" w:eastAsia="方正书宋_GBK" w:cs="方正书宋_GBK"/>
                <w:b/>
                <w:kern w:val="0"/>
                <w:sz w:val="21"/>
                <w:szCs w:val="24"/>
                <w:lang w:val="en-US" w:eastAsia="uk-UA" w:bidi="ar-SA"/>
              </w:rPr>
            </w:pPr>
            <w:r>
              <w:t>合计</w:t>
            </w:r>
          </w:p>
        </w:tc>
        <w:tc>
          <w:tcPr>
            <w:tcW w:w="2551" w:type="dxa"/>
            <w:vAlign w:val="center"/>
          </w:tcPr>
          <w:p>
            <w:pPr>
              <w:pStyle w:val="19"/>
              <w:rPr>
                <w:rFonts w:ascii="方正书宋_GBK" w:hAnsi="方正书宋_GBK" w:eastAsia="方正书宋_GBK" w:cs="方正书宋_GBK"/>
                <w:b/>
                <w:kern w:val="0"/>
                <w:sz w:val="21"/>
                <w:szCs w:val="24"/>
                <w:lang w:val="en-US" w:eastAsia="uk-UA" w:bidi="ar-SA"/>
              </w:rPr>
            </w:pPr>
            <w:r>
              <w:t>190.34</w:t>
            </w:r>
          </w:p>
        </w:tc>
        <w:tc>
          <w:tcPr>
            <w:tcW w:w="2551" w:type="dxa"/>
            <w:vAlign w:val="center"/>
          </w:tcPr>
          <w:p>
            <w:pPr>
              <w:pStyle w:val="19"/>
              <w:rPr>
                <w:rFonts w:ascii="方正书宋_GBK" w:hAnsi="方正书宋_GBK" w:eastAsia="方正书宋_GBK" w:cs="方正书宋_GBK"/>
                <w:b/>
                <w:kern w:val="0"/>
                <w:sz w:val="21"/>
                <w:szCs w:val="24"/>
                <w:lang w:val="en-US" w:eastAsia="uk-UA" w:bidi="ar-SA"/>
              </w:rPr>
            </w:pPr>
            <w:r>
              <w:t>171.34</w:t>
            </w:r>
          </w:p>
        </w:tc>
        <w:tc>
          <w:tcPr>
            <w:tcW w:w="2552" w:type="dxa"/>
            <w:vAlign w:val="center"/>
          </w:tcPr>
          <w:p>
            <w:pPr>
              <w:pStyle w:val="19"/>
              <w:rPr>
                <w:rFonts w:ascii="方正书宋_GBK" w:hAnsi="方正书宋_GBK" w:eastAsia="方正书宋_GBK" w:cs="方正书宋_GBK"/>
                <w:b/>
                <w:kern w:val="0"/>
                <w:sz w:val="21"/>
                <w:szCs w:val="24"/>
                <w:lang w:val="en-US" w:eastAsia="uk-UA" w:bidi="ar-SA"/>
              </w:rPr>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工资福利支出</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166.31</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166.31</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3</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30101</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基本工资</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69.80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69.80</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4</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30102</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津贴补贴</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17.29</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17.29</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5</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30103</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奖金</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17.08</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17.08</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6</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30107</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绩效工资</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20.94</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20.94</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7</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30108</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机关事业单位基本养老保险缴费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18.36</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18.36</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8</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30110</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职工基本医疗保险缴费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8.07</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8.07</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9</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30112</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其他社会保障缴费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0.53</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0.53</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10</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30113</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住房公积金</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14.23</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14.23</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11</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商品和服务支出</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19.00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12</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30201</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办公费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1.70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13</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30202</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印刷费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0.55</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14</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30205</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水费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0.16</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15</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30206</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电费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0.16</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16</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30207</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邮电费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0.48</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17</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30208</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取暖费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0.51</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18</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30211</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差旅费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0.94</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19</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30213</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维修</w:t>
            </w:r>
            <w:r>
              <w:rPr>
                <w:rFonts w:hint="eastAsia"/>
                <w:lang w:eastAsia="zh-CN"/>
              </w:rPr>
              <w:t>（</w:t>
            </w:r>
            <w:r>
              <w:t>护</w:t>
            </w:r>
            <w:r>
              <w:rPr>
                <w:rFonts w:hint="eastAsia"/>
                <w:lang w:eastAsia="zh-CN"/>
              </w:rPr>
              <w:t>）</w:t>
            </w:r>
            <w:r>
              <w:t>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0.17</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20</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30228</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工会经费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1.00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21</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30229</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福利费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2.50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22</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30239</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其他交通费用</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10.50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23</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30299</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其他商品和服务支出</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0.34</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24</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303</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对个人和家庭的补助</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5.03</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5.03</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25</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30302</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退休费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5.03</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5.03</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211</w:t>
            </w:r>
            <w:r>
              <w:rPr>
                <w:rFonts w:hint="eastAsia"/>
              </w:rPr>
              <w:t>中国共产党隆尧县委员会宣传部</w:t>
            </w:r>
          </w:p>
        </w:tc>
        <w:tc>
          <w:tcPr>
            <w:tcW w:w="255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7.00</w:t>
            </w:r>
          </w:p>
        </w:tc>
        <w:tc>
          <w:tcPr>
            <w:tcW w:w="2551" w:type="dxa"/>
            <w:vAlign w:val="center"/>
          </w:tcPr>
          <w:p>
            <w:pPr>
              <w:pStyle w:val="19"/>
            </w:pPr>
          </w:p>
        </w:tc>
        <w:tc>
          <w:tcPr>
            <w:tcW w:w="2551" w:type="dxa"/>
            <w:vAlign w:val="center"/>
          </w:tcPr>
          <w:p>
            <w:pPr>
              <w:pStyle w:val="19"/>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207</w:t>
            </w:r>
          </w:p>
        </w:tc>
        <w:tc>
          <w:tcPr>
            <w:tcW w:w="4535" w:type="dxa"/>
            <w:vAlign w:val="center"/>
          </w:tcPr>
          <w:p>
            <w:pPr>
              <w:pStyle w:val="16"/>
            </w:pPr>
            <w:r>
              <w:t>文化旅游体育与传媒支出</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20707</w:t>
            </w:r>
          </w:p>
        </w:tc>
        <w:tc>
          <w:tcPr>
            <w:tcW w:w="4535" w:type="dxa"/>
            <w:vAlign w:val="center"/>
          </w:tcPr>
          <w:p>
            <w:pPr>
              <w:pStyle w:val="16"/>
            </w:pPr>
            <w:r>
              <w:t>国家电影事业发展专项资金安排的支出</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2070701</w:t>
            </w:r>
          </w:p>
        </w:tc>
        <w:tc>
          <w:tcPr>
            <w:tcW w:w="4535" w:type="dxa"/>
            <w:vAlign w:val="center"/>
          </w:tcPr>
          <w:p>
            <w:pPr>
              <w:pStyle w:val="16"/>
            </w:pPr>
            <w:r>
              <w:t>资助国产影片放映</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211</w:t>
            </w:r>
            <w:r>
              <w:rPr>
                <w:rFonts w:hint="eastAsia"/>
              </w:rPr>
              <w:t>中国共产党隆尧县委员会宣传部</w:t>
            </w:r>
          </w:p>
        </w:tc>
        <w:tc>
          <w:tcPr>
            <w:tcW w:w="255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211</w:t>
            </w:r>
            <w:r>
              <w:rPr>
                <w:rFonts w:hint="eastAsia"/>
              </w:rPr>
              <w:t>中国共产党隆尧县委员会宣传部</w:t>
            </w:r>
          </w:p>
        </w:tc>
        <w:tc>
          <w:tcPr>
            <w:tcW w:w="238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4"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0" w:type="dxa"/>
            <w:vAlign w:val="center"/>
          </w:tcPr>
          <w:p>
            <w:pPr>
              <w:pStyle w:val="17"/>
            </w:pPr>
            <w:r>
              <w:t>1</w:t>
            </w:r>
          </w:p>
        </w:tc>
        <w:tc>
          <w:tcPr>
            <w:tcW w:w="3798" w:type="dxa"/>
            <w:vAlign w:val="center"/>
          </w:tcPr>
          <w:p>
            <w:pPr>
              <w:pStyle w:val="18"/>
            </w:pPr>
            <w:r>
              <w:rPr>
                <w:rFonts w:hint="eastAsia"/>
              </w:rPr>
              <w:t>合计</w:t>
            </w:r>
          </w:p>
        </w:tc>
        <w:tc>
          <w:tcPr>
            <w:tcW w:w="2381" w:type="dxa"/>
            <w:vAlign w:val="center"/>
          </w:tcPr>
          <w:p>
            <w:pPr>
              <w:pStyle w:val="19"/>
            </w:pPr>
            <w:r>
              <w:t>7.00</w:t>
            </w:r>
          </w:p>
        </w:tc>
        <w:tc>
          <w:tcPr>
            <w:tcW w:w="2381" w:type="dxa"/>
            <w:vAlign w:val="center"/>
          </w:tcPr>
          <w:p>
            <w:pPr>
              <w:pStyle w:val="19"/>
            </w:pPr>
            <w:r>
              <w:t>7.00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rPr>
                <w:rFonts w:hint="eastAsia"/>
              </w:rPr>
              <w:t>“三公”经费小计</w:t>
            </w:r>
          </w:p>
        </w:tc>
        <w:tc>
          <w:tcPr>
            <w:tcW w:w="2381" w:type="dxa"/>
            <w:vAlign w:val="center"/>
          </w:tcPr>
          <w:p>
            <w:pPr>
              <w:pStyle w:val="15"/>
            </w:pPr>
            <w:r>
              <w:t>7.00</w:t>
            </w:r>
          </w:p>
        </w:tc>
        <w:tc>
          <w:tcPr>
            <w:tcW w:w="2381" w:type="dxa"/>
            <w:vAlign w:val="center"/>
          </w:tcPr>
          <w:p>
            <w:pPr>
              <w:pStyle w:val="15"/>
            </w:pPr>
            <w:r>
              <w:t>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rPr>
                <w:rFonts w:hint="eastAsia"/>
              </w:rP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w:t>
            </w:r>
            <w:r>
              <w:rPr>
                <w:rFonts w:hint="eastAsia"/>
              </w:rPr>
              <w:t>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w:t>
            </w:r>
            <w:r>
              <w:rPr>
                <w:rFonts w:hint="eastAsia"/>
              </w:rPr>
              <w:t>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rPr>
                <w:rFonts w:hint="eastAsia"/>
              </w:rP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w:t>
            </w:r>
            <w:r>
              <w:rPr>
                <w:rFonts w:hint="eastAsia"/>
              </w:rPr>
              <w:t>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w:t>
            </w:r>
            <w:r>
              <w:rPr>
                <w:rFonts w:hint="eastAsia"/>
              </w:rPr>
              <w:t>公务用车运行维护费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rPr>
                <w:rFonts w:hint="eastAsia"/>
              </w:rPr>
              <w:t>三、公务接待费</w:t>
            </w:r>
          </w:p>
        </w:tc>
        <w:tc>
          <w:tcPr>
            <w:tcW w:w="2381" w:type="dxa"/>
            <w:vAlign w:val="center"/>
          </w:tcPr>
          <w:p>
            <w:pPr>
              <w:pStyle w:val="15"/>
            </w:pPr>
            <w:r>
              <w:t>7.00</w:t>
            </w:r>
          </w:p>
        </w:tc>
        <w:tc>
          <w:tcPr>
            <w:tcW w:w="2381" w:type="dxa"/>
            <w:vAlign w:val="center"/>
          </w:tcPr>
          <w:p>
            <w:pPr>
              <w:pStyle w:val="15"/>
            </w:pPr>
            <w:r>
              <w:t>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rPr>
                <w:rFonts w:hint="eastAsia"/>
              </w:rPr>
              <w:t>四、会议费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rPr>
                <w:rFonts w:hint="eastAsia"/>
              </w:rPr>
              <w:t>五、培训费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中国共产党隆尧县委员会宣传部</w:t>
      </w:r>
      <w:r>
        <w:rPr>
          <w:rFonts w:hint="eastAsia" w:ascii="方正书宋_GBK" w:hAnsi="方正书宋_GBK" w:eastAsia="方正书宋_GBK" w:cs="方正书宋_GBK"/>
          <w:color w:val="FFFFFF"/>
          <w:sz w:val="21"/>
          <w:lang w:eastAsia="zh-CN"/>
        </w:rPr>
        <w:t>2024</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中国共产党隆尧县委员会宣传部</w:t>
      </w:r>
      <w:r>
        <w:rPr>
          <w:rFonts w:hint="eastAsia" w:ascii="方正小标宋_GBK" w:hAnsi="方正小标宋_GBK" w:eastAsia="方正小标宋_GBK" w:cs="方正小标宋_GBK"/>
          <w:color w:val="000000"/>
          <w:sz w:val="44"/>
          <w:lang w:eastAsia="zh-CN"/>
        </w:rPr>
        <w:t>2024</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按照《预算法</w:t>
      </w:r>
      <w:r>
        <w:rPr>
          <w:rFonts w:hint="eastAsia" w:eastAsia="方正仿宋_GBK"/>
          <w:color w:val="000000"/>
          <w:sz w:val="28"/>
          <w:lang w:eastAsia="zh-CN"/>
        </w:rPr>
        <w:t>》《</w:t>
      </w:r>
      <w:r>
        <w:rPr>
          <w:rFonts w:hint="eastAsia" w:eastAsia="方正仿宋_GBK"/>
          <w:color w:val="000000"/>
          <w:sz w:val="28"/>
        </w:rPr>
        <w:t>地方预决算公开操作规程》和《关于进一步推进预算公开工作的实施意见》规定，现将中国共产党隆尧县委员会宣传部</w:t>
      </w:r>
      <w:r>
        <w:rPr>
          <w:rFonts w:hint="eastAsia" w:eastAsia="方正仿宋_GBK"/>
          <w:color w:val="000000"/>
          <w:sz w:val="28"/>
          <w:lang w:eastAsia="zh-CN"/>
        </w:rPr>
        <w:t>2024</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21"/>
      </w:pPr>
      <w:r>
        <w:rPr>
          <w:rFonts w:hint="eastAsia"/>
        </w:rPr>
        <w:t>中共隆尧县委宣传部</w:t>
      </w:r>
    </w:p>
    <w:p>
      <w:pPr>
        <w:pStyle w:val="21"/>
      </w:pPr>
      <w:r>
        <w:rPr>
          <w:rFonts w:hint="eastAsia"/>
        </w:rPr>
        <w:t>职能配置、内设机构和人员编制规定</w:t>
      </w:r>
    </w:p>
    <w:p>
      <w:pPr>
        <w:pStyle w:val="21"/>
      </w:pPr>
      <w:r>
        <w:rPr>
          <w:rFonts w:hint="eastAsia"/>
        </w:rPr>
        <w:t>第一条</w:t>
      </w:r>
      <w:r>
        <w:t xml:space="preserve">  </w:t>
      </w:r>
      <w:r>
        <w:rPr>
          <w:rFonts w:hint="eastAsia"/>
        </w:rPr>
        <w:t>根据《中共邢台市委办公室邢台市人民政府办公室关于印发</w:t>
      </w:r>
      <w:r>
        <w:rPr>
          <w:rFonts w:hint="eastAsia"/>
          <w:lang w:eastAsia="zh-CN"/>
        </w:rPr>
        <w:t>〈</w:t>
      </w:r>
      <w:r>
        <w:rPr>
          <w:rFonts w:hint="eastAsia"/>
        </w:rPr>
        <w:t>隆尧县机构改革方案</w:t>
      </w:r>
      <w:r>
        <w:rPr>
          <w:rFonts w:hint="eastAsia"/>
          <w:lang w:eastAsia="zh-CN"/>
        </w:rPr>
        <w:t>〉</w:t>
      </w:r>
      <w:r>
        <w:rPr>
          <w:rFonts w:hint="eastAsia"/>
        </w:rPr>
        <w:t>的通知》（邢办字〔</w:t>
      </w:r>
      <w:r>
        <w:t>2018</w:t>
      </w:r>
      <w:r>
        <w:rPr>
          <w:rFonts w:hint="eastAsia"/>
        </w:rPr>
        <w:t>〕</w:t>
      </w:r>
      <w:r>
        <w:t>79</w:t>
      </w:r>
      <w:r>
        <w:rPr>
          <w:rFonts w:hint="eastAsia"/>
        </w:rPr>
        <w:t>号），制定本规定。</w:t>
      </w:r>
    </w:p>
    <w:p>
      <w:pPr>
        <w:pStyle w:val="21"/>
      </w:pPr>
      <w:r>
        <w:rPr>
          <w:rFonts w:hint="eastAsia"/>
        </w:rPr>
        <w:t>第二条</w:t>
      </w:r>
      <w:r>
        <w:t xml:space="preserve">  </w:t>
      </w:r>
      <w:r>
        <w:rPr>
          <w:rFonts w:hint="eastAsia"/>
        </w:rPr>
        <w:t>中共隆尧县委宣传部（简称县委宣传部）为县委主管意识形态方面工作的职能部门，机构规格正科级，加挂县精神文明建设委员会办公室、县政府新闻办公室、县新闻出版局（县版权局）牌子。</w:t>
      </w:r>
    </w:p>
    <w:p>
      <w:pPr>
        <w:pStyle w:val="21"/>
      </w:pPr>
      <w:r>
        <w:rPr>
          <w:rFonts w:hint="eastAsia"/>
        </w:rPr>
        <w:t>第三条</w:t>
      </w:r>
      <w:r>
        <w:t xml:space="preserve">  </w:t>
      </w:r>
      <w:r>
        <w:rPr>
          <w:rFonts w:hint="eastAsia"/>
        </w:rPr>
        <w:t>县委宣传部的主要职责是：</w:t>
      </w:r>
    </w:p>
    <w:p>
      <w:pPr>
        <w:pStyle w:val="21"/>
      </w:pPr>
      <w:r>
        <w:rPr>
          <w:rFonts w:hint="eastAsia"/>
        </w:rPr>
        <w:t>（一）拟订全县宣传思想文化工作重大方针政策和事业发展总体规划，统筹协调推进宣传思想文化领域法治建设，按照县委统一部署，协调宣传思想文化系统各部门之间的工作。</w:t>
      </w:r>
    </w:p>
    <w:p>
      <w:pPr>
        <w:pStyle w:val="21"/>
      </w:pPr>
      <w:r>
        <w:rPr>
          <w:rFonts w:hint="eastAsia"/>
        </w:rPr>
        <w:t>（二）统筹协调全县党的意识形态工作，贯彻落实县委关于意识形态工作决策部署，组织协调意识形态工作责任制落实和日常监督检查，结合巡视巡察工作开展专项检查。</w:t>
      </w:r>
    </w:p>
    <w:p>
      <w:pPr>
        <w:pStyle w:val="21"/>
      </w:pPr>
      <w:r>
        <w:rPr>
          <w:rFonts w:hint="eastAsia"/>
        </w:rPr>
        <w:t>（三）统筹指导协调全县理论研究、理论学习、理论宣传工作，组织推动理论武装工作，推动落实马克思主义理论研究和建设工程任务，负责县委理论学习中心组理论学习的有关工作。</w:t>
      </w:r>
    </w:p>
    <w:p>
      <w:pPr>
        <w:pStyle w:val="21"/>
      </w:pPr>
      <w:r>
        <w:rPr>
          <w:rFonts w:hint="eastAsia"/>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pPr>
        <w:pStyle w:val="21"/>
      </w:pPr>
      <w:r>
        <w:rPr>
          <w:rFonts w:hint="eastAsia"/>
        </w:rPr>
        <w:t>（五）统筹分析研判和引导全县社会舆论，指导协调全县各新闻单位的工作，组织全县突发公共事件应急新闻工作。</w:t>
      </w:r>
    </w:p>
    <w:p>
      <w:pPr>
        <w:pStyle w:val="21"/>
      </w:pPr>
      <w:r>
        <w:rPr>
          <w:rFonts w:hint="eastAsia"/>
        </w:rPr>
        <w:t>（六）拟订全县新闻出版业的管理政策并督促落实，管理新闻出版行政事务，统筹规划和指导协调新闻出版事业、产业发展，监督管理出版物内容和质量，监督管理印刷业，管理著作权，管理出版物进出口等。组织指导协调全县</w:t>
      </w:r>
      <w:r>
        <w:t>“</w:t>
      </w:r>
      <w:r>
        <w:rPr>
          <w:rFonts w:hint="eastAsia"/>
        </w:rPr>
        <w:t>扫黄打非</w:t>
      </w:r>
      <w:r>
        <w:t>”</w:t>
      </w:r>
      <w:r>
        <w:rPr>
          <w:rFonts w:hint="eastAsia"/>
        </w:rPr>
        <w:t>工作。负责全县新闻记者证的监管工作。</w:t>
      </w:r>
    </w:p>
    <w:p>
      <w:pPr>
        <w:pStyle w:val="21"/>
      </w:pPr>
      <w:r>
        <w:rPr>
          <w:rFonts w:hint="eastAsia"/>
        </w:rPr>
        <w:t>（七）从宏观上统筹指导协调全县互联网宣传和信息内容管理工作。统筹数字新媒体的建设和管理。</w:t>
      </w:r>
    </w:p>
    <w:p>
      <w:pPr>
        <w:pStyle w:val="21"/>
      </w:pPr>
      <w:r>
        <w:rPr>
          <w:rFonts w:hint="eastAsia"/>
        </w:rPr>
        <w:t>（八）从宏观上统筹指导协调推动全县精神文化产品的创作和生产，协调组织中华优秀传统文化传承发展有关工作，指导协调推动群众文化建设。</w:t>
      </w:r>
    </w:p>
    <w:p>
      <w:pPr>
        <w:pStyle w:val="21"/>
      </w:pPr>
      <w:r>
        <w:rPr>
          <w:rFonts w:hint="eastAsia"/>
        </w:rPr>
        <w:t>（九）负责管理全县电影行政事务，指导监管电影制片、发行、放映工作，组织对电影内容进行审查，指导协调全县性重大电影活动。</w:t>
      </w:r>
    </w:p>
    <w:p>
      <w:pPr>
        <w:pStyle w:val="21"/>
      </w:pPr>
      <w:r>
        <w:rPr>
          <w:rFonts w:hint="eastAsia"/>
        </w:rPr>
        <w:t>（十）对全县新闻出版、广播影视、文化艺术业改革发展研究提出政策性建议，统筹指导协调文化体制改革和文化事业、文化产业及旅游业发展，负责全县文化企业国有资产监督管理。</w:t>
      </w:r>
    </w:p>
    <w:p>
      <w:pPr>
        <w:pStyle w:val="21"/>
      </w:pPr>
      <w:r>
        <w:rPr>
          <w:rFonts w:hint="eastAsia"/>
        </w:rPr>
        <w:t>（十一）统筹指导全县舆情信息工作，组织协调开展县内外舆情信息收集分析研判工作，跟踪了解、研究掌握宣传舆情动态。</w:t>
      </w:r>
    </w:p>
    <w:p>
      <w:pPr>
        <w:pStyle w:val="21"/>
      </w:pPr>
      <w:r>
        <w:rPr>
          <w:rFonts w:hint="eastAsia"/>
        </w:rPr>
        <w:t>（十二）统筹研究拟订有关全县精神文明建设的相关政策。规划部署全县精神文明建设工作，组织开展文明城市创建工作，指导全县群众性精神文明创建活动。</w:t>
      </w:r>
    </w:p>
    <w:p>
      <w:pPr>
        <w:pStyle w:val="21"/>
      </w:pPr>
      <w:r>
        <w:rPr>
          <w:rFonts w:hint="eastAsia"/>
        </w:rPr>
        <w:t>（十三）统筹协调全县对外宣传工作。指导协调有关部门研究拟订全县对外宣传事业发展规划，组织协调我县对外宣传文化交流工作，会同有关部门做好境外记者采访事务方面工作。</w:t>
      </w:r>
    </w:p>
    <w:p>
      <w:pPr>
        <w:pStyle w:val="21"/>
      </w:pPr>
      <w:r>
        <w:rPr>
          <w:rFonts w:hint="eastAsia"/>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pPr>
        <w:pStyle w:val="21"/>
      </w:pPr>
      <w:r>
        <w:rPr>
          <w:rFonts w:hint="eastAsia"/>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pPr>
        <w:pStyle w:val="21"/>
      </w:pPr>
      <w:r>
        <w:rPr>
          <w:rFonts w:hint="eastAsia"/>
        </w:rPr>
        <w:t>（十六）对县互联网信息办公室互联网宣传和信息内容管理方面的工作实施方针、政策的指导。归口领县文化广电和旅游局、县广播电视台、县融媒体中心。受县委委托，代管县文联。</w:t>
      </w:r>
    </w:p>
    <w:p>
      <w:pPr>
        <w:pStyle w:val="21"/>
      </w:pPr>
      <w:r>
        <w:rPr>
          <w:rFonts w:hint="eastAsia"/>
        </w:rPr>
        <w:t>（十七）完成县委交办的其他任务。</w:t>
      </w:r>
    </w:p>
    <w:p>
      <w:pPr>
        <w:pStyle w:val="21"/>
      </w:pPr>
      <w:r>
        <w:rPr>
          <w:rFonts w:hint="eastAsia"/>
        </w:rPr>
        <w:t>第四条</w:t>
      </w:r>
      <w:r>
        <w:t xml:space="preserve">  </w:t>
      </w:r>
      <w:r>
        <w:rPr>
          <w:rFonts w:hint="eastAsia"/>
        </w:rPr>
        <w:t>县委宣传部设下列内设机构：</w:t>
      </w:r>
    </w:p>
    <w:p>
      <w:pPr>
        <w:pStyle w:val="21"/>
      </w:pPr>
      <w:r>
        <w:rPr>
          <w:rFonts w:hint="eastAsia"/>
        </w:rPr>
        <w:t>（一）办公室。负责内外联系、综合协调、机关文秘和行政工作；负责公文审核把关、督查督办、保密机要、信息报送、信访接待工作；负责安全保密、会议、文印、档案和机关车辆管理工作；承担机关和所属单位财务管理工作，负责预决算、国有资产管理、基本建设项目、政府采购、内部审计和各类专项资金监督管理工作；负责有关重要宣传舆论阵地和重要岗位领导干部管理；统筹组织开展全县宣传思想文化系统干部教育培训和人才工作</w:t>
      </w:r>
      <w:r>
        <w:rPr>
          <w:rFonts w:hint="eastAsia"/>
          <w:lang w:eastAsia="zh-CN"/>
        </w:rPr>
        <w:t>；</w:t>
      </w:r>
      <w:r>
        <w:rPr>
          <w:rFonts w:hint="eastAsia"/>
        </w:rPr>
        <w:t>会同县委组织部有关科室负责县直宣传文化单位干部管理的业务工作；对县直宣传思想文化部门主要负责人和各乡镇党委宣传委员的任免提出意见；负责机关和所属单位干部人事管理；负责离退休干部工作；负责机关党建工作。</w:t>
      </w:r>
    </w:p>
    <w:p>
      <w:pPr>
        <w:pStyle w:val="21"/>
      </w:pPr>
      <w:r>
        <w:rPr>
          <w:rFonts w:hint="eastAsia"/>
        </w:rPr>
        <w:t>（二）理论综合科。负责县委中心组学习的服务工作，负责全县党委（党组）中心组学习的指导、协调、督导；负责对全县理论研究、理论学习、理论宣传和理论队伍建设的指导协调；负责统筹协调全县意识形态工作责任制落实和日常监督检查，结合巡察工作开展专项检查；调查了解全县宣传思想文化工作情况，协调组织研究宣传思想文化工作方针政策并提出建议；承担起草有关重要文件、报告和文稿，编辑有关宣传思想文化工作刊物等工作；统筹指导全县宣传思想文化领域法治建设；负责起草新闻出版、电影和著作权管理的规范性文件，承担重大行政处罚听证、复议、应诉，以及有关法律事务等工作；负责组织协调和指导全县宣传思想文化系统舆情信息工作，开展社会舆情动态，社会思想反映方面的信息收集报送工作，对社会舆情和思想理论领域总体态势进行分析研判等。</w:t>
      </w:r>
    </w:p>
    <w:p>
      <w:pPr>
        <w:pStyle w:val="21"/>
      </w:pPr>
      <w:r>
        <w:rPr>
          <w:rFonts w:hint="eastAsia"/>
        </w:rPr>
        <w:t>（三）新闻管理科。负责统筹指导全县新闻舆论宏观管理业务和新闻队伍建设，负责组织协调重大新闻宣传报道活动，负责从宏观上指导协调互联网宣传和信息内容管理工作，负责新闻媒体宣传舆情和内容的分析监管；承担统筹协调全县新媒体建设管理相关工作，研究提出新媒体发展规划和管理政策建议，了解掌握新媒体发展动态，研究新媒体运行和管理规律</w:t>
      </w:r>
      <w:r>
        <w:rPr>
          <w:rFonts w:hint="eastAsia"/>
          <w:lang w:eastAsia="zh-CN"/>
        </w:rPr>
        <w:t>；</w:t>
      </w:r>
      <w:r>
        <w:rPr>
          <w:rFonts w:hint="eastAsia"/>
        </w:rPr>
        <w:t>组织全县突发公共事件应急新闻工作；组织研究拟订全县对外宣传工作规划；统筹研究我县国际传播能力建设工作，协调推动对外宣传有关重大活动；组织协调对外宣传品的策划、制作与发行工作；负责推动以宣传隆尧为主题的文化交流工作，参与组织协调重大对外宣传活动；会同有关部门做好记者采访事务方面的工作；负责组织开展新闻发布工作，承担县委新闻发布有关组织协调工作，负责县政府新闻发布的组织实施工作；指导协调县政府各部门和各乡镇的新闻发布工作，推动新闻发言人制度落实；拟订我县重大问题对外宣传口径；指导全县新闻出版业行政审批制度改革，负责全县新闻记者证的监督管理工作；查处重大新闻违法活动；负责全县出版宏观管理和出版队伍建设，统筹协调重点出版工程以及古籍整理的规划实施，监督管理出版物内容和质量；组织指导涉及党和国家重要文件文献、教科书的出版，指导监督期刊图书音像电子出版活动，负责书号版号管理工作，负责出版物的进口管理等；统筹协调全县数字媒体内容和活动的监督管理工作，对网络文学、网络书刊和手机文学、手机书刊进行监督管理等；负责贯彻落实全县</w:t>
      </w:r>
      <w:r>
        <w:t>“</w:t>
      </w:r>
      <w:r>
        <w:rPr>
          <w:rFonts w:hint="eastAsia"/>
        </w:rPr>
        <w:t>扫黄打非</w:t>
      </w:r>
      <w:r>
        <w:t>”</w:t>
      </w:r>
      <w:r>
        <w:rPr>
          <w:rFonts w:hint="eastAsia"/>
        </w:rPr>
        <w:t>工作方针政策，拟订全县</w:t>
      </w:r>
      <w:r>
        <w:t>“</w:t>
      </w:r>
      <w:r>
        <w:rPr>
          <w:rFonts w:hint="eastAsia"/>
        </w:rPr>
        <w:t>扫黄打非</w:t>
      </w:r>
      <w:r>
        <w:t>”</w:t>
      </w:r>
      <w:r>
        <w:rPr>
          <w:rFonts w:hint="eastAsia"/>
        </w:rPr>
        <w:t>行动方案并组织实施；组织、指导、协调全县</w:t>
      </w:r>
      <w:r>
        <w:t>“</w:t>
      </w:r>
      <w:r>
        <w:rPr>
          <w:rFonts w:hint="eastAsia"/>
        </w:rPr>
        <w:t>扫黄打非</w:t>
      </w:r>
      <w:r>
        <w:t>”</w:t>
      </w:r>
      <w:r>
        <w:rPr>
          <w:rFonts w:hint="eastAsia"/>
        </w:rPr>
        <w:t>工作，组织查处非法和违禁出版传播活动的大案要案；负责违禁出版物鉴定；承担县</w:t>
      </w:r>
      <w:r>
        <w:t>“</w:t>
      </w:r>
      <w:r>
        <w:rPr>
          <w:rFonts w:hint="eastAsia"/>
        </w:rPr>
        <w:t>扫黄打非</w:t>
      </w:r>
      <w:r>
        <w:t>”</w:t>
      </w:r>
      <w:r>
        <w:rPr>
          <w:rFonts w:hint="eastAsia"/>
        </w:rPr>
        <w:t>领导小组办公室的日常工作。</w:t>
      </w:r>
    </w:p>
    <w:p>
      <w:pPr>
        <w:pStyle w:val="21"/>
      </w:pPr>
      <w:r>
        <w:rPr>
          <w:rFonts w:hint="eastAsia"/>
        </w:rPr>
        <w:t>（四）宣传教育和文化艺术科。负责规划部署全县思想政治工作，负责组织对全县先进典型的选树学习推广；负责重大主题宣传活动的组织开展；负责全县爱国主义教育基地的建设、管理、使用；负责部署推动社会主义核心价值观建设工作，组织开展公民道德建设工作；负责会同有关部门开展形势政策和社会宣传等方面工作，利用重要纪念日开展重大纪念活动；负责规划全县基层宣传文化工作，指导协调基层文化阵地、队伍建设；负责规划部署基层思想教育工作，指导社区、农村和新经济组织、新社会组织等基层单位开展思想教育工作；会同有关部门开展基层党员教育，编写党员教育教材，做好党员培训工作，抓好基层党校阵地建设；负责组织和指导全县国防教育工作，组织制定全县国防教育规划，开展国防教育活动，检查督促全县国防教育工作的落实；负责对全县文化艺术工作的宏观指导协调和文艺队伍建设，组织协调文艺产品创作生产的引导和管理，指导开展全县文艺精品创作奖评选；指导推动协调群众文化建设；统筹协调实施中华优秀传统文化传承发展工程有关工作</w:t>
      </w:r>
      <w:r>
        <w:rPr>
          <w:rFonts w:hint="eastAsia"/>
          <w:lang w:eastAsia="zh-CN"/>
        </w:rPr>
        <w:t>；</w:t>
      </w:r>
      <w:r>
        <w:t xml:space="preserve"> </w:t>
      </w:r>
      <w:r>
        <w:rPr>
          <w:rFonts w:hint="eastAsia"/>
        </w:rPr>
        <w:t>承担全县电影制片、发行、放映单位和业务的监督管理工作，组织对电影内容进行审查；了解掌握和分析研究全县电影创作情况，指导协调全县性重大电影活动；鼓励、引导、扶持全县电影精品生产；负责与有关电影机构的组织进行联系；拟订全县著作权保护管理使用的政策措施并组织实施，承担全县享有著作权作品的保护管理和使用工作，监管作品著作权登记和法定许可使用的工作；承担涉外及涉港澳台著作权有关事务；组织查处著作权领域违法违规行为等；承担全县印刷、复制、出版物发行单位和业务的监督管理工作；负责印刷产品印装质量监督管理，组织查处印刷，复制、发行环节违法违规行为，承担有关行业诚信体系建设；组织指导全县重要文献、重点出版物和教科书的印刷发行工作，指导内部资料性出版物的印刷管理工作。</w:t>
      </w:r>
    </w:p>
    <w:p>
      <w:pPr>
        <w:pStyle w:val="21"/>
      </w:pPr>
      <w:r>
        <w:rPr>
          <w:rFonts w:hint="eastAsia"/>
        </w:rPr>
        <w:t>（五）文明创建科。负责联系县级精神文明建设委员会各成员单位，协调督促落实县精神文明建设委员会及办公室领导交办事项；负责全县精神文明建设情况的调研、宣传和信息工作，提出全县精神文明建设的工作意见和建议；负责全县道德模范、身边好人评选推介工作；负责全县</w:t>
      </w:r>
      <w:r>
        <w:t>“</w:t>
      </w:r>
      <w:r>
        <w:rPr>
          <w:rFonts w:hint="eastAsia"/>
        </w:rPr>
        <w:t>讲文明、树新风</w:t>
      </w:r>
      <w:r>
        <w:t>”</w:t>
      </w:r>
      <w:r>
        <w:rPr>
          <w:rFonts w:hint="eastAsia"/>
        </w:rPr>
        <w:t>公益宣传工作，指导全县精神文明宣传阵地建设，负责部署开展新时代文明实践活动；负责全县志愿服务活动的总体规划和协调指导工作；负责协调全县未成年人思想道德建设工作，组织文明校园创建和评选管理；负责谋划文明城市、文明单位、文明村镇、文明家庭等全县群众性精神文明创建活动；协调社会各界在群众性精神文明创建活动中的工作关系；检查全县群众性精神文明创建活动的落实情况，总结推广群众性精神文明创建活动的先进经验。</w:t>
      </w:r>
    </w:p>
    <w:p>
      <w:pPr>
        <w:pStyle w:val="21"/>
      </w:pPr>
      <w:r>
        <w:rPr>
          <w:rFonts w:hint="eastAsia"/>
        </w:rPr>
        <w:t>第五条</w:t>
      </w:r>
      <w:r>
        <w:t xml:space="preserve">  </w:t>
      </w:r>
      <w:r>
        <w:rPr>
          <w:rFonts w:hint="eastAsia"/>
        </w:rPr>
        <w:t>县委宣传部机关行政编制</w:t>
      </w:r>
      <w:r>
        <w:t>10</w:t>
      </w:r>
      <w:r>
        <w:rPr>
          <w:rFonts w:hint="eastAsia"/>
        </w:rPr>
        <w:t>名，股级职数</w:t>
      </w:r>
      <w:r>
        <w:t>5</w:t>
      </w:r>
      <w:r>
        <w:rPr>
          <w:rFonts w:hint="eastAsia"/>
        </w:rPr>
        <w:t>名。</w:t>
      </w:r>
    </w:p>
    <w:p>
      <w:pPr>
        <w:pStyle w:val="21"/>
      </w:pPr>
      <w:r>
        <w:rPr>
          <w:rFonts w:hint="eastAsia"/>
        </w:rPr>
        <w:t>科级领导职数设置另行明确。</w:t>
      </w:r>
    </w:p>
    <w:p>
      <w:pPr>
        <w:pStyle w:val="21"/>
      </w:pPr>
      <w:r>
        <w:rPr>
          <w:rFonts w:hint="eastAsia"/>
        </w:rPr>
        <w:t>第六条</w:t>
      </w:r>
      <w:r>
        <w:t xml:space="preserve">  </w:t>
      </w:r>
      <w:r>
        <w:rPr>
          <w:rFonts w:hint="eastAsia"/>
        </w:rPr>
        <w:t>县委宣传部所属事业单位的设置、职责和编制事项另行规定。</w:t>
      </w:r>
    </w:p>
    <w:p>
      <w:pPr>
        <w:pStyle w:val="21"/>
      </w:pPr>
      <w:r>
        <w:rPr>
          <w:rFonts w:hint="eastAsia"/>
        </w:rPr>
        <w:t>第七条</w:t>
      </w:r>
      <w:r>
        <w:t xml:space="preserve">  </w:t>
      </w:r>
      <w:r>
        <w:rPr>
          <w:rFonts w:hint="eastAsia"/>
        </w:rPr>
        <w:t>本规</w:t>
      </w:r>
      <w:r>
        <w:rPr>
          <w:rFonts w:hint="eastAsia"/>
          <w:lang w:eastAsia="zh-CN"/>
        </w:rPr>
        <w:t>定的</w:t>
      </w:r>
      <w:r>
        <w:rPr>
          <w:rFonts w:hint="eastAsia"/>
        </w:rPr>
        <w:t>具体解释工作由中共隆尧县委机构编制委员会办公室承担，其调整由中共隆尧县委机构编制委员会办公室</w:t>
      </w:r>
      <w:r>
        <w:rPr>
          <w:rFonts w:hint="eastAsia"/>
          <w:lang w:eastAsia="zh-CN"/>
        </w:rPr>
        <w:t>按规定</w:t>
      </w:r>
      <w:r>
        <w:rPr>
          <w:rFonts w:hint="eastAsia"/>
        </w:rPr>
        <w:t>程序办理。</w:t>
      </w:r>
      <w:r>
        <w:t xml:space="preserve">   </w:t>
      </w:r>
    </w:p>
    <w:p>
      <w:pPr>
        <w:pStyle w:val="21"/>
      </w:pPr>
      <w:r>
        <w:rPr>
          <w:rFonts w:hint="eastAsia"/>
        </w:rPr>
        <w:t>第八条</w:t>
      </w:r>
      <w:r>
        <w:t xml:space="preserve">  </w:t>
      </w:r>
      <w:r>
        <w:rPr>
          <w:rFonts w:hint="eastAsia"/>
        </w:rPr>
        <w:t>本规定自</w:t>
      </w:r>
      <w:r>
        <w:t>2019</w:t>
      </w:r>
      <w:r>
        <w:rPr>
          <w:rFonts w:hint="eastAsia"/>
        </w:rPr>
        <w:t>年</w:t>
      </w:r>
      <w:r>
        <w:t>3</w:t>
      </w:r>
      <w:r>
        <w:rPr>
          <w:rFonts w:hint="eastAsia"/>
        </w:rPr>
        <w:t>月</w:t>
      </w:r>
      <w:r>
        <w:t>16</w:t>
      </w:r>
      <w:r>
        <w:rPr>
          <w:rFonts w:hint="eastAsia"/>
        </w:rPr>
        <w:t>日起施行。</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jc w:val="center"/>
            </w:pPr>
            <w:r>
              <w:rPr>
                <w:rFonts w:hint="eastAsia"/>
              </w:rPr>
              <w:t>中国共产党隆尧县委员会宣传部本级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pStyle w:val="22"/>
      </w:pPr>
      <w:bookmarkStart w:id="11" w:name="_Toc_3_3_0000000012"/>
      <w:r>
        <w:t>按照预算管理有关规定，目前我县部门预算的编制实行综合预算管理，即全部收入和支出都反映在预算中。中国共产党隆尧县委员会宣传部机关及所属事业单位的收支包含在部门预算中。</w:t>
      </w:r>
    </w:p>
    <w:p>
      <w:pPr>
        <w:pStyle w:val="22"/>
      </w:pPr>
      <w:r>
        <w:t>1、收入说明</w:t>
      </w:r>
    </w:p>
    <w:p>
      <w:pPr>
        <w:pStyle w:val="22"/>
      </w:pPr>
      <w:r>
        <w:t>反映本部门当年全部收入。2024年预算收入614.75371万元，其中：一般公共预算收入607.75371万元，基金预算收入7万元。</w:t>
      </w:r>
    </w:p>
    <w:p>
      <w:pPr>
        <w:pStyle w:val="22"/>
      </w:pPr>
      <w:r>
        <w:t>2、支出说明</w:t>
      </w:r>
    </w:p>
    <w:p>
      <w:pPr>
        <w:pStyle w:val="22"/>
      </w:pPr>
      <w:r>
        <w:t>收支预算总表支出栏、基本支出表、项目支出表按经济分类和支出功能分类科目编制，反映中共隆尧县委宣传部年度单位预算中支出预算的总体情况。2024年部门支出预算为614.75371万元，其中基本支出190.33571万元，包括人员经费171.33571万元和日常公用经费19万元；项目支出424.418万元，主要为媒体合作宣传经费120万元、农村公益电影支出66.24万元、公益广告牌增设项目58万元、农家书屋支出27.6万元、对外新闻宣传和媒体应急16万元、创建省级文明县城支出25.6万元等。</w:t>
      </w:r>
    </w:p>
    <w:p>
      <w:pPr>
        <w:pStyle w:val="22"/>
      </w:pPr>
      <w:r>
        <w:t>3、比上年增减情况</w:t>
      </w:r>
    </w:p>
    <w:p>
      <w:pPr>
        <w:pStyle w:val="22"/>
      </w:pPr>
      <w:r>
        <w:t>2024年部门预算收支安排614.75371万元，较2023年减少98.40629万元，其中：基本支出减少2.02429万元，主要是人员变动后工资相关数据变化；项目支</w:t>
      </w:r>
      <w:r>
        <w:rPr>
          <w:rFonts w:hint="eastAsia"/>
          <w:lang w:eastAsia="zh-CN"/>
        </w:rPr>
        <w:t>出</w:t>
      </w:r>
      <w:r>
        <w:t>减少88.382万元，主要是2024年预算整体压减，各项目预算数据按规定进行一定比例下调。</w:t>
      </w:r>
    </w:p>
    <w:p>
      <w:pPr>
        <w:spacing w:before="10" w:after="10" w:line="360" w:lineRule="auto"/>
        <w:ind w:firstLine="640"/>
        <w:outlineLvl w:val="2"/>
        <w:rPr>
          <w:rFonts w:hint="eastAsia" w:ascii="黑体" w:hAnsi="黑体" w:eastAsia="黑体" w:cs="黑体"/>
          <w:color w:val="000000"/>
          <w:sz w:val="32"/>
        </w:rPr>
      </w:pPr>
      <w:r>
        <w:rPr>
          <w:rFonts w:hint="eastAsia" w:ascii="黑体" w:hAnsi="黑体" w:eastAsia="黑体" w:cs="黑体"/>
          <w:color w:val="000000"/>
          <w:sz w:val="32"/>
        </w:rPr>
        <w:t>三、机关运行经费安排情况</w:t>
      </w:r>
    </w:p>
    <w:p>
      <w:pPr>
        <w:pStyle w:val="23"/>
      </w:pPr>
      <w:r>
        <w:t>2024年，我部门机关运行经费共计安排8.5万元，主要用于保证机关正常运转的办公费、印刷费、邮电费、福利费、工会经费等支出。</w:t>
      </w:r>
    </w:p>
    <w:p>
      <w:pPr>
        <w:spacing w:before="10" w:after="10" w:line="360" w:lineRule="auto"/>
        <w:ind w:firstLine="640"/>
        <w:outlineLvl w:val="2"/>
        <w:rPr>
          <w:rFonts w:hint="eastAsia" w:ascii="黑体" w:hAnsi="黑体" w:eastAsia="黑体" w:cs="黑体"/>
          <w:color w:val="000000"/>
          <w:sz w:val="32"/>
        </w:rPr>
      </w:pPr>
      <w:r>
        <w:rPr>
          <w:rFonts w:hint="eastAsia" w:ascii="黑体" w:hAnsi="黑体" w:eastAsia="黑体" w:cs="黑体"/>
          <w:color w:val="000000"/>
          <w:sz w:val="32"/>
        </w:rPr>
        <w:t>四、财政拨款“三公”经费预算情况及增减变化原因</w:t>
      </w:r>
    </w:p>
    <w:p>
      <w:pPr>
        <w:pStyle w:val="24"/>
      </w:pPr>
      <w:r>
        <w:t>2024年，我部门财政拨款“三公”经费预算安排7万元，其中：因公出国（境）费0万元；公务用车购置及运维费0万元（其中：公务用车购置费0万元，公务用车运行维护费0万元）；公务接待费7万元。与2023年相比没有变化。</w:t>
      </w:r>
    </w:p>
    <w:bookmarkEnd w:id="11"/>
    <w:p>
      <w:pPr>
        <w:spacing w:before="10" w:after="10" w:line="360" w:lineRule="auto"/>
        <w:ind w:firstLine="640"/>
        <w:outlineLvl w:val="2"/>
      </w:pPr>
      <w:bookmarkStart w:id="12" w:name="_Toc_3_3_0000000014"/>
      <w:r>
        <w:rPr>
          <w:rFonts w:hint="eastAsia" w:ascii="黑体" w:hAnsi="黑体" w:eastAsia="黑体" w:cs="黑体"/>
          <w:color w:val="000000"/>
          <w:sz w:val="32"/>
        </w:rPr>
        <w:t>五、预算绩效信息</w:t>
      </w:r>
      <w:bookmarkEnd w:id="12"/>
    </w:p>
    <w:p>
      <w:pPr>
        <w:spacing w:line="500" w:lineRule="exact"/>
        <w:ind w:firstLine="560"/>
      </w:pPr>
      <w:r>
        <w:rPr>
          <w:rFonts w:hint="eastAsia" w:eastAsia="方正仿宋_GBK"/>
          <w:color w:val="000000"/>
          <w:sz w:val="28"/>
        </w:rPr>
        <w:t>（一）总体绩效目标</w:t>
      </w:r>
    </w:p>
    <w:p>
      <w:pPr>
        <w:pStyle w:val="25"/>
      </w:pPr>
      <w:r>
        <w:rPr>
          <w:rFonts w:hint="eastAsia"/>
        </w:rPr>
        <w:t>一、持续推进习近平新时代中国特色社会主义思想落地生根</w:t>
      </w:r>
    </w:p>
    <w:p>
      <w:pPr>
        <w:pStyle w:val="25"/>
      </w:pPr>
      <w:r>
        <w:t>1.</w:t>
      </w:r>
      <w:r>
        <w:rPr>
          <w:rFonts w:hint="eastAsia"/>
        </w:rPr>
        <w:t>抓好各级党委（党组）中心组学习。</w:t>
      </w:r>
    </w:p>
    <w:p>
      <w:pPr>
        <w:pStyle w:val="25"/>
      </w:pPr>
      <w:r>
        <w:t>2.</w:t>
      </w:r>
      <w:r>
        <w:rPr>
          <w:rFonts w:hint="eastAsia"/>
        </w:rPr>
        <w:t>扎实推进理论</w:t>
      </w:r>
      <w:r>
        <w:t>“</w:t>
      </w:r>
      <w:r>
        <w:rPr>
          <w:rFonts w:hint="eastAsia"/>
        </w:rPr>
        <w:t>六进</w:t>
      </w:r>
      <w:r>
        <w:t>”</w:t>
      </w:r>
      <w:r>
        <w:rPr>
          <w:rFonts w:hint="eastAsia"/>
        </w:rPr>
        <w:t>工作。</w:t>
      </w:r>
    </w:p>
    <w:p>
      <w:pPr>
        <w:pStyle w:val="25"/>
      </w:pPr>
      <w:r>
        <w:t>3.</w:t>
      </w:r>
      <w:r>
        <w:rPr>
          <w:rFonts w:hint="eastAsia"/>
        </w:rPr>
        <w:t>党的二十大胜利召开后，全力宣传党的二十大精神。</w:t>
      </w:r>
    </w:p>
    <w:p>
      <w:pPr>
        <w:pStyle w:val="25"/>
      </w:pPr>
      <w:r>
        <w:rPr>
          <w:rFonts w:hint="eastAsia"/>
        </w:rPr>
        <w:t>二、严格落实意识形态工作责任制</w:t>
      </w:r>
    </w:p>
    <w:p>
      <w:pPr>
        <w:pStyle w:val="25"/>
      </w:pPr>
      <w:r>
        <w:t>4.</w:t>
      </w:r>
      <w:r>
        <w:rPr>
          <w:rFonts w:hint="eastAsia"/>
        </w:rPr>
        <w:t>压紧压实意识形态工作责任制。</w:t>
      </w:r>
    </w:p>
    <w:p>
      <w:pPr>
        <w:pStyle w:val="25"/>
      </w:pPr>
      <w:r>
        <w:t>5.</w:t>
      </w:r>
      <w:r>
        <w:rPr>
          <w:rFonts w:hint="eastAsia"/>
        </w:rPr>
        <w:t>加强各类阵地监督管理。</w:t>
      </w:r>
    </w:p>
    <w:p>
      <w:pPr>
        <w:pStyle w:val="25"/>
      </w:pPr>
      <w:r>
        <w:rPr>
          <w:rFonts w:hint="eastAsia"/>
        </w:rPr>
        <w:t>三、营造高质量赶超发展主流舆论强势</w:t>
      </w:r>
    </w:p>
    <w:p>
      <w:pPr>
        <w:pStyle w:val="25"/>
      </w:pPr>
      <w:r>
        <w:t>6.</w:t>
      </w:r>
      <w:r>
        <w:rPr>
          <w:rFonts w:hint="eastAsia"/>
        </w:rPr>
        <w:t>壮大主流舆论阵地。</w:t>
      </w:r>
    </w:p>
    <w:p>
      <w:pPr>
        <w:pStyle w:val="25"/>
      </w:pPr>
      <w:r>
        <w:t>7.</w:t>
      </w:r>
      <w:r>
        <w:rPr>
          <w:rFonts w:hint="eastAsia"/>
        </w:rPr>
        <w:t>推进融媒体改革进程。</w:t>
      </w:r>
    </w:p>
    <w:p>
      <w:pPr>
        <w:pStyle w:val="25"/>
      </w:pPr>
      <w:r>
        <w:t>8.</w:t>
      </w:r>
      <w:r>
        <w:rPr>
          <w:rFonts w:hint="eastAsia"/>
          <w:lang w:eastAsia="zh-CN"/>
        </w:rPr>
        <w:t>加大</w:t>
      </w:r>
      <w:r>
        <w:rPr>
          <w:rFonts w:hint="eastAsia"/>
        </w:rPr>
        <w:t>对外对上宣传力度。</w:t>
      </w:r>
    </w:p>
    <w:p>
      <w:pPr>
        <w:pStyle w:val="25"/>
      </w:pPr>
      <w:r>
        <w:rPr>
          <w:rFonts w:hint="eastAsia"/>
        </w:rPr>
        <w:t>四、加强新时代公民道德建设</w:t>
      </w:r>
    </w:p>
    <w:p>
      <w:pPr>
        <w:pStyle w:val="25"/>
      </w:pPr>
      <w:r>
        <w:t>9.</w:t>
      </w:r>
      <w:r>
        <w:rPr>
          <w:rFonts w:hint="eastAsia"/>
        </w:rPr>
        <w:t>持续实施先进典型引领工程。</w:t>
      </w:r>
    </w:p>
    <w:p>
      <w:pPr>
        <w:pStyle w:val="25"/>
      </w:pPr>
      <w:r>
        <w:t>10.</w:t>
      </w:r>
      <w:r>
        <w:rPr>
          <w:rFonts w:hint="eastAsia"/>
        </w:rPr>
        <w:t>推动公民道德建设。</w:t>
      </w:r>
    </w:p>
    <w:p>
      <w:pPr>
        <w:pStyle w:val="25"/>
      </w:pPr>
      <w:r>
        <w:rPr>
          <w:rFonts w:hint="eastAsia"/>
        </w:rPr>
        <w:t>五、深入推进精神文明创建</w:t>
      </w:r>
    </w:p>
    <w:p>
      <w:pPr>
        <w:pStyle w:val="25"/>
      </w:pPr>
      <w:r>
        <w:t>11.</w:t>
      </w:r>
      <w:r>
        <w:rPr>
          <w:rFonts w:hint="eastAsia"/>
        </w:rPr>
        <w:t>全力争创省级文明县城。</w:t>
      </w:r>
    </w:p>
    <w:p>
      <w:pPr>
        <w:pStyle w:val="25"/>
      </w:pPr>
      <w:r>
        <w:t>12.</w:t>
      </w:r>
      <w:r>
        <w:rPr>
          <w:rFonts w:hint="eastAsia"/>
        </w:rPr>
        <w:t>实施乡风文明建设计划。</w:t>
      </w:r>
    </w:p>
    <w:p>
      <w:pPr>
        <w:pStyle w:val="25"/>
      </w:pPr>
      <w:r>
        <w:t>13.</w:t>
      </w:r>
      <w:r>
        <w:rPr>
          <w:rFonts w:hint="eastAsia"/>
        </w:rPr>
        <w:t>推进新时代文明实践中心建设。</w:t>
      </w:r>
    </w:p>
    <w:p>
      <w:pPr>
        <w:pStyle w:val="25"/>
      </w:pPr>
      <w:r>
        <w:t>14.</w:t>
      </w:r>
      <w:r>
        <w:rPr>
          <w:rFonts w:hint="eastAsia"/>
        </w:rPr>
        <w:t>全力打造志愿服务品牌。</w:t>
      </w:r>
    </w:p>
    <w:p>
      <w:pPr>
        <w:pStyle w:val="25"/>
      </w:pPr>
      <w:r>
        <w:rPr>
          <w:rFonts w:hint="eastAsia"/>
        </w:rPr>
        <w:t>六、推动文化产业发展</w:t>
      </w:r>
    </w:p>
    <w:p>
      <w:pPr>
        <w:pStyle w:val="25"/>
      </w:pPr>
      <w:r>
        <w:t>15.</w:t>
      </w:r>
      <w:r>
        <w:rPr>
          <w:rFonts w:hint="eastAsia"/>
        </w:rPr>
        <w:t>推进文化产业发展。</w:t>
      </w:r>
    </w:p>
    <w:p>
      <w:pPr>
        <w:pStyle w:val="25"/>
      </w:pPr>
      <w:r>
        <w:t>16.</w:t>
      </w:r>
      <w:r>
        <w:rPr>
          <w:rFonts w:hint="eastAsia"/>
        </w:rPr>
        <w:t>提升文化产业平台建设。</w:t>
      </w:r>
    </w:p>
    <w:p>
      <w:pPr>
        <w:pStyle w:val="25"/>
      </w:pPr>
      <w:r>
        <w:rPr>
          <w:rFonts w:hint="eastAsia"/>
        </w:rPr>
        <w:t>七、聚焦文化民生，持续实施邢襄文化弘扬工程</w:t>
      </w:r>
    </w:p>
    <w:p>
      <w:pPr>
        <w:pStyle w:val="25"/>
      </w:pPr>
      <w:r>
        <w:t>17.</w:t>
      </w:r>
      <w:r>
        <w:rPr>
          <w:rFonts w:hint="eastAsia"/>
        </w:rPr>
        <w:t>创作编纂隆尧历史文化文艺作品，弘扬传承隆尧历史文化。</w:t>
      </w:r>
    </w:p>
    <w:p>
      <w:pPr>
        <w:pStyle w:val="25"/>
      </w:pPr>
      <w:r>
        <w:t>18.</w:t>
      </w:r>
      <w:r>
        <w:rPr>
          <w:rFonts w:hint="eastAsia"/>
        </w:rPr>
        <w:t>组织开展文艺精品创作和评选活动。</w:t>
      </w:r>
    </w:p>
    <w:p>
      <w:pPr>
        <w:pStyle w:val="25"/>
      </w:pPr>
      <w:r>
        <w:t>19.</w:t>
      </w:r>
      <w:r>
        <w:rPr>
          <w:rFonts w:hint="eastAsia"/>
        </w:rPr>
        <w:t>进一步深化</w:t>
      </w:r>
      <w:r>
        <w:t>“</w:t>
      </w:r>
      <w:r>
        <w:rPr>
          <w:rFonts w:hint="eastAsia"/>
        </w:rPr>
        <w:t>三城同建</w:t>
      </w:r>
      <w:r>
        <w:t>”</w:t>
      </w:r>
      <w:r>
        <w:rPr>
          <w:rFonts w:hint="eastAsia"/>
        </w:rPr>
        <w:t>活动实施。</w:t>
      </w:r>
    </w:p>
    <w:p>
      <w:pPr>
        <w:pStyle w:val="25"/>
      </w:pPr>
      <w:r>
        <w:rPr>
          <w:rFonts w:hint="eastAsia"/>
        </w:rPr>
        <w:t>八、强化担当作为，锻炼一支过硬的宣传思想干部队伍</w:t>
      </w:r>
    </w:p>
    <w:p>
      <w:pPr>
        <w:pStyle w:val="25"/>
      </w:pPr>
      <w:r>
        <w:t>20.</w:t>
      </w:r>
      <w:r>
        <w:rPr>
          <w:rFonts w:hint="eastAsia"/>
        </w:rPr>
        <w:t>强化业务能力培训，加强党建和作风建设。</w:t>
      </w:r>
    </w:p>
    <w:p>
      <w:pPr>
        <w:pStyle w:val="25"/>
      </w:pPr>
      <w:r>
        <w:t>21.</w:t>
      </w:r>
      <w:r>
        <w:rPr>
          <w:rFonts w:hint="eastAsia"/>
        </w:rPr>
        <w:t>实行</w:t>
      </w:r>
      <w:r>
        <w:t>“</w:t>
      </w:r>
      <w:r>
        <w:rPr>
          <w:rFonts w:hint="eastAsia"/>
        </w:rPr>
        <w:t>三比照</w:t>
      </w:r>
      <w:r>
        <w:t>”</w:t>
      </w:r>
      <w:r>
        <w:rPr>
          <w:rFonts w:hint="eastAsia"/>
        </w:rPr>
        <w:t>对账要账落实机制</w:t>
      </w:r>
    </w:p>
    <w:p>
      <w:pPr>
        <w:spacing w:line="500" w:lineRule="exact"/>
        <w:ind w:firstLine="560"/>
      </w:pPr>
      <w:r>
        <w:rPr>
          <w:rFonts w:hint="eastAsia" w:eastAsia="方正仿宋_GBK"/>
          <w:color w:val="000000"/>
          <w:sz w:val="28"/>
        </w:rPr>
        <w:t>（二）分项绩效目标</w:t>
      </w:r>
    </w:p>
    <w:p>
      <w:pPr>
        <w:pStyle w:val="26"/>
      </w:pPr>
      <w:r>
        <w:t>一、持续推进习近平新时代中国特色社会主义思想落地生根</w:t>
      </w:r>
    </w:p>
    <w:p>
      <w:pPr>
        <w:pStyle w:val="26"/>
      </w:pPr>
      <w:r>
        <w:t>1.抓好各级党委（党组）中心组学习。各级党委（党组）理论学习中心组每月至少组织1次专题学习，全年学习次数不少于12次。持续坚持“政治学习一刻钟”学习制度，将“政治学习一刻钟”作为各级党委（党组）理论学习中心组学习的首要环节，各级党委（党组）会议前均增设“政治学习一刻钟”内容，办好《理论与学习》内刊，不定期对各乡镇、县直各单位党组织理论学习中心组学习情况进行抽查督导。</w:t>
      </w:r>
    </w:p>
    <w:p>
      <w:pPr>
        <w:pStyle w:val="26"/>
      </w:pPr>
      <w:r>
        <w:t>2.扎实推进理论“六进”工作。精准开展习近平新时代中国特色社会主义思想进企业、进农村、进机关、进校园、进社区、进网络工作，持续打造“小马扎”宣讲品牌，常态抓好“学习强国”学习平台推广使用工作和舆情信息工作。</w:t>
      </w:r>
    </w:p>
    <w:p>
      <w:pPr>
        <w:pStyle w:val="26"/>
      </w:pPr>
      <w:r>
        <w:t>二、大力营造宣传贯彻党的二十大的浓厚氛围</w:t>
      </w:r>
    </w:p>
    <w:p>
      <w:pPr>
        <w:pStyle w:val="26"/>
      </w:pPr>
      <w:r>
        <w:t>3．做精重大主题宣传宣讲。开展“奋进新征程建功新时代”重大主题采访活动，推出“学习贯彻党的二十大精神”系列报道，在中央和省级主要新闻媒体刊发一批重头报道。丰富形式做好党的二十大精神专题宣讲，组织开展“强国复兴有我”群众性主题宣传教育活动，做好党的二十大系列公益广告宣传。</w:t>
      </w:r>
    </w:p>
    <w:p>
      <w:pPr>
        <w:pStyle w:val="26"/>
      </w:pPr>
      <w:r>
        <w:t>4．打造一批主题文艺精品。以党的二十大为主题，开展原创文艺作品创作活动，推出一批接地气、有情感、有温度的文艺作品。开展党的二十大红色电影进校园、进乡村、进社区活动，组织开展优秀文艺作品展览展示、展演展播活动。</w:t>
      </w:r>
    </w:p>
    <w:p>
      <w:pPr>
        <w:pStyle w:val="26"/>
      </w:pPr>
      <w:r>
        <w:t>5.巩固拓展党史学习教育成果。把党史纳入党委（党组）理论学习中心组学习重要内容。总结党史学习教育成功经验，建立常态长效机制，推进“我为群众办实事”暨“访万家帮万企解万难”活动常态化。深化“四史”宣传教育，做好《中国共产党宣传工作简史》《中国共产党人精神谱系丛书（第一批）》等学习使用。</w:t>
      </w:r>
    </w:p>
    <w:p>
      <w:pPr>
        <w:pStyle w:val="26"/>
      </w:pPr>
      <w:r>
        <w:t>三、严格落实意识形态工作责任制</w:t>
      </w:r>
    </w:p>
    <w:p>
      <w:pPr>
        <w:pStyle w:val="26"/>
      </w:pPr>
      <w:r>
        <w:t>6.压紧压实意识形态工作责任制。认真落实《隆尧县党委（党组）意识形态工作责任制实施细则》，健全完善任务分解、分析研判、常态监督、应急管控、考核评价、纪律约束等制度机制。对各乡镇党委和县直单位党委（党组）意识形态工作责任制落实情况进行年度考核。</w:t>
      </w:r>
    </w:p>
    <w:p>
      <w:pPr>
        <w:pStyle w:val="26"/>
      </w:pPr>
      <w:r>
        <w:t>7.加强各类阵地监督管理。加强对研讨会、座谈会、讲座论坛、公益广告、文化节庆活动、旅游景点、文化市场等各类阵地的规范管理。做好新闻出版、广播影视、版权、出版物市场和印刷行业监管等工作。深入开展“扫黄打非”专项行动，做好使用正版软件工作。</w:t>
      </w:r>
    </w:p>
    <w:p>
      <w:pPr>
        <w:pStyle w:val="26"/>
      </w:pPr>
      <w:r>
        <w:t>8．打造清朗网络空间。积极推进网络文明建设，开展“e起同行 文明有我”网络文明主题系列活动。实施舆情金盾工程，全面加强网络综合治理，深入开展“清朗·邢襄净网”网络生态治理专项行动，做好重要敏感时间节点的舆情处置和应急工作。做好网络安全保障。</w:t>
      </w:r>
    </w:p>
    <w:p>
      <w:pPr>
        <w:pStyle w:val="26"/>
      </w:pPr>
      <w:r>
        <w:t>四、营造高质量赶超发展主流舆论强势</w:t>
      </w:r>
    </w:p>
    <w:p>
      <w:pPr>
        <w:pStyle w:val="26"/>
      </w:pPr>
      <w:r>
        <w:t>9.壮大主流舆论阵地。聚焦“一城两区三基地”战略定位和“一五五四六”发展思路，围绕“三重四创五优化”“双进双产”、大气污染防治、作风建设、民生改善、人大监督、政治协商等主题，开设专栏专题，开展系列宣传报道，汇聚全县干部群众奋力推进高质量发展强大正能量。</w:t>
      </w:r>
    </w:p>
    <w:p>
      <w:pPr>
        <w:pStyle w:val="26"/>
      </w:pPr>
      <w:r>
        <w:t>10.推进融媒体改革进程。加快县融媒体中心改革进程，推进融媒体高端合作赋能升级，完善隆尧县广柏文化传媒有限公司运行机制，增强融媒体中心造血功能， 构建多平台、多角度、立体化宣传新格局。</w:t>
      </w:r>
    </w:p>
    <w:p>
      <w:pPr>
        <w:pStyle w:val="26"/>
      </w:pPr>
      <w:r>
        <w:t>11.加大对外对上宣传力度。加强对上宣传专班队伍建设，进一步加强与中央和省市级主要媒体的沟通对接合作，积极邀请高端媒体来隆采访，主动推荐我县在发展中的亮点工作、经验成效和先进典型，进一步提升隆尧影响力和美誉度。</w:t>
      </w:r>
    </w:p>
    <w:p>
      <w:pPr>
        <w:pStyle w:val="26"/>
      </w:pPr>
      <w:r>
        <w:t>五、深化新时代公民道德建设</w:t>
      </w:r>
    </w:p>
    <w:p>
      <w:pPr>
        <w:pStyle w:val="26"/>
      </w:pPr>
      <w:r>
        <w:t>12.持续实施先进典型引领工程。完善典型发掘、选树、宣传机制，发挥示范引领作用，统筹做好“邢台好人”“河北好人”“中国好人”等各类典型评选推荐活动。</w:t>
      </w:r>
    </w:p>
    <w:p>
      <w:pPr>
        <w:pStyle w:val="26"/>
      </w:pPr>
      <w:r>
        <w:t>13.推动公民道德建设。深入贯彻落实《新时代公民道德建设实施纲要》，持续推进诚信隆尧建设，实施旅游文明素质教育计划，广泛开展“我们的节日”“倡导文明健康生活方式”等主题活动，推动道德实践养成。</w:t>
      </w:r>
    </w:p>
    <w:p>
      <w:pPr>
        <w:pStyle w:val="26"/>
      </w:pPr>
      <w:r>
        <w:t>14.全力争创省级文明县城。严格落实全面全域全民常态创城机制，开展好重点问题专项整治提升行动，落实好督办推进工作机制，加大文明单位（村镇、校园、家庭）创建力度，做好文明单位、文明村镇创建与创城深度融合，深入开展精神扶贫、文化扶贫，深化文明校园、文明单位“双结对”帮扶工作。</w:t>
      </w:r>
    </w:p>
    <w:p>
      <w:pPr>
        <w:pStyle w:val="26"/>
      </w:pPr>
      <w:r>
        <w:t>15.实施乡风文明建设计划。建立县乡村“三级联动”乡风文明工作机制，开展乡风乡韵宣传展示活动，推动“两会一约一榜”全面普及。</w:t>
      </w:r>
    </w:p>
    <w:p>
      <w:pPr>
        <w:pStyle w:val="26"/>
      </w:pPr>
      <w:r>
        <w:t>16.推进新时代文明实践中心建设。按照《隆尧县建设新时代文明实践中心试点工作实施方案》要求，进一步完善县级新时代文明实践中心及领导组织，统筹指导乡镇、村两级新时代文明实践所（站）建设达到全覆盖，统筹公共服务阵地资源开展活动。</w:t>
      </w:r>
    </w:p>
    <w:p>
      <w:pPr>
        <w:pStyle w:val="26"/>
      </w:pPr>
      <w:r>
        <w:t>17.探索推进“五+X”中心融合。以新时代文明实践中心为主轴，按照“能融则融，应融尽融”的原则，最大程度融合县融媒体中心、“百姓议事厅”指挥调度中心、书记县长接诉即办中心（网上信访受理中心）、数字政务服务中心以及电子商务服务中心、大数据中心等各类平台，实现各种服务资源的优化配置、整合利用。</w:t>
      </w:r>
    </w:p>
    <w:p>
      <w:pPr>
        <w:pStyle w:val="26"/>
      </w:pPr>
      <w:r>
        <w:t>18.全力打造志愿服务品牌。整合各类志愿服务力量，成立志愿服务联合会，建立健全登记备案和协调会商制度。组织开展一系列惠民生、内容实、规模大、影响广的专项志愿服务活动，推出一批志愿服务先进典型和品牌。</w:t>
      </w:r>
    </w:p>
    <w:p>
      <w:pPr>
        <w:pStyle w:val="26"/>
      </w:pPr>
      <w:r>
        <w:t>六、推动文化事业和文化产业高质量赶超发展</w:t>
      </w:r>
    </w:p>
    <w:p>
      <w:pPr>
        <w:pStyle w:val="26"/>
      </w:pPr>
      <w:r>
        <w:rPr>
          <w:rFonts w:hint="eastAsia"/>
          <w:lang w:val="en-US" w:eastAsia="zh-CN"/>
        </w:rPr>
        <w:t>19</w:t>
      </w:r>
      <w:r>
        <w:t>.完善公共文化服务体系。持续开展“我们的中国梦一一文化进万家”“欢乐邢襄大舞台”“非遗活起来、传下去、传出去”“戏曲文化进校园进乡村”等品牌活动。调动整合各专业文艺院团、业余戏曲爱好团体力量，常态化开展文化下基层公益活动。强化城市电影院线服务管理。深入开展文化科技卫生“三下乡”活动。</w:t>
      </w:r>
    </w:p>
    <w:p>
      <w:pPr>
        <w:pStyle w:val="26"/>
      </w:pPr>
      <w:r>
        <w:t>2</w:t>
      </w:r>
      <w:r>
        <w:rPr>
          <w:rFonts w:hint="eastAsia"/>
          <w:lang w:val="en-US" w:eastAsia="zh-CN"/>
        </w:rPr>
        <w:t>0</w:t>
      </w:r>
      <w:r>
        <w:t>.推动文化产业高质量赶超发展。推进文化产业项目库建设，培育规上文化企业2家以上。结合我县产业特色和历史文化优势，做优特色文化小镇——莲子镇镇食品工业小镇，培育山口文旅小镇、牛家桥苹果小镇等特色文化小镇，推进汦河生态涵养区建设，促进产业、文化、旅游协同发展，推动资源整合、项目组合和产业融合，将文化特色小镇打造成文化产业发展的新平台、新引擎。</w:t>
      </w:r>
    </w:p>
    <w:p>
      <w:pPr>
        <w:pStyle w:val="26"/>
      </w:pPr>
      <w:r>
        <w:t>七、加强宣传思想文化战线党的建设工作</w:t>
      </w:r>
    </w:p>
    <w:p>
      <w:pPr>
        <w:pStyle w:val="26"/>
      </w:pPr>
      <w:r>
        <w:t>2</w:t>
      </w:r>
      <w:r>
        <w:rPr>
          <w:rFonts w:hint="eastAsia"/>
          <w:lang w:val="en-US" w:eastAsia="zh-CN"/>
        </w:rPr>
        <w:t>1</w:t>
      </w:r>
      <w:r>
        <w:t>.落实全面从严治党主体责任。坚持以党的政治建设为统领，把旗帜鲜明讲政治贯穿宣传思想工作各方面，压实全系统各单位领导班子全面从严治党主体责任，严格落实班子成员“一岗双责”。深入开展对党忠诚教育，深化政治机关意识教育，推进党风廉政建设。加强系统内各单位档案、机要、保密等基础性工作。</w:t>
      </w:r>
    </w:p>
    <w:p>
      <w:pPr>
        <w:pStyle w:val="26"/>
      </w:pPr>
      <w:r>
        <w:t>2</w:t>
      </w:r>
      <w:r>
        <w:rPr>
          <w:rFonts w:hint="eastAsia"/>
          <w:lang w:val="en-US" w:eastAsia="zh-CN"/>
        </w:rPr>
        <w:t>2</w:t>
      </w:r>
      <w:r>
        <w:t>.培树大抓落实、大干实事作风。落实《关于进一步强化担当改进作风大抓落实的20条措施》，树牢“保三争二拼第一”意识，严纪律、优作风、强落实，用好“SW2H”工作法，吃改革饭、走开放路、打创新牌，用心用力用情干好工作。常态组织开展宣传系统“比学赶超”活动。</w:t>
      </w:r>
    </w:p>
    <w:p>
      <w:pPr>
        <w:pStyle w:val="26"/>
      </w:pPr>
      <w:r>
        <w:t>2</w:t>
      </w:r>
      <w:r>
        <w:rPr>
          <w:rFonts w:hint="eastAsia"/>
          <w:lang w:val="en-US" w:eastAsia="zh-CN"/>
        </w:rPr>
        <w:t>3</w:t>
      </w:r>
      <w:r>
        <w:t>.加强干部队伍建设。在全县宣传战线开展“干部素质能力提升年”活动，学深悟透习近平新时代中国特色社会主义思想和习近平总书记关于宣传思想工作的重要论述，组织开展意识形态工作专题培训班，持续开展增强“四力”教育实践。</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全县宣传思想文化战线将坚持以习近平新时代中国特色社会主义思想为指导，突出学习宣传贯彻习近平新时代中国特色社会主义思想首要政治任务，立大格局、树进取心、施非常策、兴落实风，树牢“保三争二拼第一”意识，吃改革饭、走开放路、打创新牌，全面提神、提标、提质、提速、提效，严纪律、优作风、强落实，自觉担当起举旗帜、聚民心、育新人、兴文化、展形象的使命任务，为隆尧现代化高质量赶超发展提供强大精神文化支撑。</w:t>
      </w:r>
    </w:p>
    <w:p>
      <w:pPr>
        <w:pStyle w:val="27"/>
        <w:rPr>
          <w:rFonts w:hint="eastAsia"/>
          <w:lang w:eastAsia="zh-CN"/>
        </w:rPr>
      </w:pPr>
      <w:r>
        <w:t>抓好各级党委（党组）中心组学习，扎实推进理论“六进”工作，做好巡视整改后续工作，压紧压实意识形态工作责任制，管好守住各类意识形态阵地。进一步加强新闻宣传工作，扎实推动“扫黄打非”深入开展，全力做好印刷发行管理工作。坚持“抓两头带中间”。推进新时代文明实践中心建设。实施时代新人培育工程。坚持文明县城创建常态化。以移风易俗和传承优秀传统文化为两翼加强乡风文明建设。积极打造志愿服务品牌。创作编纂隆尧历史文化文艺作品，弘扬传承隆尧优秀历史文化。编辑出版《尧乡诗词》期刊。进一步深化“全民阅读，书香隆尧”建设。组织开展文艺精品创作和评选。开展“深入生活、扎根人民”主题创作实践活动。强化业务培训。加强党的建设和作风建设</w:t>
      </w:r>
      <w:r>
        <w:rPr>
          <w:rFonts w:hint="eastAsia"/>
          <w:lang w:eastAsia="zh-CN"/>
        </w:rPr>
        <w:t>。</w:t>
      </w:r>
    </w:p>
    <w:p>
      <w:pPr>
        <w:pStyle w:val="27"/>
        <w:rPr>
          <w:rFonts w:hint="eastAsia"/>
          <w:lang w:val="en-US" w:eastAsia="zh-CN"/>
        </w:rPr>
        <w:sectPr>
          <w:pgSz w:w="16840" w:h="11900" w:orient="landscape"/>
          <w:pgMar w:top="1361" w:right="1020" w:bottom="1361" w:left="1020" w:header="720" w:footer="720" w:gutter="0"/>
          <w:cols w:space="720" w:num="1"/>
        </w:sectPr>
      </w:pPr>
    </w:p>
    <w:p>
      <w:pPr>
        <w:numPr>
          <w:ilvl w:val="0"/>
          <w:numId w:val="1"/>
        </w:numPr>
        <w:spacing w:before="10" w:after="10" w:line="360" w:lineRule="auto"/>
        <w:ind w:left="729" w:leftChars="0" w:firstLine="0" w:firstLineChars="0"/>
        <w:jc w:val="left"/>
        <w:outlineLvl w:val="2"/>
        <w:rPr>
          <w:rFonts w:hint="eastAsia" w:ascii="黑体" w:hAnsi="黑体" w:eastAsia="黑体" w:cs="黑体"/>
          <w:color w:val="000000"/>
          <w:sz w:val="32"/>
          <w:lang w:val="en-US" w:eastAsia="zh-CN"/>
        </w:rPr>
      </w:pPr>
      <w:r>
        <w:rPr>
          <w:rFonts w:ascii="黑体" w:hAnsi="黑体" w:eastAsia="黑体" w:cs="黑体"/>
          <w:color w:val="000000"/>
          <w:sz w:val="32"/>
        </w:rPr>
        <w:t>部门主管专项资金预算安排情况及绩效目标</w:t>
      </w:r>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kern w:val="0"/>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kern w:val="0"/>
          <w:sz w:val="28"/>
          <w:szCs w:val="24"/>
          <w:lang w:val="en-US" w:eastAsia="zh-CN" w:bidi="ar-SA"/>
        </w:rPr>
        <w:t>无</w:t>
      </w:r>
      <w:r>
        <w:rPr>
          <w:rFonts w:ascii="Times New Roman" w:hAnsi="Times New Roman" w:eastAsia="方正仿宋_GBK" w:cs="Times New Roman"/>
          <w:kern w:val="0"/>
          <w:sz w:val="28"/>
          <w:szCs w:val="24"/>
          <w:lang w:val="en-US" w:eastAsia="uk-UA" w:bidi="ar-SA"/>
        </w:rPr>
        <w:t>部门主管专项资金</w:t>
      </w:r>
      <w:r>
        <w:rPr>
          <w:rFonts w:hint="eastAsia" w:eastAsia="方正仿宋_GBK" w:cs="Times New Roman"/>
          <w:kern w:val="0"/>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p>
    <w:p>
      <w:pPr>
        <w:spacing w:before="0" w:after="0"/>
        <w:ind w:firstLine="560"/>
        <w:jc w:val="left"/>
        <w:outlineLvl w:val="9"/>
      </w:pPr>
      <w:r>
        <w:rPr>
          <w:rFonts w:ascii="方正仿宋_GBK" w:hAnsi="方正仿宋_GBK" w:eastAsia="方正仿宋_GBK" w:cs="方正仿宋_GBK"/>
          <w:color w:val="000000"/>
          <w:sz w:val="28"/>
        </w:rPr>
        <w:t>1、对外新闻宣传和媒体应急经费绩效目标表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13052524P00000610962Y</w:t>
            </w:r>
          </w:p>
        </w:tc>
        <w:tc>
          <w:tcPr>
            <w:tcW w:w="2114" w:type="dxa"/>
            <w:vAlign w:val="center"/>
          </w:tcPr>
          <w:p>
            <w:pPr>
              <w:pStyle w:val="14"/>
            </w:pPr>
            <w:r>
              <w:t>项目名称</w:t>
            </w:r>
          </w:p>
        </w:tc>
        <w:tc>
          <w:tcPr>
            <w:tcW w:w="6342" w:type="dxa"/>
            <w:gridSpan w:val="3"/>
            <w:vAlign w:val="center"/>
          </w:tcPr>
          <w:p>
            <w:pPr>
              <w:pStyle w:val="16"/>
            </w:pPr>
            <w:r>
              <w:t>对外新闻宣传和媒体应急经费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16.00</w:t>
            </w:r>
          </w:p>
        </w:tc>
        <w:tc>
          <w:tcPr>
            <w:tcW w:w="2114" w:type="dxa"/>
            <w:vAlign w:val="center"/>
          </w:tcPr>
          <w:p>
            <w:pPr>
              <w:pStyle w:val="14"/>
            </w:pPr>
            <w:r>
              <w:t>其中：财政    资金</w:t>
            </w:r>
          </w:p>
        </w:tc>
        <w:tc>
          <w:tcPr>
            <w:tcW w:w="2114" w:type="dxa"/>
            <w:vAlign w:val="center"/>
          </w:tcPr>
          <w:p>
            <w:pPr>
              <w:pStyle w:val="16"/>
            </w:pPr>
            <w:r>
              <w:t>16.00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用于2024年对外宣传、媒体应急处理和记者接待等工作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3.00</w:t>
            </w:r>
          </w:p>
        </w:tc>
        <w:tc>
          <w:tcPr>
            <w:tcW w:w="2114" w:type="dxa"/>
            <w:vAlign w:val="center"/>
          </w:tcPr>
          <w:p>
            <w:pPr>
              <w:pStyle w:val="17"/>
            </w:pPr>
            <w:r>
              <w:t>8.00</w:t>
            </w:r>
          </w:p>
        </w:tc>
        <w:tc>
          <w:tcPr>
            <w:tcW w:w="2114" w:type="dxa"/>
            <w:vAlign w:val="center"/>
          </w:tcPr>
          <w:p>
            <w:pPr>
              <w:pStyle w:val="17"/>
            </w:pPr>
            <w:r>
              <w:t>13.00</w:t>
            </w:r>
          </w:p>
        </w:tc>
        <w:tc>
          <w:tcPr>
            <w:tcW w:w="4228" w:type="dxa"/>
            <w:gridSpan w:val="2"/>
            <w:vAlign w:val="center"/>
          </w:tcPr>
          <w:p>
            <w:pPr>
              <w:pStyle w:val="17"/>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1.保证全县对外宣传工作、媒体应急处理和记者接待工作顺利开展。</w:t>
            </w:r>
          </w:p>
          <w:p>
            <w:pPr>
              <w:pStyle w:val="16"/>
            </w:pPr>
            <w:r>
              <w:t>2.确保隆尧县政务新媒体监管平台正常运转。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市级媒体稿件刊登数量</w:t>
            </w:r>
          </w:p>
        </w:tc>
        <w:tc>
          <w:tcPr>
            <w:tcW w:w="4228" w:type="dxa"/>
            <w:vAlign w:val="center"/>
          </w:tcPr>
          <w:p>
            <w:pPr>
              <w:pStyle w:val="16"/>
            </w:pPr>
            <w:r>
              <w:t>2024年邢台日报等市级媒体稿件刊登数量</w:t>
            </w:r>
          </w:p>
        </w:tc>
        <w:tc>
          <w:tcPr>
            <w:tcW w:w="2114" w:type="dxa"/>
            <w:vAlign w:val="center"/>
          </w:tcPr>
          <w:p>
            <w:pPr>
              <w:pStyle w:val="16"/>
            </w:pPr>
            <w:r>
              <w:t>≥550篇</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重要媒体稿件刊登率</w:t>
            </w:r>
          </w:p>
        </w:tc>
        <w:tc>
          <w:tcPr>
            <w:tcW w:w="4228" w:type="dxa"/>
            <w:vAlign w:val="center"/>
          </w:tcPr>
          <w:p>
            <w:pPr>
              <w:pStyle w:val="16"/>
            </w:pPr>
            <w:r>
              <w:t>中央和省级考核媒体稿件供稿后刊登率</w:t>
            </w:r>
          </w:p>
        </w:tc>
        <w:tc>
          <w:tcPr>
            <w:tcW w:w="2114" w:type="dxa"/>
            <w:vAlign w:val="center"/>
          </w:tcPr>
          <w:p>
            <w:pPr>
              <w:pStyle w:val="16"/>
            </w:pPr>
            <w:r>
              <w:t>≥80%</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政务新媒体监管平台维护时间</w:t>
            </w:r>
          </w:p>
        </w:tc>
        <w:tc>
          <w:tcPr>
            <w:tcW w:w="4228" w:type="dxa"/>
            <w:vAlign w:val="center"/>
          </w:tcPr>
          <w:p>
            <w:pPr>
              <w:pStyle w:val="16"/>
            </w:pPr>
            <w:r>
              <w:t>2024年隆尧县政务新媒体监管平台维护时间</w:t>
            </w:r>
          </w:p>
        </w:tc>
        <w:tc>
          <w:tcPr>
            <w:tcW w:w="2114" w:type="dxa"/>
            <w:vAlign w:val="center"/>
          </w:tcPr>
          <w:p>
            <w:pPr>
              <w:pStyle w:val="16"/>
            </w:pPr>
            <w:r>
              <w:t>≤6月</w:t>
            </w:r>
          </w:p>
        </w:tc>
        <w:tc>
          <w:tcPr>
            <w:tcW w:w="2114"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2024年外宣相关总支出</w:t>
            </w:r>
          </w:p>
        </w:tc>
        <w:tc>
          <w:tcPr>
            <w:tcW w:w="2114" w:type="dxa"/>
            <w:vAlign w:val="center"/>
          </w:tcPr>
          <w:p>
            <w:pPr>
              <w:pStyle w:val="16"/>
            </w:pPr>
            <w:r>
              <w:t>≤16万元</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县委在外宣考核位次提升</w:t>
            </w:r>
          </w:p>
        </w:tc>
        <w:tc>
          <w:tcPr>
            <w:tcW w:w="4228" w:type="dxa"/>
            <w:vAlign w:val="center"/>
          </w:tcPr>
          <w:p>
            <w:pPr>
              <w:pStyle w:val="16"/>
            </w:pPr>
            <w:r>
              <w:t>2024年邢台市外宣考核排名，隆尧县位次提升</w:t>
            </w:r>
          </w:p>
        </w:tc>
        <w:tc>
          <w:tcPr>
            <w:tcW w:w="2114" w:type="dxa"/>
            <w:vAlign w:val="center"/>
          </w:tcPr>
          <w:p>
            <w:pPr>
              <w:pStyle w:val="16"/>
            </w:pPr>
            <w:r>
              <w:t>≥1位次</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全县群众对我县新闻宣传满意度</w:t>
            </w:r>
          </w:p>
        </w:tc>
        <w:tc>
          <w:tcPr>
            <w:tcW w:w="2114" w:type="dxa"/>
            <w:vAlign w:val="center"/>
          </w:tcPr>
          <w:p>
            <w:pPr>
              <w:pStyle w:val="16"/>
            </w:pPr>
            <w:r>
              <w:t>≥85%</w:t>
            </w:r>
          </w:p>
        </w:tc>
        <w:tc>
          <w:tcPr>
            <w:tcW w:w="2114" w:type="dxa"/>
            <w:vAlign w:val="center"/>
          </w:tcPr>
          <w:p>
            <w:pPr>
              <w:pStyle w:val="16"/>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2、公益广告牌增设项目绩效目标表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13052524P00000610970K</w:t>
            </w:r>
          </w:p>
        </w:tc>
        <w:tc>
          <w:tcPr>
            <w:tcW w:w="2114" w:type="dxa"/>
            <w:vAlign w:val="center"/>
          </w:tcPr>
          <w:p>
            <w:pPr>
              <w:pStyle w:val="14"/>
            </w:pPr>
            <w:r>
              <w:t>项目名称</w:t>
            </w:r>
          </w:p>
        </w:tc>
        <w:tc>
          <w:tcPr>
            <w:tcW w:w="6342" w:type="dxa"/>
            <w:gridSpan w:val="3"/>
            <w:vAlign w:val="center"/>
          </w:tcPr>
          <w:p>
            <w:pPr>
              <w:pStyle w:val="16"/>
            </w:pPr>
            <w:r>
              <w:t>公益广告牌增设项目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58.00</w:t>
            </w:r>
          </w:p>
        </w:tc>
        <w:tc>
          <w:tcPr>
            <w:tcW w:w="2114" w:type="dxa"/>
            <w:vAlign w:val="center"/>
          </w:tcPr>
          <w:p>
            <w:pPr>
              <w:pStyle w:val="14"/>
            </w:pPr>
            <w:r>
              <w:t>其中：财政    资金</w:t>
            </w:r>
          </w:p>
        </w:tc>
        <w:tc>
          <w:tcPr>
            <w:tcW w:w="2114" w:type="dxa"/>
            <w:vAlign w:val="center"/>
          </w:tcPr>
          <w:p>
            <w:pPr>
              <w:pStyle w:val="16"/>
            </w:pPr>
            <w:r>
              <w:t>58.00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用于我县公益广告牌增设项目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58.00</w:t>
            </w:r>
          </w:p>
        </w:tc>
        <w:tc>
          <w:tcPr>
            <w:tcW w:w="2114" w:type="dxa"/>
            <w:vAlign w:val="center"/>
          </w:tcPr>
          <w:p>
            <w:pPr>
              <w:pStyle w:val="17"/>
            </w:pPr>
            <w:r>
              <w:t>58.00</w:t>
            </w:r>
          </w:p>
        </w:tc>
        <w:tc>
          <w:tcPr>
            <w:tcW w:w="2114" w:type="dxa"/>
            <w:vAlign w:val="center"/>
          </w:tcPr>
          <w:p>
            <w:pPr>
              <w:pStyle w:val="17"/>
            </w:pPr>
            <w:r>
              <w:t>58.00</w:t>
            </w:r>
          </w:p>
        </w:tc>
        <w:tc>
          <w:tcPr>
            <w:tcW w:w="4228" w:type="dxa"/>
            <w:gridSpan w:val="2"/>
            <w:vAlign w:val="center"/>
          </w:tcPr>
          <w:p>
            <w:pPr>
              <w:pStyle w:val="17"/>
            </w:pPr>
            <w:r>
              <w:t>58.00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1.在327、328省道沿线、县城主要干道、大型公共场所等地点实施公益广告增设项目，确保我县政治标语宣传达标。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安装维护和更换全县各种展板数量</w:t>
            </w:r>
          </w:p>
        </w:tc>
        <w:tc>
          <w:tcPr>
            <w:tcW w:w="4228" w:type="dxa"/>
            <w:vAlign w:val="center"/>
          </w:tcPr>
          <w:p>
            <w:pPr>
              <w:pStyle w:val="16"/>
            </w:pPr>
            <w:r>
              <w:t>安装、维护和更换全县各种公益广告展板数量</w:t>
            </w:r>
          </w:p>
          <w:p>
            <w:pPr>
              <w:pStyle w:val="16"/>
            </w:pPr>
          </w:p>
        </w:tc>
        <w:tc>
          <w:tcPr>
            <w:tcW w:w="2114" w:type="dxa"/>
            <w:vAlign w:val="center"/>
          </w:tcPr>
          <w:p>
            <w:pPr>
              <w:pStyle w:val="16"/>
            </w:pPr>
            <w:r>
              <w:t>≥3000块</w:t>
            </w:r>
          </w:p>
        </w:tc>
        <w:tc>
          <w:tcPr>
            <w:tcW w:w="2114" w:type="dxa"/>
            <w:vAlign w:val="center"/>
          </w:tcPr>
          <w:p>
            <w:pPr>
              <w:pStyle w:val="16"/>
            </w:pPr>
            <w:r>
              <w:t>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公益广告符合上级标准</w:t>
            </w:r>
          </w:p>
        </w:tc>
        <w:tc>
          <w:tcPr>
            <w:tcW w:w="4228" w:type="dxa"/>
            <w:vAlign w:val="center"/>
          </w:tcPr>
          <w:p>
            <w:pPr>
              <w:pStyle w:val="16"/>
            </w:pPr>
            <w:r>
              <w:t>公益广告内容和展板质量符合上级标准要求</w:t>
            </w:r>
          </w:p>
        </w:tc>
        <w:tc>
          <w:tcPr>
            <w:tcW w:w="2114" w:type="dxa"/>
            <w:vAlign w:val="center"/>
          </w:tcPr>
          <w:p>
            <w:pPr>
              <w:pStyle w:val="16"/>
            </w:pPr>
            <w:r>
              <w:t>≥98%</w:t>
            </w:r>
          </w:p>
        </w:tc>
        <w:tc>
          <w:tcPr>
            <w:tcW w:w="2114" w:type="dxa"/>
            <w:vAlign w:val="center"/>
          </w:tcPr>
          <w:p>
            <w:pPr>
              <w:pStyle w:val="16"/>
            </w:pPr>
            <w:r>
              <w:t>全省宣传标语规范使用管理会议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项目实施时效</w:t>
            </w:r>
          </w:p>
        </w:tc>
        <w:tc>
          <w:tcPr>
            <w:tcW w:w="4228" w:type="dxa"/>
            <w:vAlign w:val="center"/>
          </w:tcPr>
          <w:p>
            <w:pPr>
              <w:pStyle w:val="16"/>
            </w:pPr>
            <w:r>
              <w:t>合同签订后该项目完工验收时间</w:t>
            </w:r>
          </w:p>
        </w:tc>
        <w:tc>
          <w:tcPr>
            <w:tcW w:w="2114" w:type="dxa"/>
            <w:vAlign w:val="center"/>
          </w:tcPr>
          <w:p>
            <w:pPr>
              <w:pStyle w:val="16"/>
            </w:pPr>
            <w:r>
              <w:t>≤30天</w:t>
            </w:r>
          </w:p>
        </w:tc>
        <w:tc>
          <w:tcPr>
            <w:tcW w:w="2114" w:type="dxa"/>
            <w:vAlign w:val="center"/>
          </w:tcPr>
          <w:p>
            <w:pPr>
              <w:pStyle w:val="16"/>
            </w:pPr>
            <w:r>
              <w:t>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完成公益广告增设项目总支出</w:t>
            </w:r>
          </w:p>
        </w:tc>
        <w:tc>
          <w:tcPr>
            <w:tcW w:w="2114" w:type="dxa"/>
            <w:vAlign w:val="center"/>
          </w:tcPr>
          <w:p>
            <w:pPr>
              <w:pStyle w:val="16"/>
            </w:pPr>
            <w:r>
              <w:t>≤58万元</w:t>
            </w:r>
          </w:p>
        </w:tc>
        <w:tc>
          <w:tcPr>
            <w:tcW w:w="2114" w:type="dxa"/>
            <w:vAlign w:val="center"/>
          </w:tcPr>
          <w:p>
            <w:pPr>
              <w:pStyle w:val="16"/>
            </w:pPr>
            <w:r>
              <w:t>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增加党和国家方针政策宣传途径</w:t>
            </w:r>
          </w:p>
        </w:tc>
        <w:tc>
          <w:tcPr>
            <w:tcW w:w="4228" w:type="dxa"/>
            <w:vAlign w:val="center"/>
          </w:tcPr>
          <w:p>
            <w:pPr>
              <w:pStyle w:val="16"/>
            </w:pPr>
            <w:r>
              <w:t>增加党和国家方针政策宣传渠道</w:t>
            </w:r>
          </w:p>
        </w:tc>
        <w:tc>
          <w:tcPr>
            <w:tcW w:w="2114" w:type="dxa"/>
            <w:vAlign w:val="center"/>
          </w:tcPr>
          <w:p>
            <w:pPr>
              <w:pStyle w:val="16"/>
            </w:pPr>
            <w:r>
              <w:t>≥3条</w:t>
            </w:r>
          </w:p>
        </w:tc>
        <w:tc>
          <w:tcPr>
            <w:tcW w:w="2114" w:type="dxa"/>
            <w:vAlign w:val="center"/>
          </w:tcPr>
          <w:p>
            <w:pPr>
              <w:pStyle w:val="16"/>
            </w:pPr>
            <w:r>
              <w:t>公益广告、道旗等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我县群众对公益广告增设满意度</w:t>
            </w:r>
          </w:p>
        </w:tc>
        <w:tc>
          <w:tcPr>
            <w:tcW w:w="2114" w:type="dxa"/>
            <w:vAlign w:val="center"/>
          </w:tcPr>
          <w:p>
            <w:pPr>
              <w:pStyle w:val="16"/>
            </w:pPr>
            <w:r>
              <w:t>≥85%</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3、冀财教[2023]134号/中央/2024年中央支持地方公共文化服务体系建设补助资金/农村公益电影放映补助绩效目标表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13052524P00000210657J</w:t>
            </w:r>
          </w:p>
        </w:tc>
        <w:tc>
          <w:tcPr>
            <w:tcW w:w="2114" w:type="dxa"/>
            <w:vAlign w:val="center"/>
          </w:tcPr>
          <w:p>
            <w:pPr>
              <w:pStyle w:val="14"/>
            </w:pPr>
            <w:r>
              <w:t>项目名称</w:t>
            </w:r>
          </w:p>
        </w:tc>
        <w:tc>
          <w:tcPr>
            <w:tcW w:w="6342" w:type="dxa"/>
            <w:gridSpan w:val="3"/>
            <w:vAlign w:val="center"/>
          </w:tcPr>
          <w:p>
            <w:pPr>
              <w:pStyle w:val="16"/>
            </w:pPr>
            <w:r>
              <w:t>冀财教[2023]134号/中央/2024年中央支持地方公共文化服务体系建设补助资金/农村公益电影放映补助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33.12</w:t>
            </w:r>
          </w:p>
        </w:tc>
        <w:tc>
          <w:tcPr>
            <w:tcW w:w="2114" w:type="dxa"/>
            <w:vAlign w:val="center"/>
          </w:tcPr>
          <w:p>
            <w:pPr>
              <w:pStyle w:val="14"/>
            </w:pPr>
            <w:r>
              <w:t>其中：财政    资金</w:t>
            </w:r>
          </w:p>
        </w:tc>
        <w:tc>
          <w:tcPr>
            <w:tcW w:w="2114" w:type="dxa"/>
            <w:vAlign w:val="center"/>
          </w:tcPr>
          <w:p>
            <w:pPr>
              <w:pStyle w:val="16"/>
            </w:pPr>
            <w:r>
              <w:t>33.12</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用于2024年公益电影放映补助发放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 xml:space="preserve"> </w:t>
            </w:r>
          </w:p>
        </w:tc>
        <w:tc>
          <w:tcPr>
            <w:tcW w:w="2114" w:type="dxa"/>
            <w:vAlign w:val="center"/>
          </w:tcPr>
          <w:p>
            <w:pPr>
              <w:pStyle w:val="17"/>
            </w:pPr>
            <w:r>
              <w:t xml:space="preserve"> </w:t>
            </w:r>
          </w:p>
        </w:tc>
        <w:tc>
          <w:tcPr>
            <w:tcW w:w="2114" w:type="dxa"/>
            <w:vAlign w:val="center"/>
          </w:tcPr>
          <w:p>
            <w:pPr>
              <w:pStyle w:val="17"/>
            </w:pPr>
            <w:r>
              <w:t xml:space="preserve"> </w:t>
            </w:r>
          </w:p>
        </w:tc>
        <w:tc>
          <w:tcPr>
            <w:tcW w:w="4228" w:type="dxa"/>
            <w:gridSpan w:val="2"/>
            <w:vAlign w:val="center"/>
          </w:tcPr>
          <w:p>
            <w:pPr>
              <w:pStyle w:val="17"/>
            </w:pPr>
            <w:r>
              <w:t>33.12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1.全县276个行政村在5月-10月放映公益电影，每村每月2场，一年共放映3312场，根据场次进行相应补助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公益电影放映数量</w:t>
            </w:r>
          </w:p>
        </w:tc>
        <w:tc>
          <w:tcPr>
            <w:tcW w:w="4228" w:type="dxa"/>
            <w:vAlign w:val="center"/>
          </w:tcPr>
          <w:p>
            <w:pPr>
              <w:pStyle w:val="16"/>
            </w:pPr>
            <w:r>
              <w:t>全县276个行政村共放映公益电影场次</w:t>
            </w:r>
          </w:p>
        </w:tc>
        <w:tc>
          <w:tcPr>
            <w:tcW w:w="2114" w:type="dxa"/>
            <w:vAlign w:val="center"/>
          </w:tcPr>
          <w:p>
            <w:pPr>
              <w:pStyle w:val="16"/>
            </w:pPr>
            <w:r>
              <w:t>≥3312场</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公益电影放映补助发放标准</w:t>
            </w:r>
          </w:p>
        </w:tc>
        <w:tc>
          <w:tcPr>
            <w:tcW w:w="4228" w:type="dxa"/>
            <w:vAlign w:val="center"/>
          </w:tcPr>
          <w:p>
            <w:pPr>
              <w:pStyle w:val="16"/>
            </w:pPr>
            <w:r>
              <w:t>保证上级安排的影片放映到位，补助按标准执行</w:t>
            </w:r>
          </w:p>
        </w:tc>
        <w:tc>
          <w:tcPr>
            <w:tcW w:w="2114" w:type="dxa"/>
            <w:vAlign w:val="center"/>
          </w:tcPr>
          <w:p>
            <w:pPr>
              <w:pStyle w:val="16"/>
            </w:pPr>
            <w:r>
              <w:t>200元/场</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公益电影放映时间</w:t>
            </w:r>
          </w:p>
        </w:tc>
        <w:tc>
          <w:tcPr>
            <w:tcW w:w="4228" w:type="dxa"/>
            <w:vAlign w:val="center"/>
          </w:tcPr>
          <w:p>
            <w:pPr>
              <w:pStyle w:val="16"/>
            </w:pPr>
            <w:r>
              <w:t>按公益电影放映标准在5月-10月每个行政村每月放映2场</w:t>
            </w:r>
          </w:p>
        </w:tc>
        <w:tc>
          <w:tcPr>
            <w:tcW w:w="2114" w:type="dxa"/>
            <w:vAlign w:val="center"/>
          </w:tcPr>
          <w:p>
            <w:pPr>
              <w:pStyle w:val="16"/>
            </w:pPr>
            <w:r>
              <w:t>≥2场/村/月</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公益电影放映补助总成本</w:t>
            </w:r>
          </w:p>
        </w:tc>
        <w:tc>
          <w:tcPr>
            <w:tcW w:w="2114" w:type="dxa"/>
            <w:vAlign w:val="center"/>
          </w:tcPr>
          <w:p>
            <w:pPr>
              <w:pStyle w:val="16"/>
            </w:pPr>
            <w:r>
              <w:t>≤33.12万元</w:t>
            </w:r>
          </w:p>
        </w:tc>
        <w:tc>
          <w:tcPr>
            <w:tcW w:w="2114" w:type="dxa"/>
            <w:vAlign w:val="center"/>
          </w:tcPr>
          <w:p>
            <w:pPr>
              <w:pStyle w:val="16"/>
            </w:pPr>
            <w:r>
              <w:t>冀财教[2023]134号文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提高全县农村文化娱乐水平</w:t>
            </w:r>
          </w:p>
        </w:tc>
        <w:tc>
          <w:tcPr>
            <w:tcW w:w="4228" w:type="dxa"/>
            <w:vAlign w:val="center"/>
          </w:tcPr>
          <w:p>
            <w:pPr>
              <w:pStyle w:val="16"/>
            </w:pPr>
            <w:r>
              <w:t>农村群众参与观看公益电影放映人次</w:t>
            </w:r>
          </w:p>
        </w:tc>
        <w:tc>
          <w:tcPr>
            <w:tcW w:w="2114" w:type="dxa"/>
            <w:vAlign w:val="center"/>
          </w:tcPr>
          <w:p>
            <w:pPr>
              <w:pStyle w:val="16"/>
            </w:pPr>
            <w:r>
              <w:t>≥45万人次</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我县群众对公益电影放映满意度</w:t>
            </w:r>
          </w:p>
        </w:tc>
        <w:tc>
          <w:tcPr>
            <w:tcW w:w="2114" w:type="dxa"/>
            <w:vAlign w:val="center"/>
          </w:tcPr>
          <w:p>
            <w:pPr>
              <w:pStyle w:val="16"/>
            </w:pPr>
            <w:r>
              <w:t>≥85%</w:t>
            </w:r>
          </w:p>
        </w:tc>
        <w:tc>
          <w:tcPr>
            <w:tcW w:w="2114" w:type="dxa"/>
            <w:vAlign w:val="center"/>
          </w:tcPr>
          <w:p>
            <w:pPr>
              <w:pStyle w:val="16"/>
            </w:pPr>
            <w:r>
              <w:t>冀财教[2012]204号文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4、冀财教[2023]134号/中央/2024年中央支持地方公共文化服务体系建设补助资金/农家书屋免费开放补助绩效目标表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13052524P00000210656Y</w:t>
            </w:r>
          </w:p>
        </w:tc>
        <w:tc>
          <w:tcPr>
            <w:tcW w:w="2114" w:type="dxa"/>
            <w:vAlign w:val="center"/>
          </w:tcPr>
          <w:p>
            <w:pPr>
              <w:pStyle w:val="14"/>
            </w:pPr>
            <w:r>
              <w:t>项目名称</w:t>
            </w:r>
          </w:p>
        </w:tc>
        <w:tc>
          <w:tcPr>
            <w:tcW w:w="6342" w:type="dxa"/>
            <w:gridSpan w:val="3"/>
            <w:vAlign w:val="center"/>
          </w:tcPr>
          <w:p>
            <w:pPr>
              <w:pStyle w:val="16"/>
            </w:pPr>
            <w:r>
              <w:t>冀财教[2023]134号/中央/2024年中央支持地方公共文化服务体系建设补助资金/农家书屋免费开放补助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27.60</w:t>
            </w:r>
          </w:p>
        </w:tc>
        <w:tc>
          <w:tcPr>
            <w:tcW w:w="2114" w:type="dxa"/>
            <w:vAlign w:val="center"/>
          </w:tcPr>
          <w:p>
            <w:pPr>
              <w:pStyle w:val="14"/>
            </w:pPr>
            <w:r>
              <w:t>其中：财政    资金</w:t>
            </w:r>
          </w:p>
        </w:tc>
        <w:tc>
          <w:tcPr>
            <w:tcW w:w="2114" w:type="dxa"/>
            <w:vAlign w:val="center"/>
          </w:tcPr>
          <w:p>
            <w:pPr>
              <w:pStyle w:val="16"/>
            </w:pPr>
            <w:r>
              <w:t>27.60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用于276个行政村农家书屋图书更新。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3.00</w:t>
            </w:r>
          </w:p>
        </w:tc>
        <w:tc>
          <w:tcPr>
            <w:tcW w:w="2114" w:type="dxa"/>
            <w:vAlign w:val="center"/>
          </w:tcPr>
          <w:p>
            <w:pPr>
              <w:pStyle w:val="17"/>
            </w:pPr>
            <w:r>
              <w:t>10.00</w:t>
            </w:r>
          </w:p>
        </w:tc>
        <w:tc>
          <w:tcPr>
            <w:tcW w:w="2114" w:type="dxa"/>
            <w:vAlign w:val="center"/>
          </w:tcPr>
          <w:p>
            <w:pPr>
              <w:pStyle w:val="17"/>
            </w:pPr>
            <w:r>
              <w:t>27.60</w:t>
            </w:r>
          </w:p>
        </w:tc>
        <w:tc>
          <w:tcPr>
            <w:tcW w:w="4228" w:type="dxa"/>
            <w:gridSpan w:val="2"/>
            <w:vAlign w:val="center"/>
          </w:tcPr>
          <w:p>
            <w:pPr>
              <w:pStyle w:val="17"/>
            </w:pPr>
            <w:r>
              <w:t>27.60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1.为全县276个行政村农家书屋更新图书，每个农家书屋更新图书金额不少于1000元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农家书屋覆盖数</w:t>
            </w:r>
          </w:p>
        </w:tc>
        <w:tc>
          <w:tcPr>
            <w:tcW w:w="4228" w:type="dxa"/>
            <w:vAlign w:val="center"/>
          </w:tcPr>
          <w:p>
            <w:pPr>
              <w:pStyle w:val="16"/>
            </w:pPr>
            <w:r>
              <w:t>农家书屋图书更新数量</w:t>
            </w:r>
          </w:p>
        </w:tc>
        <w:tc>
          <w:tcPr>
            <w:tcW w:w="2114" w:type="dxa"/>
            <w:vAlign w:val="center"/>
          </w:tcPr>
          <w:p>
            <w:pPr>
              <w:pStyle w:val="16"/>
            </w:pPr>
            <w:r>
              <w:t>276个</w:t>
            </w:r>
          </w:p>
        </w:tc>
        <w:tc>
          <w:tcPr>
            <w:tcW w:w="2114" w:type="dxa"/>
            <w:vAlign w:val="center"/>
          </w:tcPr>
          <w:p>
            <w:pPr>
              <w:pStyle w:val="16"/>
            </w:pPr>
            <w:r>
              <w:t>冀财教[2023]134号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农家书屋图书更新质量</w:t>
            </w:r>
          </w:p>
        </w:tc>
        <w:tc>
          <w:tcPr>
            <w:tcW w:w="4228" w:type="dxa"/>
            <w:vAlign w:val="center"/>
          </w:tcPr>
          <w:p>
            <w:pPr>
              <w:pStyle w:val="16"/>
            </w:pPr>
            <w:r>
              <w:t>农家书屋图书更新符合国家和省级推荐标准</w:t>
            </w:r>
          </w:p>
        </w:tc>
        <w:tc>
          <w:tcPr>
            <w:tcW w:w="2114" w:type="dxa"/>
            <w:vAlign w:val="center"/>
          </w:tcPr>
          <w:p>
            <w:pPr>
              <w:pStyle w:val="16"/>
            </w:pPr>
            <w:r>
              <w:t>≥150%</w:t>
            </w:r>
          </w:p>
        </w:tc>
        <w:tc>
          <w:tcPr>
            <w:tcW w:w="2114" w:type="dxa"/>
            <w:vAlign w:val="center"/>
          </w:tcPr>
          <w:p>
            <w:pPr>
              <w:pStyle w:val="16"/>
            </w:pPr>
            <w:r>
              <w:t>冀财教[2023]134号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完成时间</w:t>
            </w:r>
          </w:p>
        </w:tc>
        <w:tc>
          <w:tcPr>
            <w:tcW w:w="4228" w:type="dxa"/>
            <w:vAlign w:val="center"/>
          </w:tcPr>
          <w:p>
            <w:pPr>
              <w:pStyle w:val="16"/>
            </w:pPr>
            <w:r>
              <w:t>全县农家书屋图书更新工作完成时间</w:t>
            </w:r>
          </w:p>
        </w:tc>
        <w:tc>
          <w:tcPr>
            <w:tcW w:w="2114" w:type="dxa"/>
            <w:vAlign w:val="center"/>
          </w:tcPr>
          <w:p>
            <w:pPr>
              <w:pStyle w:val="16"/>
            </w:pPr>
            <w:r>
              <w:t>≤10月</w:t>
            </w:r>
          </w:p>
        </w:tc>
        <w:tc>
          <w:tcPr>
            <w:tcW w:w="2114" w:type="dxa"/>
            <w:vAlign w:val="center"/>
          </w:tcPr>
          <w:p>
            <w:pPr>
              <w:pStyle w:val="16"/>
            </w:pPr>
            <w:r>
              <w:t>冀财教[2023]134号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成本不超预算</w:t>
            </w:r>
          </w:p>
        </w:tc>
        <w:tc>
          <w:tcPr>
            <w:tcW w:w="4228" w:type="dxa"/>
            <w:vAlign w:val="center"/>
          </w:tcPr>
          <w:p>
            <w:pPr>
              <w:pStyle w:val="16"/>
            </w:pPr>
            <w:r>
              <w:t>成本不超预算</w:t>
            </w:r>
          </w:p>
        </w:tc>
        <w:tc>
          <w:tcPr>
            <w:tcW w:w="2114" w:type="dxa"/>
            <w:vAlign w:val="center"/>
          </w:tcPr>
          <w:p>
            <w:pPr>
              <w:pStyle w:val="16"/>
            </w:pPr>
            <w:r>
              <w:t>27.6万元</w:t>
            </w:r>
          </w:p>
        </w:tc>
        <w:tc>
          <w:tcPr>
            <w:tcW w:w="2114" w:type="dxa"/>
            <w:vAlign w:val="center"/>
          </w:tcPr>
          <w:p>
            <w:pPr>
              <w:pStyle w:val="16"/>
            </w:pPr>
            <w:r>
              <w:t>冀财教[2023]134号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提升全县农村群众的业余文化生活水平</w:t>
            </w:r>
          </w:p>
        </w:tc>
        <w:tc>
          <w:tcPr>
            <w:tcW w:w="4228" w:type="dxa"/>
            <w:vAlign w:val="center"/>
          </w:tcPr>
          <w:p>
            <w:pPr>
              <w:pStyle w:val="16"/>
            </w:pPr>
            <w:r>
              <w:t>提升全县农村群众的业余文化生活水平</w:t>
            </w:r>
          </w:p>
        </w:tc>
        <w:tc>
          <w:tcPr>
            <w:tcW w:w="2114" w:type="dxa"/>
            <w:vAlign w:val="center"/>
          </w:tcPr>
          <w:p>
            <w:pPr>
              <w:pStyle w:val="16"/>
            </w:pPr>
            <w:r>
              <w:t>提升全县农村群众的业余文化生活水平</w:t>
            </w:r>
          </w:p>
        </w:tc>
        <w:tc>
          <w:tcPr>
            <w:tcW w:w="2114" w:type="dxa"/>
            <w:vAlign w:val="center"/>
          </w:tcPr>
          <w:p>
            <w:pPr>
              <w:pStyle w:val="16"/>
            </w:pPr>
            <w:r>
              <w:t>冀财教[2023]134号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农村群众对农家书屋建设满意度</w:t>
            </w:r>
          </w:p>
        </w:tc>
        <w:tc>
          <w:tcPr>
            <w:tcW w:w="2114" w:type="dxa"/>
            <w:vAlign w:val="center"/>
          </w:tcPr>
          <w:p>
            <w:pPr>
              <w:pStyle w:val="16"/>
            </w:pPr>
            <w:r>
              <w:t>≥90%</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5、冀财教[2023]136号/省级/2024年省级宣传文化（发展）专项资金/承办“双争”有我主题现场交流活动绩效目标表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13052524P000002106586</w:t>
            </w:r>
          </w:p>
        </w:tc>
        <w:tc>
          <w:tcPr>
            <w:tcW w:w="2114" w:type="dxa"/>
            <w:vAlign w:val="center"/>
          </w:tcPr>
          <w:p>
            <w:pPr>
              <w:pStyle w:val="14"/>
            </w:pPr>
            <w:r>
              <w:t>项目名称</w:t>
            </w:r>
          </w:p>
        </w:tc>
        <w:tc>
          <w:tcPr>
            <w:tcW w:w="6342" w:type="dxa"/>
            <w:gridSpan w:val="3"/>
            <w:vAlign w:val="center"/>
          </w:tcPr>
          <w:p>
            <w:pPr>
              <w:pStyle w:val="16"/>
            </w:pPr>
            <w:r>
              <w:t>冀财教[2023]136号/省级/2024年省级宣传文化（发展）专项资金/承办“双争”有我主题现场交流活动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30.00</w:t>
            </w:r>
          </w:p>
        </w:tc>
        <w:tc>
          <w:tcPr>
            <w:tcW w:w="2114" w:type="dxa"/>
            <w:vAlign w:val="center"/>
          </w:tcPr>
          <w:p>
            <w:pPr>
              <w:pStyle w:val="14"/>
            </w:pPr>
            <w:r>
              <w:t>其中：财政    资金</w:t>
            </w:r>
          </w:p>
        </w:tc>
        <w:tc>
          <w:tcPr>
            <w:tcW w:w="2114" w:type="dxa"/>
            <w:vAlign w:val="center"/>
          </w:tcPr>
          <w:p>
            <w:pPr>
              <w:pStyle w:val="16"/>
            </w:pPr>
            <w:r>
              <w:t>30.00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用于承办“双争”有我——月度“河北好人”发布暨道德模范与身边好人现场交流活动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 xml:space="preserve"> </w:t>
            </w:r>
          </w:p>
        </w:tc>
        <w:tc>
          <w:tcPr>
            <w:tcW w:w="2114" w:type="dxa"/>
            <w:vAlign w:val="center"/>
          </w:tcPr>
          <w:p>
            <w:pPr>
              <w:pStyle w:val="17"/>
            </w:pPr>
            <w:r>
              <w:t>30.00</w:t>
            </w:r>
          </w:p>
        </w:tc>
        <w:tc>
          <w:tcPr>
            <w:tcW w:w="2114" w:type="dxa"/>
            <w:vAlign w:val="center"/>
          </w:tcPr>
          <w:p>
            <w:pPr>
              <w:pStyle w:val="17"/>
            </w:pPr>
            <w:r>
              <w:t>30.00</w:t>
            </w:r>
          </w:p>
        </w:tc>
        <w:tc>
          <w:tcPr>
            <w:tcW w:w="4228" w:type="dxa"/>
            <w:gridSpan w:val="2"/>
            <w:vAlign w:val="center"/>
          </w:tcPr>
          <w:p>
            <w:pPr>
              <w:pStyle w:val="17"/>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1.确保“双争”有我——月度“河北好人”发布暨道德模范与身边好人现场交流活动顺利举办</w:t>
            </w:r>
          </w:p>
          <w:p>
            <w:pPr>
              <w:pStyle w:val="16"/>
            </w:pPr>
            <w:r>
              <w:t>2.通过承办省级专题活动，提高我县整体影响力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全省河北好人发布数量</w:t>
            </w:r>
          </w:p>
        </w:tc>
        <w:tc>
          <w:tcPr>
            <w:tcW w:w="4228" w:type="dxa"/>
            <w:vAlign w:val="center"/>
          </w:tcPr>
          <w:p>
            <w:pPr>
              <w:pStyle w:val="16"/>
            </w:pPr>
            <w:r>
              <w:t>安排全省月度河北好人参加活动占比</w:t>
            </w:r>
          </w:p>
        </w:tc>
        <w:tc>
          <w:tcPr>
            <w:tcW w:w="2114" w:type="dxa"/>
            <w:vAlign w:val="center"/>
          </w:tcPr>
          <w:p>
            <w:pPr>
              <w:pStyle w:val="16"/>
            </w:pPr>
            <w:r>
              <w:t>100%</w:t>
            </w:r>
          </w:p>
        </w:tc>
        <w:tc>
          <w:tcPr>
            <w:tcW w:w="2114" w:type="dxa"/>
            <w:vAlign w:val="center"/>
          </w:tcPr>
          <w:p>
            <w:pPr>
              <w:pStyle w:val="16"/>
            </w:pPr>
            <w:r>
              <w:t>活动要求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主题活动举办效果</w:t>
            </w:r>
          </w:p>
        </w:tc>
        <w:tc>
          <w:tcPr>
            <w:tcW w:w="4228" w:type="dxa"/>
            <w:vAlign w:val="center"/>
          </w:tcPr>
          <w:p>
            <w:pPr>
              <w:pStyle w:val="16"/>
            </w:pPr>
            <w:r>
              <w:t>省主管部门对我县“双争”有我——月度“河北好人”发布暨道德模范与身边好人现场交流活动举办满意度</w:t>
            </w:r>
          </w:p>
        </w:tc>
        <w:tc>
          <w:tcPr>
            <w:tcW w:w="2114" w:type="dxa"/>
            <w:vAlign w:val="center"/>
          </w:tcPr>
          <w:p>
            <w:pPr>
              <w:pStyle w:val="16"/>
            </w:pPr>
            <w:r>
              <w:t>≥90%</w:t>
            </w:r>
          </w:p>
        </w:tc>
        <w:tc>
          <w:tcPr>
            <w:tcW w:w="2114" w:type="dxa"/>
            <w:vAlign w:val="center"/>
          </w:tcPr>
          <w:p>
            <w:pPr>
              <w:pStyle w:val="16"/>
            </w:pPr>
            <w:r>
              <w:t>省级主管部门相关要求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主题活动举办时间</w:t>
            </w:r>
          </w:p>
        </w:tc>
        <w:tc>
          <w:tcPr>
            <w:tcW w:w="4228" w:type="dxa"/>
            <w:vAlign w:val="center"/>
          </w:tcPr>
          <w:p>
            <w:pPr>
              <w:pStyle w:val="16"/>
            </w:pPr>
            <w:r>
              <w:t>“双争”有我——月度“河北好人”发布暨道德模范与身边好人现场交流活动举办时间</w:t>
            </w:r>
          </w:p>
        </w:tc>
        <w:tc>
          <w:tcPr>
            <w:tcW w:w="2114" w:type="dxa"/>
            <w:vAlign w:val="center"/>
          </w:tcPr>
          <w:p>
            <w:pPr>
              <w:pStyle w:val="16"/>
            </w:pPr>
            <w:r>
              <w:t>≤5月</w:t>
            </w:r>
          </w:p>
        </w:tc>
        <w:tc>
          <w:tcPr>
            <w:tcW w:w="2114" w:type="dxa"/>
            <w:vAlign w:val="center"/>
          </w:tcPr>
          <w:p>
            <w:pPr>
              <w:pStyle w:val="16"/>
            </w:pPr>
            <w:r>
              <w:t>上级主管部门规定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活动总花费</w:t>
            </w:r>
          </w:p>
        </w:tc>
        <w:tc>
          <w:tcPr>
            <w:tcW w:w="4228" w:type="dxa"/>
            <w:vAlign w:val="center"/>
          </w:tcPr>
          <w:p>
            <w:pPr>
              <w:pStyle w:val="16"/>
            </w:pPr>
            <w:r>
              <w:t>承办该项活动总支出数</w:t>
            </w:r>
          </w:p>
        </w:tc>
        <w:tc>
          <w:tcPr>
            <w:tcW w:w="2114" w:type="dxa"/>
            <w:vAlign w:val="center"/>
          </w:tcPr>
          <w:p>
            <w:pPr>
              <w:pStyle w:val="16"/>
            </w:pPr>
            <w:r>
              <w:t>≤30万元</w:t>
            </w:r>
          </w:p>
        </w:tc>
        <w:tc>
          <w:tcPr>
            <w:tcW w:w="2114" w:type="dxa"/>
            <w:vAlign w:val="center"/>
          </w:tcPr>
          <w:p>
            <w:pPr>
              <w:pStyle w:val="16"/>
            </w:pPr>
            <w:r>
              <w:t>上级资金数额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提高我县影响力</w:t>
            </w:r>
          </w:p>
        </w:tc>
        <w:tc>
          <w:tcPr>
            <w:tcW w:w="4228" w:type="dxa"/>
            <w:vAlign w:val="center"/>
          </w:tcPr>
          <w:p>
            <w:pPr>
              <w:pStyle w:val="16"/>
            </w:pPr>
            <w:r>
              <w:t>通过举办活动提高隆尧知名度和影响力，扩大好人评选参与度</w:t>
            </w:r>
          </w:p>
        </w:tc>
        <w:tc>
          <w:tcPr>
            <w:tcW w:w="2114" w:type="dxa"/>
            <w:vAlign w:val="center"/>
          </w:tcPr>
          <w:p>
            <w:pPr>
              <w:pStyle w:val="16"/>
            </w:pPr>
            <w:r>
              <w:t>≥10%</w:t>
            </w:r>
          </w:p>
        </w:tc>
        <w:tc>
          <w:tcPr>
            <w:tcW w:w="2114" w:type="dxa"/>
            <w:vAlign w:val="center"/>
          </w:tcPr>
          <w:p>
            <w:pPr>
              <w:pStyle w:val="16"/>
            </w:pPr>
            <w:r>
              <w:t>主题活动目标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活动参与者满意度</w:t>
            </w:r>
          </w:p>
        </w:tc>
        <w:tc>
          <w:tcPr>
            <w:tcW w:w="4228" w:type="dxa"/>
            <w:vAlign w:val="center"/>
          </w:tcPr>
          <w:p>
            <w:pPr>
              <w:pStyle w:val="16"/>
            </w:pPr>
            <w:r>
              <w:t>主题活动全体参与人员对活动效果满意度</w:t>
            </w:r>
          </w:p>
        </w:tc>
        <w:tc>
          <w:tcPr>
            <w:tcW w:w="2114" w:type="dxa"/>
            <w:vAlign w:val="center"/>
          </w:tcPr>
          <w:p>
            <w:pPr>
              <w:pStyle w:val="16"/>
            </w:pPr>
            <w:r>
              <w:t>≥90%</w:t>
            </w:r>
          </w:p>
        </w:tc>
        <w:tc>
          <w:tcPr>
            <w:tcW w:w="2114" w:type="dxa"/>
            <w:vAlign w:val="center"/>
          </w:tcPr>
          <w:p>
            <w:pPr>
              <w:pStyle w:val="16"/>
            </w:pPr>
            <w:r>
              <w:t>主题活动预期效果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6、冀财教[2023]139号/省级/2024年省级国家电影事业发展专项资金/隆园电影放映有限责任公司绩效目标表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13052524P00000210659R</w:t>
            </w:r>
          </w:p>
        </w:tc>
        <w:tc>
          <w:tcPr>
            <w:tcW w:w="2114" w:type="dxa"/>
            <w:vAlign w:val="center"/>
          </w:tcPr>
          <w:p>
            <w:pPr>
              <w:pStyle w:val="14"/>
            </w:pPr>
            <w:r>
              <w:t>项目名称</w:t>
            </w:r>
          </w:p>
        </w:tc>
        <w:tc>
          <w:tcPr>
            <w:tcW w:w="6342" w:type="dxa"/>
            <w:gridSpan w:val="3"/>
            <w:vAlign w:val="center"/>
          </w:tcPr>
          <w:p>
            <w:pPr>
              <w:pStyle w:val="16"/>
            </w:pPr>
            <w:r>
              <w:t>冀财教[2023]139号/省级/2024年省级国家电影事业发展专项资金/隆园电影放映有限责任公司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7.00</w:t>
            </w:r>
          </w:p>
        </w:tc>
        <w:tc>
          <w:tcPr>
            <w:tcW w:w="2114" w:type="dxa"/>
            <w:vAlign w:val="center"/>
          </w:tcPr>
          <w:p>
            <w:pPr>
              <w:pStyle w:val="14"/>
            </w:pPr>
            <w:r>
              <w:t>其中：财政    资金</w:t>
            </w:r>
          </w:p>
        </w:tc>
        <w:tc>
          <w:tcPr>
            <w:tcW w:w="2114" w:type="dxa"/>
            <w:vAlign w:val="center"/>
          </w:tcPr>
          <w:p>
            <w:pPr>
              <w:pStyle w:val="16"/>
            </w:pPr>
            <w:r>
              <w:t>7.00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用于对2023年放映国产影片表现突出的影院进行奖励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 xml:space="preserve"> </w:t>
            </w:r>
          </w:p>
        </w:tc>
        <w:tc>
          <w:tcPr>
            <w:tcW w:w="2114" w:type="dxa"/>
            <w:vAlign w:val="center"/>
          </w:tcPr>
          <w:p>
            <w:pPr>
              <w:pStyle w:val="17"/>
            </w:pPr>
            <w:r>
              <w:t>7.00</w:t>
            </w:r>
          </w:p>
        </w:tc>
        <w:tc>
          <w:tcPr>
            <w:tcW w:w="2114" w:type="dxa"/>
            <w:vAlign w:val="center"/>
          </w:tcPr>
          <w:p>
            <w:pPr>
              <w:pStyle w:val="17"/>
            </w:pPr>
            <w:r>
              <w:t>7.00</w:t>
            </w:r>
          </w:p>
        </w:tc>
        <w:tc>
          <w:tcPr>
            <w:tcW w:w="4228" w:type="dxa"/>
            <w:gridSpan w:val="2"/>
            <w:vAlign w:val="center"/>
          </w:tcPr>
          <w:p>
            <w:pPr>
              <w:pStyle w:val="17"/>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1.对2023年放映国产影片时长占比不低于67%的影院予以奖励，鼓励影院多放映国产影片。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奖励影院数量</w:t>
            </w:r>
          </w:p>
        </w:tc>
        <w:tc>
          <w:tcPr>
            <w:tcW w:w="4228" w:type="dxa"/>
            <w:vAlign w:val="center"/>
          </w:tcPr>
          <w:p>
            <w:pPr>
              <w:pStyle w:val="16"/>
            </w:pPr>
            <w:r>
              <w:t>奖励放映国产影片成绩突出影院数量</w:t>
            </w:r>
          </w:p>
        </w:tc>
        <w:tc>
          <w:tcPr>
            <w:tcW w:w="2114" w:type="dxa"/>
            <w:vAlign w:val="center"/>
          </w:tcPr>
          <w:p>
            <w:pPr>
              <w:pStyle w:val="16"/>
            </w:pPr>
            <w:r>
              <w:t>≥1家</w:t>
            </w:r>
          </w:p>
        </w:tc>
        <w:tc>
          <w:tcPr>
            <w:tcW w:w="2114"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国产影片占比</w:t>
            </w:r>
          </w:p>
        </w:tc>
        <w:tc>
          <w:tcPr>
            <w:tcW w:w="4228" w:type="dxa"/>
            <w:vAlign w:val="center"/>
          </w:tcPr>
          <w:p>
            <w:pPr>
              <w:pStyle w:val="16"/>
            </w:pPr>
            <w:r>
              <w:t>全年影院放映国产影片票房收入占总票房收入比例</w:t>
            </w:r>
          </w:p>
        </w:tc>
        <w:tc>
          <w:tcPr>
            <w:tcW w:w="2114" w:type="dxa"/>
            <w:vAlign w:val="center"/>
          </w:tcPr>
          <w:p>
            <w:pPr>
              <w:pStyle w:val="16"/>
            </w:pPr>
            <w:r>
              <w:t>≥55%</w:t>
            </w:r>
          </w:p>
        </w:tc>
        <w:tc>
          <w:tcPr>
            <w:tcW w:w="2114" w:type="dxa"/>
            <w:vAlign w:val="center"/>
          </w:tcPr>
          <w:p>
            <w:pPr>
              <w:pStyle w:val="16"/>
            </w:pPr>
            <w:r>
              <w:t>冀财教[2023]139号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放映时间</w:t>
            </w:r>
          </w:p>
        </w:tc>
        <w:tc>
          <w:tcPr>
            <w:tcW w:w="4228" w:type="dxa"/>
            <w:vAlign w:val="center"/>
          </w:tcPr>
          <w:p>
            <w:pPr>
              <w:pStyle w:val="16"/>
            </w:pPr>
            <w:r>
              <w:t>影院放映国产影片时长统计时间</w:t>
            </w:r>
          </w:p>
        </w:tc>
        <w:tc>
          <w:tcPr>
            <w:tcW w:w="2114" w:type="dxa"/>
            <w:vAlign w:val="center"/>
          </w:tcPr>
          <w:p>
            <w:pPr>
              <w:pStyle w:val="16"/>
            </w:pPr>
            <w:r>
              <w:t>≤10月</w:t>
            </w:r>
          </w:p>
        </w:tc>
        <w:tc>
          <w:tcPr>
            <w:tcW w:w="2114" w:type="dxa"/>
            <w:vAlign w:val="center"/>
          </w:tcPr>
          <w:p>
            <w:pPr>
              <w:pStyle w:val="16"/>
            </w:pPr>
            <w:r>
              <w:t>冀财教[2023]139号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奖励比例</w:t>
            </w:r>
          </w:p>
        </w:tc>
        <w:tc>
          <w:tcPr>
            <w:tcW w:w="4228" w:type="dxa"/>
            <w:vAlign w:val="center"/>
          </w:tcPr>
          <w:p>
            <w:pPr>
              <w:pStyle w:val="16"/>
            </w:pPr>
            <w:r>
              <w:t>放映达标影院受奖励金额占其放映国产影片缴纳专资比例</w:t>
            </w:r>
          </w:p>
        </w:tc>
        <w:tc>
          <w:tcPr>
            <w:tcW w:w="2114" w:type="dxa"/>
            <w:vAlign w:val="center"/>
          </w:tcPr>
          <w:p>
            <w:pPr>
              <w:pStyle w:val="16"/>
            </w:pPr>
            <w:r>
              <w:t>≤60%</w:t>
            </w:r>
          </w:p>
        </w:tc>
        <w:tc>
          <w:tcPr>
            <w:tcW w:w="2114" w:type="dxa"/>
            <w:vAlign w:val="center"/>
          </w:tcPr>
          <w:p>
            <w:pPr>
              <w:pStyle w:val="16"/>
            </w:pPr>
            <w:r>
              <w:t>冀财教[2023]139号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票房收入</w:t>
            </w:r>
          </w:p>
        </w:tc>
        <w:tc>
          <w:tcPr>
            <w:tcW w:w="4228" w:type="dxa"/>
            <w:vAlign w:val="center"/>
          </w:tcPr>
          <w:p>
            <w:pPr>
              <w:pStyle w:val="16"/>
            </w:pPr>
            <w:r>
              <w:t>受奖励影院放映国产影片票房收入提升</w:t>
            </w:r>
          </w:p>
        </w:tc>
        <w:tc>
          <w:tcPr>
            <w:tcW w:w="2114" w:type="dxa"/>
            <w:vAlign w:val="center"/>
          </w:tcPr>
          <w:p>
            <w:pPr>
              <w:pStyle w:val="16"/>
            </w:pPr>
            <w:r>
              <w:t>≥3%</w:t>
            </w:r>
          </w:p>
        </w:tc>
        <w:tc>
          <w:tcPr>
            <w:tcW w:w="2114" w:type="dxa"/>
            <w:vAlign w:val="center"/>
          </w:tcPr>
          <w:p>
            <w:pPr>
              <w:pStyle w:val="16"/>
            </w:pPr>
            <w:r>
              <w:t>冀财教[2023]139号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群众对全县电影行业发展满意度</w:t>
            </w:r>
          </w:p>
        </w:tc>
        <w:tc>
          <w:tcPr>
            <w:tcW w:w="2114" w:type="dxa"/>
            <w:vAlign w:val="center"/>
          </w:tcPr>
          <w:p>
            <w:pPr>
              <w:pStyle w:val="16"/>
            </w:pPr>
            <w:r>
              <w:t>≥85%</w:t>
            </w:r>
          </w:p>
        </w:tc>
        <w:tc>
          <w:tcPr>
            <w:tcW w:w="2114" w:type="dxa"/>
            <w:vAlign w:val="center"/>
          </w:tcPr>
          <w:p>
            <w:pPr>
              <w:pStyle w:val="16"/>
            </w:pPr>
            <w:r>
              <w:t>冀财教[2023]139号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7、冀财教[2023]143号/省级/2024年省级公共文化服务体系建设补助资金/农村公益电影放映场次补贴绩效目标表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13052524P000002106605</w:t>
            </w:r>
          </w:p>
        </w:tc>
        <w:tc>
          <w:tcPr>
            <w:tcW w:w="2114" w:type="dxa"/>
            <w:vAlign w:val="center"/>
          </w:tcPr>
          <w:p>
            <w:pPr>
              <w:pStyle w:val="14"/>
            </w:pPr>
            <w:r>
              <w:t>项目名称</w:t>
            </w:r>
          </w:p>
        </w:tc>
        <w:tc>
          <w:tcPr>
            <w:tcW w:w="6342" w:type="dxa"/>
            <w:gridSpan w:val="3"/>
            <w:vAlign w:val="center"/>
          </w:tcPr>
          <w:p>
            <w:pPr>
              <w:pStyle w:val="16"/>
            </w:pPr>
            <w:r>
              <w:t>冀财教[2023]143号/省级/2024年省级公共文化服务体系建设补助资金/农村公益电影放映场次补贴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10.93</w:t>
            </w:r>
          </w:p>
        </w:tc>
        <w:tc>
          <w:tcPr>
            <w:tcW w:w="2114" w:type="dxa"/>
            <w:vAlign w:val="center"/>
          </w:tcPr>
          <w:p>
            <w:pPr>
              <w:pStyle w:val="14"/>
            </w:pPr>
            <w:r>
              <w:t>其中：财政    资金</w:t>
            </w:r>
          </w:p>
        </w:tc>
        <w:tc>
          <w:tcPr>
            <w:tcW w:w="2114" w:type="dxa"/>
            <w:vAlign w:val="center"/>
          </w:tcPr>
          <w:p>
            <w:pPr>
              <w:pStyle w:val="16"/>
            </w:pPr>
            <w:r>
              <w:t>10.93</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用于2024年农村公益电影补贴发放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 xml:space="preserve"> </w:t>
            </w:r>
          </w:p>
        </w:tc>
        <w:tc>
          <w:tcPr>
            <w:tcW w:w="2114" w:type="dxa"/>
            <w:vAlign w:val="center"/>
          </w:tcPr>
          <w:p>
            <w:pPr>
              <w:pStyle w:val="17"/>
            </w:pPr>
            <w:r>
              <w:t xml:space="preserve"> </w:t>
            </w:r>
          </w:p>
        </w:tc>
        <w:tc>
          <w:tcPr>
            <w:tcW w:w="2114" w:type="dxa"/>
            <w:vAlign w:val="center"/>
          </w:tcPr>
          <w:p>
            <w:pPr>
              <w:pStyle w:val="17"/>
            </w:pPr>
            <w:r>
              <w:t xml:space="preserve"> </w:t>
            </w:r>
          </w:p>
        </w:tc>
        <w:tc>
          <w:tcPr>
            <w:tcW w:w="4228" w:type="dxa"/>
            <w:gridSpan w:val="2"/>
            <w:vAlign w:val="center"/>
          </w:tcPr>
          <w:p>
            <w:pPr>
              <w:pStyle w:val="17"/>
            </w:pPr>
            <w:r>
              <w:t>10.93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1.全县276个行政村在5月-10月放映公益电影，每村每月2场，一年共放映3312场，根据场次进行相应补助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公益电影放映数量</w:t>
            </w:r>
          </w:p>
        </w:tc>
        <w:tc>
          <w:tcPr>
            <w:tcW w:w="4228" w:type="dxa"/>
            <w:vAlign w:val="center"/>
          </w:tcPr>
          <w:p>
            <w:pPr>
              <w:pStyle w:val="16"/>
            </w:pPr>
            <w:r>
              <w:t>全县276个行政村共放映公益电影场次</w:t>
            </w:r>
          </w:p>
        </w:tc>
        <w:tc>
          <w:tcPr>
            <w:tcW w:w="2114" w:type="dxa"/>
            <w:vAlign w:val="center"/>
          </w:tcPr>
          <w:p>
            <w:pPr>
              <w:pStyle w:val="16"/>
            </w:pPr>
            <w:r>
              <w:t>≥3312场</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公益电影放映补助发放标准</w:t>
            </w:r>
          </w:p>
        </w:tc>
        <w:tc>
          <w:tcPr>
            <w:tcW w:w="4228" w:type="dxa"/>
            <w:vAlign w:val="center"/>
          </w:tcPr>
          <w:p>
            <w:pPr>
              <w:pStyle w:val="16"/>
            </w:pPr>
            <w:r>
              <w:t>保证上级安排的影片放映到位，补助按标准执行</w:t>
            </w:r>
          </w:p>
        </w:tc>
        <w:tc>
          <w:tcPr>
            <w:tcW w:w="2114" w:type="dxa"/>
            <w:vAlign w:val="center"/>
          </w:tcPr>
          <w:p>
            <w:pPr>
              <w:pStyle w:val="16"/>
            </w:pPr>
            <w:r>
              <w:t>200元/场</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公益电影放映时间</w:t>
            </w:r>
          </w:p>
        </w:tc>
        <w:tc>
          <w:tcPr>
            <w:tcW w:w="4228" w:type="dxa"/>
            <w:vAlign w:val="center"/>
          </w:tcPr>
          <w:p>
            <w:pPr>
              <w:pStyle w:val="16"/>
            </w:pPr>
            <w:r>
              <w:t>按公益电影放映标准在5月-10月每个行政村每月放映2场</w:t>
            </w:r>
          </w:p>
        </w:tc>
        <w:tc>
          <w:tcPr>
            <w:tcW w:w="2114" w:type="dxa"/>
            <w:vAlign w:val="center"/>
          </w:tcPr>
          <w:p>
            <w:pPr>
              <w:pStyle w:val="16"/>
            </w:pPr>
            <w:r>
              <w:t>≥2场/村/月</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公益电影放映补助总成本</w:t>
            </w:r>
          </w:p>
        </w:tc>
        <w:tc>
          <w:tcPr>
            <w:tcW w:w="2114" w:type="dxa"/>
            <w:vAlign w:val="center"/>
          </w:tcPr>
          <w:p>
            <w:pPr>
              <w:pStyle w:val="16"/>
            </w:pPr>
            <w:r>
              <w:t>≤10.93万元</w:t>
            </w:r>
          </w:p>
        </w:tc>
        <w:tc>
          <w:tcPr>
            <w:tcW w:w="2114" w:type="dxa"/>
            <w:vAlign w:val="center"/>
          </w:tcPr>
          <w:p>
            <w:pPr>
              <w:pStyle w:val="16"/>
            </w:pPr>
            <w:r>
              <w:t>冀财教[2023]134号文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提高全县农村文化娱乐水平</w:t>
            </w:r>
          </w:p>
        </w:tc>
        <w:tc>
          <w:tcPr>
            <w:tcW w:w="4228" w:type="dxa"/>
            <w:vAlign w:val="center"/>
          </w:tcPr>
          <w:p>
            <w:pPr>
              <w:pStyle w:val="16"/>
            </w:pPr>
            <w:r>
              <w:t>农村群众参与观看公益电影放映人次</w:t>
            </w:r>
          </w:p>
        </w:tc>
        <w:tc>
          <w:tcPr>
            <w:tcW w:w="2114" w:type="dxa"/>
            <w:vAlign w:val="center"/>
          </w:tcPr>
          <w:p>
            <w:pPr>
              <w:pStyle w:val="16"/>
            </w:pPr>
            <w:r>
              <w:t>≥45万人次</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我县群众对公益电影放映满意度</w:t>
            </w:r>
          </w:p>
        </w:tc>
        <w:tc>
          <w:tcPr>
            <w:tcW w:w="2114" w:type="dxa"/>
            <w:vAlign w:val="center"/>
          </w:tcPr>
          <w:p>
            <w:pPr>
              <w:pStyle w:val="16"/>
            </w:pPr>
            <w:r>
              <w:t>≥85%</w:t>
            </w:r>
          </w:p>
        </w:tc>
        <w:tc>
          <w:tcPr>
            <w:tcW w:w="2114" w:type="dxa"/>
            <w:vAlign w:val="center"/>
          </w:tcPr>
          <w:p>
            <w:pPr>
              <w:pStyle w:val="16"/>
            </w:pPr>
            <w:r>
              <w:t>冀财教[2012]204号文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8、冀财教[2023]143号/省级/2024年省级公共文化服务体系建设补助资金/原乡镇电影放映员生活补贴绩效目标表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13052524P00000210661Q</w:t>
            </w:r>
          </w:p>
        </w:tc>
        <w:tc>
          <w:tcPr>
            <w:tcW w:w="2114" w:type="dxa"/>
            <w:vAlign w:val="center"/>
          </w:tcPr>
          <w:p>
            <w:pPr>
              <w:pStyle w:val="14"/>
            </w:pPr>
            <w:r>
              <w:t>项目名称</w:t>
            </w:r>
          </w:p>
        </w:tc>
        <w:tc>
          <w:tcPr>
            <w:tcW w:w="6342" w:type="dxa"/>
            <w:gridSpan w:val="3"/>
            <w:vAlign w:val="center"/>
          </w:tcPr>
          <w:p>
            <w:pPr>
              <w:pStyle w:val="16"/>
            </w:pPr>
            <w:r>
              <w:t>冀财教[2023]143号/省级/2024年省级公共文化服务体系建设补助资金/原乡镇电影放映员生活补贴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4.40</w:t>
            </w:r>
          </w:p>
        </w:tc>
        <w:tc>
          <w:tcPr>
            <w:tcW w:w="2114" w:type="dxa"/>
            <w:vAlign w:val="center"/>
          </w:tcPr>
          <w:p>
            <w:pPr>
              <w:pStyle w:val="14"/>
            </w:pPr>
            <w:r>
              <w:t>其中：财政    资金</w:t>
            </w:r>
          </w:p>
        </w:tc>
        <w:tc>
          <w:tcPr>
            <w:tcW w:w="2114" w:type="dxa"/>
            <w:vAlign w:val="center"/>
          </w:tcPr>
          <w:p>
            <w:pPr>
              <w:pStyle w:val="16"/>
            </w:pPr>
            <w:r>
              <w:t>4.40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用于原乡镇老放映员生活补贴发放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4.40</w:t>
            </w:r>
          </w:p>
        </w:tc>
        <w:tc>
          <w:tcPr>
            <w:tcW w:w="2114" w:type="dxa"/>
            <w:vAlign w:val="center"/>
          </w:tcPr>
          <w:p>
            <w:pPr>
              <w:pStyle w:val="17"/>
            </w:pPr>
            <w:r>
              <w:t>4.40</w:t>
            </w:r>
          </w:p>
        </w:tc>
        <w:tc>
          <w:tcPr>
            <w:tcW w:w="2114" w:type="dxa"/>
            <w:vAlign w:val="center"/>
          </w:tcPr>
          <w:p>
            <w:pPr>
              <w:pStyle w:val="17"/>
            </w:pPr>
            <w:r>
              <w:t>4.40</w:t>
            </w:r>
          </w:p>
        </w:tc>
        <w:tc>
          <w:tcPr>
            <w:tcW w:w="4228" w:type="dxa"/>
            <w:gridSpan w:val="2"/>
            <w:vAlign w:val="center"/>
          </w:tcPr>
          <w:p>
            <w:pPr>
              <w:pStyle w:val="17"/>
            </w:pPr>
            <w:r>
              <w:t>4.40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1.保障原乡镇老放映员每月准时足额收到生活补贴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发放补助人数</w:t>
            </w:r>
          </w:p>
        </w:tc>
        <w:tc>
          <w:tcPr>
            <w:tcW w:w="4228" w:type="dxa"/>
            <w:vAlign w:val="center"/>
          </w:tcPr>
          <w:p>
            <w:pPr>
              <w:pStyle w:val="16"/>
            </w:pPr>
            <w:r>
              <w:t>2024年发放补贴的原乡镇老放映员人数</w:t>
            </w:r>
          </w:p>
        </w:tc>
        <w:tc>
          <w:tcPr>
            <w:tcW w:w="2114" w:type="dxa"/>
            <w:vAlign w:val="center"/>
          </w:tcPr>
          <w:p>
            <w:pPr>
              <w:pStyle w:val="16"/>
            </w:pPr>
            <w:r>
              <w:t>40人</w:t>
            </w:r>
          </w:p>
        </w:tc>
        <w:tc>
          <w:tcPr>
            <w:tcW w:w="2114" w:type="dxa"/>
            <w:vAlign w:val="center"/>
          </w:tcPr>
          <w:p>
            <w:pPr>
              <w:pStyle w:val="16"/>
            </w:pPr>
            <w:r>
              <w:t>上级相关文件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保证足额发放补贴</w:t>
            </w:r>
          </w:p>
        </w:tc>
        <w:tc>
          <w:tcPr>
            <w:tcW w:w="4228" w:type="dxa"/>
            <w:vAlign w:val="center"/>
          </w:tcPr>
          <w:p>
            <w:pPr>
              <w:pStyle w:val="16"/>
            </w:pPr>
            <w:r>
              <w:t>按照每从事农村电影放映工作一年每月补助20元的标准发放，年满60周岁开始领取</w:t>
            </w:r>
          </w:p>
        </w:tc>
        <w:tc>
          <w:tcPr>
            <w:tcW w:w="2114" w:type="dxa"/>
            <w:vAlign w:val="center"/>
          </w:tcPr>
          <w:p>
            <w:pPr>
              <w:pStyle w:val="16"/>
            </w:pPr>
            <w:r>
              <w:t>20元/从事农村电影放映一年/月</w:t>
            </w:r>
          </w:p>
        </w:tc>
        <w:tc>
          <w:tcPr>
            <w:tcW w:w="2114" w:type="dxa"/>
            <w:vAlign w:val="center"/>
          </w:tcPr>
          <w:p>
            <w:pPr>
              <w:pStyle w:val="16"/>
            </w:pPr>
            <w:r>
              <w:t>上级相关文件（省级补助25%，县级配套75%）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确保按时发放</w:t>
            </w:r>
          </w:p>
        </w:tc>
        <w:tc>
          <w:tcPr>
            <w:tcW w:w="4228" w:type="dxa"/>
            <w:vAlign w:val="center"/>
          </w:tcPr>
          <w:p>
            <w:pPr>
              <w:pStyle w:val="16"/>
            </w:pPr>
            <w:r>
              <w:t>每月末按时发放补助</w:t>
            </w:r>
          </w:p>
        </w:tc>
        <w:tc>
          <w:tcPr>
            <w:tcW w:w="2114" w:type="dxa"/>
            <w:vAlign w:val="center"/>
          </w:tcPr>
          <w:p>
            <w:pPr>
              <w:pStyle w:val="16"/>
            </w:pPr>
            <w:r>
              <w:t>≤28号</w:t>
            </w:r>
          </w:p>
        </w:tc>
        <w:tc>
          <w:tcPr>
            <w:tcW w:w="2114"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项目总成本不超预算</w:t>
            </w:r>
          </w:p>
        </w:tc>
        <w:tc>
          <w:tcPr>
            <w:tcW w:w="2114" w:type="dxa"/>
            <w:vAlign w:val="center"/>
          </w:tcPr>
          <w:p>
            <w:pPr>
              <w:pStyle w:val="16"/>
            </w:pPr>
            <w:r>
              <w:t>≤4.44.404万元</w:t>
            </w:r>
          </w:p>
        </w:tc>
        <w:tc>
          <w:tcPr>
            <w:tcW w:w="2114" w:type="dxa"/>
            <w:vAlign w:val="center"/>
          </w:tcPr>
          <w:p>
            <w:pPr>
              <w:pStyle w:val="16"/>
            </w:pPr>
            <w:r>
              <w:t>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及时完成每年老放映员补贴的历史遗留问题</w:t>
            </w:r>
          </w:p>
        </w:tc>
        <w:tc>
          <w:tcPr>
            <w:tcW w:w="4228" w:type="dxa"/>
            <w:vAlign w:val="center"/>
          </w:tcPr>
          <w:p>
            <w:pPr>
              <w:pStyle w:val="16"/>
            </w:pPr>
            <w:r>
              <w:t>及时解决历史遗留问题，不产生相关舆情事件</w:t>
            </w:r>
          </w:p>
        </w:tc>
        <w:tc>
          <w:tcPr>
            <w:tcW w:w="2114" w:type="dxa"/>
            <w:vAlign w:val="center"/>
          </w:tcPr>
          <w:p>
            <w:pPr>
              <w:pStyle w:val="16"/>
            </w:pPr>
            <w:r>
              <w:t>&lt;1件</w:t>
            </w:r>
          </w:p>
        </w:tc>
        <w:tc>
          <w:tcPr>
            <w:tcW w:w="2114" w:type="dxa"/>
            <w:vAlign w:val="center"/>
          </w:tcPr>
          <w:p>
            <w:pPr>
              <w:pStyle w:val="16"/>
            </w:pPr>
            <w:r>
              <w:t>上级相关文件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原乡镇老放映员对补贴发放的满意度</w:t>
            </w:r>
          </w:p>
        </w:tc>
        <w:tc>
          <w:tcPr>
            <w:tcW w:w="4228" w:type="dxa"/>
            <w:vAlign w:val="center"/>
          </w:tcPr>
          <w:p>
            <w:pPr>
              <w:pStyle w:val="16"/>
            </w:pPr>
            <w:r>
              <w:t>原乡镇老放映员对补贴发放的满意度</w:t>
            </w:r>
          </w:p>
        </w:tc>
        <w:tc>
          <w:tcPr>
            <w:tcW w:w="2114" w:type="dxa"/>
            <w:vAlign w:val="center"/>
          </w:tcPr>
          <w:p>
            <w:pPr>
              <w:pStyle w:val="16"/>
            </w:pPr>
            <w:r>
              <w:t>100%</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9、老放映员生活补贴县级配套（农村文化建设）绩效目标表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13052524P000006109698</w:t>
            </w:r>
          </w:p>
        </w:tc>
        <w:tc>
          <w:tcPr>
            <w:tcW w:w="2114" w:type="dxa"/>
            <w:vAlign w:val="center"/>
          </w:tcPr>
          <w:p>
            <w:pPr>
              <w:pStyle w:val="14"/>
            </w:pPr>
            <w:r>
              <w:t>项目名称</w:t>
            </w:r>
          </w:p>
        </w:tc>
        <w:tc>
          <w:tcPr>
            <w:tcW w:w="6342" w:type="dxa"/>
            <w:gridSpan w:val="3"/>
            <w:vAlign w:val="center"/>
          </w:tcPr>
          <w:p>
            <w:pPr>
              <w:pStyle w:val="16"/>
            </w:pPr>
            <w:r>
              <w:t>老放映员生活补贴县级配套（农村文化建设）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13.21</w:t>
            </w:r>
          </w:p>
        </w:tc>
        <w:tc>
          <w:tcPr>
            <w:tcW w:w="2114" w:type="dxa"/>
            <w:vAlign w:val="center"/>
          </w:tcPr>
          <w:p>
            <w:pPr>
              <w:pStyle w:val="14"/>
            </w:pPr>
            <w:r>
              <w:t>其中：财政    资金</w:t>
            </w:r>
          </w:p>
        </w:tc>
        <w:tc>
          <w:tcPr>
            <w:tcW w:w="2114" w:type="dxa"/>
            <w:vAlign w:val="center"/>
          </w:tcPr>
          <w:p>
            <w:pPr>
              <w:pStyle w:val="16"/>
            </w:pPr>
            <w:r>
              <w:t>13.21</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用于2024年原乡镇老放映员生活补贴发放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 xml:space="preserve"> </w:t>
            </w:r>
          </w:p>
        </w:tc>
        <w:tc>
          <w:tcPr>
            <w:tcW w:w="2114" w:type="dxa"/>
            <w:vAlign w:val="center"/>
          </w:tcPr>
          <w:p>
            <w:pPr>
              <w:pStyle w:val="17"/>
            </w:pPr>
            <w:r>
              <w:t>4.40</w:t>
            </w:r>
          </w:p>
        </w:tc>
        <w:tc>
          <w:tcPr>
            <w:tcW w:w="2114" w:type="dxa"/>
            <w:vAlign w:val="center"/>
          </w:tcPr>
          <w:p>
            <w:pPr>
              <w:pStyle w:val="17"/>
            </w:pPr>
            <w:r>
              <w:t>10.28</w:t>
            </w:r>
          </w:p>
        </w:tc>
        <w:tc>
          <w:tcPr>
            <w:tcW w:w="4228" w:type="dxa"/>
            <w:gridSpan w:val="2"/>
            <w:vAlign w:val="center"/>
          </w:tcPr>
          <w:p>
            <w:pPr>
              <w:pStyle w:val="17"/>
            </w:pPr>
            <w:r>
              <w:t>13.21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1.保障原乡镇老放映员每月准时足额收到生活补贴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发放补助人数</w:t>
            </w:r>
          </w:p>
        </w:tc>
        <w:tc>
          <w:tcPr>
            <w:tcW w:w="4228" w:type="dxa"/>
            <w:vAlign w:val="center"/>
          </w:tcPr>
          <w:p>
            <w:pPr>
              <w:pStyle w:val="16"/>
            </w:pPr>
            <w:r>
              <w:t>2024年发放补贴的原乡镇老放映员人数</w:t>
            </w:r>
          </w:p>
        </w:tc>
        <w:tc>
          <w:tcPr>
            <w:tcW w:w="2114" w:type="dxa"/>
            <w:vAlign w:val="center"/>
          </w:tcPr>
          <w:p>
            <w:pPr>
              <w:pStyle w:val="16"/>
            </w:pPr>
            <w:r>
              <w:t>40人</w:t>
            </w:r>
          </w:p>
        </w:tc>
        <w:tc>
          <w:tcPr>
            <w:tcW w:w="2114" w:type="dxa"/>
            <w:vAlign w:val="center"/>
          </w:tcPr>
          <w:p>
            <w:pPr>
              <w:pStyle w:val="16"/>
            </w:pPr>
            <w:r>
              <w:t>上级相关文件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保证足额发放补贴</w:t>
            </w:r>
          </w:p>
        </w:tc>
        <w:tc>
          <w:tcPr>
            <w:tcW w:w="4228" w:type="dxa"/>
            <w:vAlign w:val="center"/>
          </w:tcPr>
          <w:p>
            <w:pPr>
              <w:pStyle w:val="16"/>
            </w:pPr>
            <w:r>
              <w:t>按照每从事农村电影放映工作一年每月补助20元的标准发放，年满60周岁开始领取</w:t>
            </w:r>
          </w:p>
        </w:tc>
        <w:tc>
          <w:tcPr>
            <w:tcW w:w="2114" w:type="dxa"/>
            <w:vAlign w:val="center"/>
          </w:tcPr>
          <w:p>
            <w:pPr>
              <w:pStyle w:val="16"/>
            </w:pPr>
            <w:r>
              <w:t>20元/从事农村电影放映一年/月</w:t>
            </w:r>
          </w:p>
        </w:tc>
        <w:tc>
          <w:tcPr>
            <w:tcW w:w="2114" w:type="dxa"/>
            <w:vAlign w:val="center"/>
          </w:tcPr>
          <w:p>
            <w:pPr>
              <w:pStyle w:val="16"/>
            </w:pPr>
            <w:r>
              <w:t>上级相关文件（省级补助25%，县级配套75%）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确保按时发放</w:t>
            </w:r>
          </w:p>
        </w:tc>
        <w:tc>
          <w:tcPr>
            <w:tcW w:w="4228" w:type="dxa"/>
            <w:vAlign w:val="center"/>
          </w:tcPr>
          <w:p>
            <w:pPr>
              <w:pStyle w:val="16"/>
            </w:pPr>
            <w:r>
              <w:t>每月末按时发放补助</w:t>
            </w:r>
          </w:p>
        </w:tc>
        <w:tc>
          <w:tcPr>
            <w:tcW w:w="2114" w:type="dxa"/>
            <w:vAlign w:val="center"/>
          </w:tcPr>
          <w:p>
            <w:pPr>
              <w:pStyle w:val="16"/>
            </w:pPr>
            <w:r>
              <w:t>≤28号</w:t>
            </w:r>
          </w:p>
        </w:tc>
        <w:tc>
          <w:tcPr>
            <w:tcW w:w="2114"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项目总成本不超预算</w:t>
            </w:r>
          </w:p>
        </w:tc>
        <w:tc>
          <w:tcPr>
            <w:tcW w:w="2114" w:type="dxa"/>
            <w:vAlign w:val="center"/>
          </w:tcPr>
          <w:p>
            <w:pPr>
              <w:pStyle w:val="16"/>
            </w:pPr>
            <w:r>
              <w:t>≤13.2113.212万元</w:t>
            </w:r>
          </w:p>
        </w:tc>
        <w:tc>
          <w:tcPr>
            <w:tcW w:w="2114" w:type="dxa"/>
            <w:vAlign w:val="center"/>
          </w:tcPr>
          <w:p>
            <w:pPr>
              <w:pStyle w:val="16"/>
            </w:pPr>
            <w:r>
              <w:t>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及时完成每年老放映员补贴的历史遗留问题</w:t>
            </w:r>
          </w:p>
        </w:tc>
        <w:tc>
          <w:tcPr>
            <w:tcW w:w="4228" w:type="dxa"/>
            <w:vAlign w:val="center"/>
          </w:tcPr>
          <w:p>
            <w:pPr>
              <w:pStyle w:val="16"/>
            </w:pPr>
            <w:r>
              <w:t>及时解决历史遗留问题，不产生相关舆情事件</w:t>
            </w:r>
          </w:p>
        </w:tc>
        <w:tc>
          <w:tcPr>
            <w:tcW w:w="2114" w:type="dxa"/>
            <w:vAlign w:val="center"/>
          </w:tcPr>
          <w:p>
            <w:pPr>
              <w:pStyle w:val="16"/>
            </w:pPr>
            <w:r>
              <w:t>0件</w:t>
            </w:r>
          </w:p>
        </w:tc>
        <w:tc>
          <w:tcPr>
            <w:tcW w:w="2114" w:type="dxa"/>
            <w:vAlign w:val="center"/>
          </w:tcPr>
          <w:p>
            <w:pPr>
              <w:pStyle w:val="16"/>
            </w:pPr>
            <w:r>
              <w:t>上级相关文件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原乡镇老放映员对补贴发放的满意度</w:t>
            </w:r>
          </w:p>
        </w:tc>
        <w:tc>
          <w:tcPr>
            <w:tcW w:w="4228" w:type="dxa"/>
            <w:vAlign w:val="center"/>
          </w:tcPr>
          <w:p>
            <w:pPr>
              <w:pStyle w:val="16"/>
            </w:pPr>
            <w:r>
              <w:t>原乡镇老放映员对补贴发放的满意度</w:t>
            </w:r>
          </w:p>
        </w:tc>
        <w:tc>
          <w:tcPr>
            <w:tcW w:w="2114" w:type="dxa"/>
            <w:vAlign w:val="center"/>
          </w:tcPr>
          <w:p>
            <w:pPr>
              <w:pStyle w:val="16"/>
            </w:pPr>
            <w:r>
              <w:t>100%</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10、媒体合作宣传经费绩效目标表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13052524P00000610956H</w:t>
            </w:r>
          </w:p>
        </w:tc>
        <w:tc>
          <w:tcPr>
            <w:tcW w:w="2114" w:type="dxa"/>
            <w:vAlign w:val="center"/>
          </w:tcPr>
          <w:p>
            <w:pPr>
              <w:pStyle w:val="14"/>
            </w:pPr>
            <w:r>
              <w:t>项目名称</w:t>
            </w:r>
          </w:p>
        </w:tc>
        <w:tc>
          <w:tcPr>
            <w:tcW w:w="6342" w:type="dxa"/>
            <w:gridSpan w:val="3"/>
            <w:vAlign w:val="center"/>
          </w:tcPr>
          <w:p>
            <w:pPr>
              <w:pStyle w:val="16"/>
            </w:pPr>
            <w:r>
              <w:t>媒体合作宣传经费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120.00</w:t>
            </w:r>
          </w:p>
        </w:tc>
        <w:tc>
          <w:tcPr>
            <w:tcW w:w="2114" w:type="dxa"/>
            <w:vAlign w:val="center"/>
          </w:tcPr>
          <w:p>
            <w:pPr>
              <w:pStyle w:val="14"/>
            </w:pPr>
            <w:r>
              <w:t>其中：财政    资金</w:t>
            </w:r>
          </w:p>
        </w:tc>
        <w:tc>
          <w:tcPr>
            <w:tcW w:w="2114" w:type="dxa"/>
            <w:vAlign w:val="center"/>
          </w:tcPr>
          <w:p>
            <w:pPr>
              <w:pStyle w:val="16"/>
            </w:pPr>
            <w:r>
              <w:t>120.00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用于和上级媒体签订合作协议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50.00</w:t>
            </w:r>
          </w:p>
        </w:tc>
        <w:tc>
          <w:tcPr>
            <w:tcW w:w="2114" w:type="dxa"/>
            <w:vAlign w:val="center"/>
          </w:tcPr>
          <w:p>
            <w:pPr>
              <w:pStyle w:val="17"/>
            </w:pPr>
            <w:r>
              <w:t>80.00</w:t>
            </w:r>
          </w:p>
        </w:tc>
        <w:tc>
          <w:tcPr>
            <w:tcW w:w="2114" w:type="dxa"/>
            <w:vAlign w:val="center"/>
          </w:tcPr>
          <w:p>
            <w:pPr>
              <w:pStyle w:val="17"/>
            </w:pPr>
            <w:r>
              <w:t>120.00</w:t>
            </w:r>
          </w:p>
        </w:tc>
        <w:tc>
          <w:tcPr>
            <w:tcW w:w="4228" w:type="dxa"/>
            <w:gridSpan w:val="2"/>
            <w:vAlign w:val="center"/>
          </w:tcPr>
          <w:p>
            <w:pPr>
              <w:pStyle w:val="17"/>
            </w:pPr>
            <w:r>
              <w:t>120.00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1.增强与中央和省市级主要媒体的沟通合作</w:t>
            </w:r>
          </w:p>
          <w:p>
            <w:pPr>
              <w:pStyle w:val="16"/>
            </w:pPr>
            <w:r>
              <w:t>2.强化对外对上宣传力度，提高外宣考核位次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合作媒体签约数量</w:t>
            </w:r>
          </w:p>
        </w:tc>
        <w:tc>
          <w:tcPr>
            <w:tcW w:w="4228" w:type="dxa"/>
            <w:vAlign w:val="center"/>
          </w:tcPr>
          <w:p>
            <w:pPr>
              <w:pStyle w:val="16"/>
            </w:pPr>
            <w:r>
              <w:t>2024年合作媒体签约总数量</w:t>
            </w:r>
          </w:p>
        </w:tc>
        <w:tc>
          <w:tcPr>
            <w:tcW w:w="2114" w:type="dxa"/>
            <w:vAlign w:val="center"/>
          </w:tcPr>
          <w:p>
            <w:pPr>
              <w:pStyle w:val="16"/>
            </w:pPr>
            <w:r>
              <w:t>≥7家</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稿件刊登数提升</w:t>
            </w:r>
          </w:p>
        </w:tc>
        <w:tc>
          <w:tcPr>
            <w:tcW w:w="4228" w:type="dxa"/>
            <w:vAlign w:val="center"/>
          </w:tcPr>
          <w:p>
            <w:pPr>
              <w:pStyle w:val="16"/>
            </w:pPr>
            <w:r>
              <w:t>通过合作提高我县稿件刊登数量</w:t>
            </w:r>
          </w:p>
        </w:tc>
        <w:tc>
          <w:tcPr>
            <w:tcW w:w="2114" w:type="dxa"/>
            <w:vAlign w:val="center"/>
          </w:tcPr>
          <w:p>
            <w:pPr>
              <w:pStyle w:val="16"/>
            </w:pPr>
            <w:r>
              <w:t>≥10%</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合作协议签约时效</w:t>
            </w:r>
          </w:p>
        </w:tc>
        <w:tc>
          <w:tcPr>
            <w:tcW w:w="4228" w:type="dxa"/>
            <w:vAlign w:val="center"/>
          </w:tcPr>
          <w:p>
            <w:pPr>
              <w:pStyle w:val="16"/>
            </w:pPr>
            <w:r>
              <w:t>媒体合作合同到期前或确定合作意向后签约时效</w:t>
            </w:r>
          </w:p>
        </w:tc>
        <w:tc>
          <w:tcPr>
            <w:tcW w:w="2114" w:type="dxa"/>
            <w:vAlign w:val="center"/>
          </w:tcPr>
          <w:p>
            <w:pPr>
              <w:pStyle w:val="16"/>
            </w:pPr>
            <w:r>
              <w:t>≤15天</w:t>
            </w:r>
          </w:p>
        </w:tc>
        <w:tc>
          <w:tcPr>
            <w:tcW w:w="2114" w:type="dxa"/>
            <w:vAlign w:val="center"/>
          </w:tcPr>
          <w:p>
            <w:pPr>
              <w:pStyle w:val="16"/>
            </w:pPr>
            <w:r>
              <w:t>媒体合作相关要求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完成合作签约总支出</w:t>
            </w:r>
          </w:p>
        </w:tc>
        <w:tc>
          <w:tcPr>
            <w:tcW w:w="2114" w:type="dxa"/>
            <w:vAlign w:val="center"/>
          </w:tcPr>
          <w:p>
            <w:pPr>
              <w:pStyle w:val="16"/>
            </w:pPr>
            <w:r>
              <w:t>≤120万元</w:t>
            </w:r>
          </w:p>
        </w:tc>
        <w:tc>
          <w:tcPr>
            <w:tcW w:w="2114" w:type="dxa"/>
            <w:vAlign w:val="center"/>
          </w:tcPr>
          <w:p>
            <w:pPr>
              <w:pStyle w:val="16"/>
            </w:pPr>
            <w:r>
              <w:t>项目总预算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对外宣传考核排名位次提升</w:t>
            </w:r>
          </w:p>
        </w:tc>
        <w:tc>
          <w:tcPr>
            <w:tcW w:w="4228" w:type="dxa"/>
            <w:vAlign w:val="center"/>
          </w:tcPr>
          <w:p>
            <w:pPr>
              <w:pStyle w:val="16"/>
            </w:pPr>
            <w:r>
              <w:t>隆尧县对外宣传考核排名位次提升</w:t>
            </w:r>
          </w:p>
        </w:tc>
        <w:tc>
          <w:tcPr>
            <w:tcW w:w="2114" w:type="dxa"/>
            <w:vAlign w:val="center"/>
          </w:tcPr>
          <w:p>
            <w:pPr>
              <w:pStyle w:val="16"/>
            </w:pPr>
            <w:r>
              <w:t>≥1位次</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群众对我县对外宣传工作满意度</w:t>
            </w:r>
          </w:p>
        </w:tc>
        <w:tc>
          <w:tcPr>
            <w:tcW w:w="2114" w:type="dxa"/>
            <w:vAlign w:val="center"/>
          </w:tcPr>
          <w:p>
            <w:pPr>
              <w:pStyle w:val="16"/>
            </w:pPr>
            <w:r>
              <w:t>≥85%</w:t>
            </w:r>
          </w:p>
        </w:tc>
        <w:tc>
          <w:tcPr>
            <w:tcW w:w="2114" w:type="dxa"/>
            <w:vAlign w:val="center"/>
          </w:tcPr>
          <w:p>
            <w:pPr>
              <w:pStyle w:val="16"/>
            </w:pPr>
            <w:r>
              <w:t>2023数据测算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11、农村公益电影放映县级配套补贴资金绩效目标表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13052524P00000610968L</w:t>
            </w:r>
          </w:p>
        </w:tc>
        <w:tc>
          <w:tcPr>
            <w:tcW w:w="2114" w:type="dxa"/>
            <w:vAlign w:val="center"/>
          </w:tcPr>
          <w:p>
            <w:pPr>
              <w:pStyle w:val="14"/>
            </w:pPr>
            <w:r>
              <w:t>项目名称</w:t>
            </w:r>
          </w:p>
        </w:tc>
        <w:tc>
          <w:tcPr>
            <w:tcW w:w="6342" w:type="dxa"/>
            <w:gridSpan w:val="3"/>
            <w:vAlign w:val="center"/>
          </w:tcPr>
          <w:p>
            <w:pPr>
              <w:pStyle w:val="16"/>
            </w:pPr>
            <w:r>
              <w:t>农村公益电影放映县级配套补贴资金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31.15</w:t>
            </w:r>
          </w:p>
        </w:tc>
        <w:tc>
          <w:tcPr>
            <w:tcW w:w="2114" w:type="dxa"/>
            <w:vAlign w:val="center"/>
          </w:tcPr>
          <w:p>
            <w:pPr>
              <w:pStyle w:val="14"/>
            </w:pPr>
            <w:r>
              <w:t>其中：财政    资金</w:t>
            </w:r>
          </w:p>
        </w:tc>
        <w:tc>
          <w:tcPr>
            <w:tcW w:w="2114" w:type="dxa"/>
            <w:vAlign w:val="center"/>
          </w:tcPr>
          <w:p>
            <w:pPr>
              <w:pStyle w:val="16"/>
            </w:pPr>
            <w:r>
              <w:t>31.15</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用于2024年农村公益电影放映补贴工作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8.95</w:t>
            </w:r>
          </w:p>
        </w:tc>
        <w:tc>
          <w:tcPr>
            <w:tcW w:w="2114" w:type="dxa"/>
            <w:vAlign w:val="center"/>
          </w:tcPr>
          <w:p>
            <w:pPr>
              <w:pStyle w:val="17"/>
            </w:pPr>
            <w:r>
              <w:t>8.95</w:t>
            </w:r>
          </w:p>
        </w:tc>
        <w:tc>
          <w:tcPr>
            <w:tcW w:w="2114" w:type="dxa"/>
            <w:vAlign w:val="center"/>
          </w:tcPr>
          <w:p>
            <w:pPr>
              <w:pStyle w:val="17"/>
            </w:pPr>
            <w:r>
              <w:t>8.95</w:t>
            </w:r>
          </w:p>
        </w:tc>
        <w:tc>
          <w:tcPr>
            <w:tcW w:w="4228" w:type="dxa"/>
            <w:gridSpan w:val="2"/>
            <w:vAlign w:val="center"/>
          </w:tcPr>
          <w:p>
            <w:pPr>
              <w:pStyle w:val="17"/>
            </w:pPr>
            <w:r>
              <w:t>31.15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1.全县276个行政村每村每月2场，一年共放映3312场，在5月-10月放映公益电影，根据场次进行相应补助。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635"/>
        <w:gridCol w:w="25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1635" w:type="dxa"/>
            <w:vAlign w:val="center"/>
          </w:tcPr>
          <w:p>
            <w:pPr>
              <w:pStyle w:val="14"/>
            </w:pPr>
            <w:r>
              <w:t>指标值</w:t>
            </w:r>
          </w:p>
        </w:tc>
        <w:tc>
          <w:tcPr>
            <w:tcW w:w="259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公益电影放映数量</w:t>
            </w:r>
          </w:p>
        </w:tc>
        <w:tc>
          <w:tcPr>
            <w:tcW w:w="4228" w:type="dxa"/>
            <w:vAlign w:val="center"/>
          </w:tcPr>
          <w:p>
            <w:pPr>
              <w:pStyle w:val="16"/>
            </w:pPr>
            <w:r>
              <w:t>全县276个行政村共放映3312场</w:t>
            </w:r>
          </w:p>
        </w:tc>
        <w:tc>
          <w:tcPr>
            <w:tcW w:w="1635" w:type="dxa"/>
            <w:vAlign w:val="center"/>
          </w:tcPr>
          <w:p>
            <w:pPr>
              <w:pStyle w:val="16"/>
            </w:pPr>
            <w:r>
              <w:t>≥3312场</w:t>
            </w:r>
          </w:p>
        </w:tc>
        <w:tc>
          <w:tcPr>
            <w:tcW w:w="2593" w:type="dxa"/>
            <w:vAlign w:val="center"/>
          </w:tcPr>
          <w:p>
            <w:pPr>
              <w:pStyle w:val="16"/>
            </w:pPr>
            <w:r>
              <w:t>关于切实落实2023年度农村公益电影放映资金拨付工作的通知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保证上级安排的影片放映到位，补助按标准执行</w:t>
            </w:r>
          </w:p>
        </w:tc>
        <w:tc>
          <w:tcPr>
            <w:tcW w:w="4228" w:type="dxa"/>
            <w:vAlign w:val="center"/>
          </w:tcPr>
          <w:p>
            <w:pPr>
              <w:pStyle w:val="16"/>
            </w:pPr>
            <w:r>
              <w:t>保证上级安排的影片放映到位，补助按标准执行</w:t>
            </w:r>
          </w:p>
        </w:tc>
        <w:tc>
          <w:tcPr>
            <w:tcW w:w="1635" w:type="dxa"/>
            <w:vAlign w:val="center"/>
          </w:tcPr>
          <w:p>
            <w:pPr>
              <w:pStyle w:val="16"/>
            </w:pPr>
            <w:r>
              <w:t>200元/场</w:t>
            </w:r>
          </w:p>
        </w:tc>
        <w:tc>
          <w:tcPr>
            <w:tcW w:w="2593" w:type="dxa"/>
            <w:vAlign w:val="center"/>
          </w:tcPr>
          <w:p>
            <w:pPr>
              <w:pStyle w:val="16"/>
            </w:pPr>
            <w:r>
              <w:t>关于切实落实2023年度农村公益电影放映资金拨付工作的通知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按时放映</w:t>
            </w:r>
          </w:p>
        </w:tc>
        <w:tc>
          <w:tcPr>
            <w:tcW w:w="4228" w:type="dxa"/>
            <w:vAlign w:val="center"/>
          </w:tcPr>
          <w:p>
            <w:pPr>
              <w:pStyle w:val="16"/>
            </w:pPr>
            <w:r>
              <w:t>5月-10月，每个行政村每月至少2场</w:t>
            </w:r>
          </w:p>
        </w:tc>
        <w:tc>
          <w:tcPr>
            <w:tcW w:w="1635" w:type="dxa"/>
            <w:vAlign w:val="center"/>
          </w:tcPr>
          <w:p>
            <w:pPr>
              <w:pStyle w:val="16"/>
            </w:pPr>
            <w:r>
              <w:t>≥2场/村/月</w:t>
            </w:r>
          </w:p>
        </w:tc>
        <w:tc>
          <w:tcPr>
            <w:tcW w:w="2593" w:type="dxa"/>
            <w:vAlign w:val="center"/>
          </w:tcPr>
          <w:p>
            <w:pPr>
              <w:pStyle w:val="16"/>
            </w:pPr>
            <w:r>
              <w:t>关于切实落实2023年度农村公益电影放映资金拨付工作的通知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项目总成本不超预算</w:t>
            </w:r>
          </w:p>
        </w:tc>
        <w:tc>
          <w:tcPr>
            <w:tcW w:w="1635" w:type="dxa"/>
            <w:vAlign w:val="center"/>
          </w:tcPr>
          <w:p>
            <w:pPr>
              <w:pStyle w:val="16"/>
            </w:pPr>
            <w:r>
              <w:t>≤31.1531.152万元</w:t>
            </w:r>
          </w:p>
        </w:tc>
        <w:tc>
          <w:tcPr>
            <w:tcW w:w="2593" w:type="dxa"/>
            <w:vAlign w:val="center"/>
          </w:tcPr>
          <w:p>
            <w:pPr>
              <w:pStyle w:val="16"/>
            </w:pPr>
            <w:r>
              <w:t>关于切实落实2023年度农村公益电影放映资金拨付工作的通知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提高全县农村文化娱乐水平</w:t>
            </w:r>
          </w:p>
        </w:tc>
        <w:tc>
          <w:tcPr>
            <w:tcW w:w="4228" w:type="dxa"/>
            <w:vAlign w:val="center"/>
          </w:tcPr>
          <w:p>
            <w:pPr>
              <w:pStyle w:val="16"/>
            </w:pPr>
            <w:r>
              <w:t>提高全县农村文化娱乐水平，确保上级安排的影片播放率</w:t>
            </w:r>
          </w:p>
        </w:tc>
        <w:tc>
          <w:tcPr>
            <w:tcW w:w="1635" w:type="dxa"/>
            <w:vAlign w:val="center"/>
          </w:tcPr>
          <w:p>
            <w:pPr>
              <w:pStyle w:val="16"/>
            </w:pPr>
            <w:r>
              <w:t>≥95%</w:t>
            </w:r>
          </w:p>
        </w:tc>
        <w:tc>
          <w:tcPr>
            <w:tcW w:w="2593" w:type="dxa"/>
            <w:vAlign w:val="center"/>
          </w:tcPr>
          <w:p>
            <w:pPr>
              <w:pStyle w:val="16"/>
            </w:pPr>
            <w:r>
              <w:t>关于切实落实2023年度农村公益电影放映资金拨付工作的通知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我县群众对公益电影放映的满意程度</w:t>
            </w:r>
          </w:p>
        </w:tc>
        <w:tc>
          <w:tcPr>
            <w:tcW w:w="4228" w:type="dxa"/>
            <w:vAlign w:val="center"/>
          </w:tcPr>
          <w:p>
            <w:pPr>
              <w:pStyle w:val="16"/>
            </w:pPr>
            <w:r>
              <w:t>我县群众对公益电影放映的满意程度</w:t>
            </w:r>
          </w:p>
        </w:tc>
        <w:tc>
          <w:tcPr>
            <w:tcW w:w="1635" w:type="dxa"/>
            <w:vAlign w:val="center"/>
          </w:tcPr>
          <w:p>
            <w:pPr>
              <w:pStyle w:val="16"/>
            </w:pPr>
            <w:r>
              <w:t>≥85%</w:t>
            </w:r>
          </w:p>
        </w:tc>
        <w:tc>
          <w:tcPr>
            <w:tcW w:w="2593"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12、省级文明县城创建经费绩效目标表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13052524P00000610963J</w:t>
            </w:r>
          </w:p>
        </w:tc>
        <w:tc>
          <w:tcPr>
            <w:tcW w:w="2114" w:type="dxa"/>
            <w:vAlign w:val="center"/>
          </w:tcPr>
          <w:p>
            <w:pPr>
              <w:pStyle w:val="14"/>
            </w:pPr>
            <w:r>
              <w:t>项目名称</w:t>
            </w:r>
          </w:p>
        </w:tc>
        <w:tc>
          <w:tcPr>
            <w:tcW w:w="6342" w:type="dxa"/>
            <w:gridSpan w:val="3"/>
            <w:vAlign w:val="center"/>
          </w:tcPr>
          <w:p>
            <w:pPr>
              <w:pStyle w:val="16"/>
            </w:pPr>
            <w:r>
              <w:t>省级文明县城创建经费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25.60</w:t>
            </w:r>
          </w:p>
        </w:tc>
        <w:tc>
          <w:tcPr>
            <w:tcW w:w="2114" w:type="dxa"/>
            <w:vAlign w:val="center"/>
          </w:tcPr>
          <w:p>
            <w:pPr>
              <w:pStyle w:val="14"/>
            </w:pPr>
            <w:r>
              <w:t>其中：财政    资金</w:t>
            </w:r>
          </w:p>
        </w:tc>
        <w:tc>
          <w:tcPr>
            <w:tcW w:w="2114" w:type="dxa"/>
            <w:vAlign w:val="center"/>
          </w:tcPr>
          <w:p>
            <w:pPr>
              <w:pStyle w:val="16"/>
            </w:pPr>
            <w:r>
              <w:t>25.60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用于2024年创建省级文明县城相关工作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5.00</w:t>
            </w:r>
          </w:p>
        </w:tc>
        <w:tc>
          <w:tcPr>
            <w:tcW w:w="2114" w:type="dxa"/>
            <w:vAlign w:val="center"/>
          </w:tcPr>
          <w:p>
            <w:pPr>
              <w:pStyle w:val="17"/>
            </w:pPr>
            <w:r>
              <w:t>15.60</w:t>
            </w:r>
          </w:p>
        </w:tc>
        <w:tc>
          <w:tcPr>
            <w:tcW w:w="2114" w:type="dxa"/>
            <w:vAlign w:val="center"/>
          </w:tcPr>
          <w:p>
            <w:pPr>
              <w:pStyle w:val="17"/>
            </w:pPr>
            <w:r>
              <w:t>25.60</w:t>
            </w:r>
          </w:p>
        </w:tc>
        <w:tc>
          <w:tcPr>
            <w:tcW w:w="4228" w:type="dxa"/>
            <w:gridSpan w:val="2"/>
            <w:vAlign w:val="center"/>
          </w:tcPr>
          <w:p>
            <w:pPr>
              <w:pStyle w:val="17"/>
            </w:pPr>
            <w:r>
              <w:t>25.60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1.保障省级文明县城创建工作顺利开展，保障省级文明县城创建点位公益广告数量和质量</w:t>
            </w:r>
          </w:p>
          <w:p>
            <w:pPr>
              <w:pStyle w:val="16"/>
            </w:pPr>
            <w:r>
              <w:t>2.保障创城办日常工作顺利进行、隆尧文明网正常运行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创城点位公益广告数量覆盖率</w:t>
            </w:r>
          </w:p>
        </w:tc>
        <w:tc>
          <w:tcPr>
            <w:tcW w:w="4228" w:type="dxa"/>
            <w:vAlign w:val="center"/>
          </w:tcPr>
          <w:p>
            <w:pPr>
              <w:pStyle w:val="16"/>
            </w:pPr>
            <w:r>
              <w:t>按规定密度保证创城点位公益广告数量覆盖率</w:t>
            </w:r>
          </w:p>
        </w:tc>
        <w:tc>
          <w:tcPr>
            <w:tcW w:w="2114" w:type="dxa"/>
            <w:vAlign w:val="center"/>
          </w:tcPr>
          <w:p>
            <w:pPr>
              <w:pStyle w:val="16"/>
            </w:pPr>
            <w:r>
              <w:t>≥98%</w:t>
            </w:r>
          </w:p>
        </w:tc>
        <w:tc>
          <w:tcPr>
            <w:tcW w:w="2114" w:type="dxa"/>
            <w:vAlign w:val="center"/>
          </w:tcPr>
          <w:p>
            <w:pPr>
              <w:pStyle w:val="16"/>
            </w:pPr>
            <w:r>
              <w:t>隆字〔2023〕11号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保证创城申报材料高质量上传、隆尧文明网正常运行</w:t>
            </w:r>
          </w:p>
        </w:tc>
        <w:tc>
          <w:tcPr>
            <w:tcW w:w="4228" w:type="dxa"/>
            <w:vAlign w:val="center"/>
          </w:tcPr>
          <w:p>
            <w:pPr>
              <w:pStyle w:val="16"/>
            </w:pPr>
            <w:r>
              <w:t>创城申报材料高质量上传，考核位次提升</w:t>
            </w:r>
          </w:p>
        </w:tc>
        <w:tc>
          <w:tcPr>
            <w:tcW w:w="2114" w:type="dxa"/>
            <w:vAlign w:val="center"/>
          </w:tcPr>
          <w:p>
            <w:pPr>
              <w:pStyle w:val="16"/>
            </w:pPr>
            <w:r>
              <w:t>≥1位次</w:t>
            </w:r>
          </w:p>
        </w:tc>
        <w:tc>
          <w:tcPr>
            <w:tcW w:w="2114" w:type="dxa"/>
            <w:vAlign w:val="center"/>
          </w:tcPr>
          <w:p>
            <w:pPr>
              <w:pStyle w:val="16"/>
            </w:pPr>
            <w:r>
              <w:t>隆字〔2023〕11号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创城完成时限</w:t>
            </w:r>
          </w:p>
        </w:tc>
        <w:tc>
          <w:tcPr>
            <w:tcW w:w="4228" w:type="dxa"/>
            <w:vAlign w:val="center"/>
          </w:tcPr>
          <w:p>
            <w:pPr>
              <w:pStyle w:val="16"/>
            </w:pPr>
            <w:r>
              <w:t>2024创城工作按时限完成</w:t>
            </w:r>
          </w:p>
        </w:tc>
        <w:tc>
          <w:tcPr>
            <w:tcW w:w="2114" w:type="dxa"/>
            <w:vAlign w:val="center"/>
          </w:tcPr>
          <w:p>
            <w:pPr>
              <w:pStyle w:val="16"/>
            </w:pPr>
            <w:r>
              <w:t>≤10月</w:t>
            </w:r>
          </w:p>
        </w:tc>
        <w:tc>
          <w:tcPr>
            <w:tcW w:w="2114" w:type="dxa"/>
            <w:vAlign w:val="center"/>
          </w:tcPr>
          <w:p>
            <w:pPr>
              <w:pStyle w:val="16"/>
            </w:pPr>
            <w:r>
              <w:t>隆字〔2023〕11号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预算内支出</w:t>
            </w:r>
          </w:p>
        </w:tc>
        <w:tc>
          <w:tcPr>
            <w:tcW w:w="4228" w:type="dxa"/>
            <w:vAlign w:val="center"/>
          </w:tcPr>
          <w:p>
            <w:pPr>
              <w:pStyle w:val="16"/>
            </w:pPr>
            <w:r>
              <w:t>2024创城工作总支出</w:t>
            </w:r>
          </w:p>
        </w:tc>
        <w:tc>
          <w:tcPr>
            <w:tcW w:w="2114" w:type="dxa"/>
            <w:vAlign w:val="center"/>
          </w:tcPr>
          <w:p>
            <w:pPr>
              <w:pStyle w:val="16"/>
            </w:pPr>
            <w:r>
              <w:t>≤25.6万元</w:t>
            </w:r>
          </w:p>
        </w:tc>
        <w:tc>
          <w:tcPr>
            <w:tcW w:w="2114" w:type="dxa"/>
            <w:vAlign w:val="center"/>
          </w:tcPr>
          <w:p>
            <w:pPr>
              <w:pStyle w:val="16"/>
            </w:pPr>
            <w:r>
              <w:t>隆字〔2023〕11号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县城环境和公民素质逐步提高</w:t>
            </w:r>
          </w:p>
        </w:tc>
        <w:tc>
          <w:tcPr>
            <w:tcW w:w="4228" w:type="dxa"/>
            <w:vAlign w:val="center"/>
          </w:tcPr>
          <w:p>
            <w:pPr>
              <w:pStyle w:val="16"/>
            </w:pPr>
            <w:r>
              <w:t>县城环境和公民素质整体提升率</w:t>
            </w:r>
          </w:p>
        </w:tc>
        <w:tc>
          <w:tcPr>
            <w:tcW w:w="2114" w:type="dxa"/>
            <w:vAlign w:val="center"/>
          </w:tcPr>
          <w:p>
            <w:pPr>
              <w:pStyle w:val="16"/>
            </w:pPr>
            <w:r>
              <w:t>≥5%</w:t>
            </w:r>
          </w:p>
        </w:tc>
        <w:tc>
          <w:tcPr>
            <w:tcW w:w="2114" w:type="dxa"/>
            <w:vAlign w:val="center"/>
          </w:tcPr>
          <w:p>
            <w:pPr>
              <w:pStyle w:val="16"/>
            </w:pPr>
            <w:r>
              <w:t>隆字〔2023〕11号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我县群众对创城工作的满意程度</w:t>
            </w:r>
          </w:p>
        </w:tc>
        <w:tc>
          <w:tcPr>
            <w:tcW w:w="4228" w:type="dxa"/>
            <w:vAlign w:val="center"/>
          </w:tcPr>
          <w:p>
            <w:pPr>
              <w:pStyle w:val="16"/>
            </w:pPr>
            <w:r>
              <w:t>我县群众对创城工作的满意程度</w:t>
            </w:r>
          </w:p>
        </w:tc>
        <w:tc>
          <w:tcPr>
            <w:tcW w:w="2114" w:type="dxa"/>
            <w:vAlign w:val="center"/>
          </w:tcPr>
          <w:p>
            <w:pPr>
              <w:pStyle w:val="16"/>
            </w:pPr>
            <w:r>
              <w:t>≥90%</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13、文艺文化活动绩效目标表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13052524P00000610966D</w:t>
            </w:r>
          </w:p>
        </w:tc>
        <w:tc>
          <w:tcPr>
            <w:tcW w:w="2114" w:type="dxa"/>
            <w:vAlign w:val="center"/>
          </w:tcPr>
          <w:p>
            <w:pPr>
              <w:pStyle w:val="14"/>
            </w:pPr>
            <w:r>
              <w:t>项目名称</w:t>
            </w:r>
          </w:p>
        </w:tc>
        <w:tc>
          <w:tcPr>
            <w:tcW w:w="6342" w:type="dxa"/>
            <w:gridSpan w:val="3"/>
            <w:vAlign w:val="center"/>
          </w:tcPr>
          <w:p>
            <w:pPr>
              <w:pStyle w:val="16"/>
            </w:pPr>
            <w:r>
              <w:t>文艺文化活动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5.60</w:t>
            </w:r>
          </w:p>
        </w:tc>
        <w:tc>
          <w:tcPr>
            <w:tcW w:w="2114" w:type="dxa"/>
            <w:vAlign w:val="center"/>
          </w:tcPr>
          <w:p>
            <w:pPr>
              <w:pStyle w:val="14"/>
            </w:pPr>
            <w:r>
              <w:t>其中：财政    资金</w:t>
            </w:r>
          </w:p>
        </w:tc>
        <w:tc>
          <w:tcPr>
            <w:tcW w:w="2114" w:type="dxa"/>
            <w:vAlign w:val="center"/>
          </w:tcPr>
          <w:p>
            <w:pPr>
              <w:pStyle w:val="16"/>
            </w:pPr>
            <w:r>
              <w:t>5.60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用于2024年文艺文化活动相关支出项目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w:t>
            </w:r>
          </w:p>
        </w:tc>
        <w:tc>
          <w:tcPr>
            <w:tcW w:w="2114" w:type="dxa"/>
            <w:vAlign w:val="center"/>
          </w:tcPr>
          <w:p>
            <w:pPr>
              <w:pStyle w:val="17"/>
            </w:pPr>
            <w:r>
              <w:t>3.00</w:t>
            </w:r>
          </w:p>
        </w:tc>
        <w:tc>
          <w:tcPr>
            <w:tcW w:w="2114" w:type="dxa"/>
            <w:vAlign w:val="center"/>
          </w:tcPr>
          <w:p>
            <w:pPr>
              <w:pStyle w:val="17"/>
            </w:pPr>
            <w:r>
              <w:t>5.60</w:t>
            </w:r>
          </w:p>
        </w:tc>
        <w:tc>
          <w:tcPr>
            <w:tcW w:w="4228" w:type="dxa"/>
            <w:gridSpan w:val="2"/>
            <w:vAlign w:val="center"/>
          </w:tcPr>
          <w:p>
            <w:pPr>
              <w:pStyle w:val="17"/>
            </w:pPr>
            <w:r>
              <w:t>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1.组织歌、戏曲演唱会、文艺晚会等惠民演出，印制至少4期《尧乡诗词》</w:t>
            </w:r>
          </w:p>
          <w:p>
            <w:pPr>
              <w:pStyle w:val="16"/>
            </w:pPr>
            <w:r>
              <w:t>2.宣传部代管县文联，保障县文联正常工作运转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组织系列文艺文化活动数量</w:t>
            </w:r>
          </w:p>
        </w:tc>
        <w:tc>
          <w:tcPr>
            <w:tcW w:w="4228" w:type="dxa"/>
            <w:vAlign w:val="center"/>
          </w:tcPr>
          <w:p>
            <w:pPr>
              <w:pStyle w:val="16"/>
            </w:pPr>
            <w:r>
              <w:t>202</w:t>
            </w:r>
            <w:r>
              <w:rPr>
                <w:rFonts w:hint="eastAsia"/>
                <w:lang w:val="en-US" w:eastAsia="zh-CN"/>
              </w:rPr>
              <w:t>4</w:t>
            </w:r>
            <w:r>
              <w:t>年组织系列文艺文化活动数量</w:t>
            </w:r>
          </w:p>
        </w:tc>
        <w:tc>
          <w:tcPr>
            <w:tcW w:w="2114" w:type="dxa"/>
            <w:vAlign w:val="center"/>
          </w:tcPr>
          <w:p>
            <w:pPr>
              <w:pStyle w:val="16"/>
            </w:pPr>
            <w:r>
              <w:t>≥4场</w:t>
            </w:r>
          </w:p>
        </w:tc>
        <w:tc>
          <w:tcPr>
            <w:tcW w:w="2114" w:type="dxa"/>
            <w:vAlign w:val="center"/>
          </w:tcPr>
          <w:p>
            <w:pPr>
              <w:pStyle w:val="16"/>
            </w:pPr>
            <w:r>
              <w:t>2024文联工作计划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保证各项文化活动高标准高质量完成</w:t>
            </w:r>
          </w:p>
        </w:tc>
        <w:tc>
          <w:tcPr>
            <w:tcW w:w="4228" w:type="dxa"/>
            <w:vAlign w:val="center"/>
          </w:tcPr>
          <w:p>
            <w:pPr>
              <w:pStyle w:val="16"/>
            </w:pPr>
            <w:r>
              <w:t>组织文化活动场均参与人次</w:t>
            </w:r>
          </w:p>
        </w:tc>
        <w:tc>
          <w:tcPr>
            <w:tcW w:w="2114" w:type="dxa"/>
            <w:vAlign w:val="center"/>
          </w:tcPr>
          <w:p>
            <w:pPr>
              <w:pStyle w:val="16"/>
            </w:pPr>
            <w:r>
              <w:t>≥300人次</w:t>
            </w:r>
          </w:p>
        </w:tc>
        <w:tc>
          <w:tcPr>
            <w:tcW w:w="2114" w:type="dxa"/>
            <w:vAlign w:val="center"/>
          </w:tcPr>
          <w:p>
            <w:pPr>
              <w:pStyle w:val="16"/>
            </w:pPr>
            <w:r>
              <w:t>2024文联工作计划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各项活动按时完成</w:t>
            </w:r>
          </w:p>
        </w:tc>
        <w:tc>
          <w:tcPr>
            <w:tcW w:w="4228" w:type="dxa"/>
            <w:vAlign w:val="center"/>
          </w:tcPr>
          <w:p>
            <w:pPr>
              <w:pStyle w:val="16"/>
            </w:pPr>
            <w:r>
              <w:t>《尧乡诗词》印制按节点完成</w:t>
            </w:r>
          </w:p>
        </w:tc>
        <w:tc>
          <w:tcPr>
            <w:tcW w:w="2114" w:type="dxa"/>
            <w:vAlign w:val="center"/>
          </w:tcPr>
          <w:p>
            <w:pPr>
              <w:pStyle w:val="16"/>
            </w:pPr>
            <w:r>
              <w:t>≤4季度</w:t>
            </w:r>
          </w:p>
        </w:tc>
        <w:tc>
          <w:tcPr>
            <w:tcW w:w="2114" w:type="dxa"/>
            <w:vAlign w:val="center"/>
          </w:tcPr>
          <w:p>
            <w:pPr>
              <w:pStyle w:val="16"/>
            </w:pPr>
            <w:r>
              <w:t>2024文联工作计划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预算内支出</w:t>
            </w:r>
          </w:p>
        </w:tc>
        <w:tc>
          <w:tcPr>
            <w:tcW w:w="4228" w:type="dxa"/>
            <w:vAlign w:val="center"/>
          </w:tcPr>
          <w:p>
            <w:pPr>
              <w:pStyle w:val="16"/>
            </w:pPr>
            <w:r>
              <w:t>2024年总支出金额</w:t>
            </w:r>
          </w:p>
        </w:tc>
        <w:tc>
          <w:tcPr>
            <w:tcW w:w="2114" w:type="dxa"/>
            <w:vAlign w:val="center"/>
          </w:tcPr>
          <w:p>
            <w:pPr>
              <w:pStyle w:val="16"/>
            </w:pPr>
            <w:r>
              <w:t>≤5.6万元</w:t>
            </w:r>
          </w:p>
        </w:tc>
        <w:tc>
          <w:tcPr>
            <w:tcW w:w="2114" w:type="dxa"/>
            <w:vAlign w:val="center"/>
          </w:tcPr>
          <w:p>
            <w:pPr>
              <w:pStyle w:val="16"/>
            </w:pPr>
            <w:r>
              <w:t>2024文联工作计划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文艺考核提升</w:t>
            </w:r>
          </w:p>
        </w:tc>
        <w:tc>
          <w:tcPr>
            <w:tcW w:w="4228" w:type="dxa"/>
            <w:vAlign w:val="center"/>
          </w:tcPr>
          <w:p>
            <w:pPr>
              <w:pStyle w:val="16"/>
            </w:pPr>
            <w:r>
              <w:t>提高我县文艺口考核水平</w:t>
            </w:r>
          </w:p>
        </w:tc>
        <w:tc>
          <w:tcPr>
            <w:tcW w:w="2114" w:type="dxa"/>
            <w:vAlign w:val="center"/>
          </w:tcPr>
          <w:p>
            <w:pPr>
              <w:pStyle w:val="16"/>
            </w:pPr>
            <w:r>
              <w:t>≥1位次</w:t>
            </w:r>
          </w:p>
        </w:tc>
        <w:tc>
          <w:tcPr>
            <w:tcW w:w="2114" w:type="dxa"/>
            <w:vAlign w:val="center"/>
          </w:tcPr>
          <w:p>
            <w:pPr>
              <w:pStyle w:val="16"/>
            </w:pPr>
            <w:r>
              <w:t>2024文联工作计划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群众对各项文艺文化活动的满意度</w:t>
            </w:r>
          </w:p>
        </w:tc>
        <w:tc>
          <w:tcPr>
            <w:tcW w:w="4228" w:type="dxa"/>
            <w:vAlign w:val="center"/>
          </w:tcPr>
          <w:p>
            <w:pPr>
              <w:pStyle w:val="16"/>
            </w:pPr>
            <w:r>
              <w:t>群众对各项文艺文化活动的满意度</w:t>
            </w:r>
          </w:p>
        </w:tc>
        <w:tc>
          <w:tcPr>
            <w:tcW w:w="2114" w:type="dxa"/>
            <w:vAlign w:val="center"/>
          </w:tcPr>
          <w:p>
            <w:pPr>
              <w:pStyle w:val="16"/>
            </w:pPr>
            <w:r>
              <w:t>≥85%</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14、新时代文明实践中心建设绩效目标表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13052524P000006109646</w:t>
            </w:r>
          </w:p>
        </w:tc>
        <w:tc>
          <w:tcPr>
            <w:tcW w:w="2114" w:type="dxa"/>
            <w:vAlign w:val="center"/>
          </w:tcPr>
          <w:p>
            <w:pPr>
              <w:pStyle w:val="14"/>
            </w:pPr>
            <w:r>
              <w:t>项目名称</w:t>
            </w:r>
          </w:p>
        </w:tc>
        <w:tc>
          <w:tcPr>
            <w:tcW w:w="6342" w:type="dxa"/>
            <w:gridSpan w:val="3"/>
            <w:vAlign w:val="center"/>
          </w:tcPr>
          <w:p>
            <w:pPr>
              <w:pStyle w:val="16"/>
            </w:pPr>
            <w:r>
              <w:t>新时代文明实践中心建设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5.60</w:t>
            </w:r>
          </w:p>
        </w:tc>
        <w:tc>
          <w:tcPr>
            <w:tcW w:w="2114" w:type="dxa"/>
            <w:vAlign w:val="center"/>
          </w:tcPr>
          <w:p>
            <w:pPr>
              <w:pStyle w:val="14"/>
            </w:pPr>
            <w:r>
              <w:t>其中：财政    资金</w:t>
            </w:r>
          </w:p>
        </w:tc>
        <w:tc>
          <w:tcPr>
            <w:tcW w:w="2114" w:type="dxa"/>
            <w:vAlign w:val="center"/>
          </w:tcPr>
          <w:p>
            <w:pPr>
              <w:pStyle w:val="16"/>
            </w:pPr>
            <w:r>
              <w:t>5.60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用于隆尧县新时代文明实践中心建设工作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w:t>
            </w:r>
          </w:p>
        </w:tc>
        <w:tc>
          <w:tcPr>
            <w:tcW w:w="2114" w:type="dxa"/>
            <w:vAlign w:val="center"/>
          </w:tcPr>
          <w:p>
            <w:pPr>
              <w:pStyle w:val="17"/>
            </w:pPr>
            <w:r>
              <w:t>4.00</w:t>
            </w:r>
          </w:p>
        </w:tc>
        <w:tc>
          <w:tcPr>
            <w:tcW w:w="2114" w:type="dxa"/>
            <w:vAlign w:val="center"/>
          </w:tcPr>
          <w:p>
            <w:pPr>
              <w:pStyle w:val="17"/>
            </w:pPr>
            <w:r>
              <w:t>5.60</w:t>
            </w:r>
          </w:p>
        </w:tc>
        <w:tc>
          <w:tcPr>
            <w:tcW w:w="4228" w:type="dxa"/>
            <w:gridSpan w:val="2"/>
            <w:vAlign w:val="center"/>
          </w:tcPr>
          <w:p>
            <w:pPr>
              <w:pStyle w:val="17"/>
            </w:pPr>
            <w:r>
              <w:t>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1.隆尧县新时代文明实践中心顺利运行，对全县新时代文明实践所、站进行强化建设与工作指导</w:t>
            </w:r>
          </w:p>
          <w:p>
            <w:pPr>
              <w:pStyle w:val="16"/>
            </w:pPr>
            <w:r>
              <w:t>2.新时代文明实践中心网络平台高质量运转、持续做好扫黄打非专项行动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623"/>
        <w:gridCol w:w="26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1623" w:type="dxa"/>
            <w:vAlign w:val="center"/>
          </w:tcPr>
          <w:p>
            <w:pPr>
              <w:pStyle w:val="14"/>
            </w:pPr>
            <w:r>
              <w:t>指标值</w:t>
            </w:r>
          </w:p>
        </w:tc>
        <w:tc>
          <w:tcPr>
            <w:tcW w:w="2605"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新时代文明实践所站强化建设比例</w:t>
            </w:r>
          </w:p>
        </w:tc>
        <w:tc>
          <w:tcPr>
            <w:tcW w:w="4228" w:type="dxa"/>
            <w:vAlign w:val="center"/>
          </w:tcPr>
          <w:p>
            <w:pPr>
              <w:pStyle w:val="16"/>
            </w:pPr>
            <w:r>
              <w:t>全县新时代文明实践所站强化建设占总数比例</w:t>
            </w:r>
          </w:p>
        </w:tc>
        <w:tc>
          <w:tcPr>
            <w:tcW w:w="1623" w:type="dxa"/>
            <w:vAlign w:val="center"/>
          </w:tcPr>
          <w:p>
            <w:pPr>
              <w:pStyle w:val="16"/>
            </w:pPr>
            <w:r>
              <w:t>≥60%</w:t>
            </w:r>
          </w:p>
        </w:tc>
        <w:tc>
          <w:tcPr>
            <w:tcW w:w="2605" w:type="dxa"/>
            <w:vAlign w:val="center"/>
          </w:tcPr>
          <w:p>
            <w:pPr>
              <w:pStyle w:val="16"/>
            </w:pPr>
            <w:r>
              <w:t>隆尧县建设新时代文明实践中心试点工作实施方案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新时代文明实践中心网络平台问题处理完成率</w:t>
            </w:r>
          </w:p>
        </w:tc>
        <w:tc>
          <w:tcPr>
            <w:tcW w:w="4228" w:type="dxa"/>
            <w:vAlign w:val="center"/>
          </w:tcPr>
          <w:p>
            <w:pPr>
              <w:pStyle w:val="16"/>
            </w:pPr>
            <w:r>
              <w:t>新时代文明实践中心网络平台问题处理数量占总数比例</w:t>
            </w:r>
          </w:p>
        </w:tc>
        <w:tc>
          <w:tcPr>
            <w:tcW w:w="1623" w:type="dxa"/>
            <w:vAlign w:val="center"/>
          </w:tcPr>
          <w:p>
            <w:pPr>
              <w:pStyle w:val="16"/>
            </w:pPr>
            <w:r>
              <w:t>≥90%</w:t>
            </w:r>
          </w:p>
        </w:tc>
        <w:tc>
          <w:tcPr>
            <w:tcW w:w="2605" w:type="dxa"/>
            <w:vAlign w:val="center"/>
          </w:tcPr>
          <w:p>
            <w:pPr>
              <w:pStyle w:val="16"/>
            </w:pPr>
            <w:r>
              <w:t>隆尧县建设新时代文明实践中心试点工作实施方案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扫黄打非工作督察频率</w:t>
            </w:r>
          </w:p>
        </w:tc>
        <w:tc>
          <w:tcPr>
            <w:tcW w:w="4228" w:type="dxa"/>
            <w:vAlign w:val="center"/>
          </w:tcPr>
          <w:p>
            <w:pPr>
              <w:pStyle w:val="16"/>
            </w:pPr>
            <w:r>
              <w:t>全县范围扫黄打非督察工作频率</w:t>
            </w:r>
          </w:p>
        </w:tc>
        <w:tc>
          <w:tcPr>
            <w:tcW w:w="1623" w:type="dxa"/>
            <w:vAlign w:val="center"/>
          </w:tcPr>
          <w:p>
            <w:pPr>
              <w:pStyle w:val="16"/>
            </w:pPr>
            <w:r>
              <w:t>≥2次/周</w:t>
            </w:r>
          </w:p>
        </w:tc>
        <w:tc>
          <w:tcPr>
            <w:tcW w:w="2605" w:type="dxa"/>
            <w:vAlign w:val="center"/>
          </w:tcPr>
          <w:p>
            <w:pPr>
              <w:pStyle w:val="16"/>
            </w:pPr>
            <w:r>
              <w:t>邢扫黄打非联字</w:t>
            </w:r>
            <w:r>
              <w:rPr>
                <w:rFonts w:hint="eastAsia"/>
                <w:lang w:eastAsia="zh-CN"/>
              </w:rPr>
              <w:t>〔</w:t>
            </w:r>
            <w:r>
              <w:t>2020</w:t>
            </w:r>
            <w:r>
              <w:rPr>
                <w:rFonts w:hint="eastAsia"/>
                <w:lang w:eastAsia="zh-CN"/>
              </w:rPr>
              <w:t>〕</w:t>
            </w:r>
            <w:r>
              <w:t>1号邢扫黄打非实施意见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全年经费支出数</w:t>
            </w:r>
          </w:p>
        </w:tc>
        <w:tc>
          <w:tcPr>
            <w:tcW w:w="4228" w:type="dxa"/>
            <w:vAlign w:val="center"/>
          </w:tcPr>
          <w:p>
            <w:pPr>
              <w:pStyle w:val="16"/>
            </w:pPr>
            <w:r>
              <w:t>隆尧县新时代文明实践中心运转经费支出</w:t>
            </w:r>
          </w:p>
        </w:tc>
        <w:tc>
          <w:tcPr>
            <w:tcW w:w="1623" w:type="dxa"/>
            <w:vAlign w:val="center"/>
          </w:tcPr>
          <w:p>
            <w:pPr>
              <w:pStyle w:val="16"/>
            </w:pPr>
            <w:r>
              <w:t>≤5.6万元</w:t>
            </w:r>
          </w:p>
        </w:tc>
        <w:tc>
          <w:tcPr>
            <w:tcW w:w="2605" w:type="dxa"/>
            <w:vAlign w:val="center"/>
          </w:tcPr>
          <w:p>
            <w:pPr>
              <w:pStyle w:val="16"/>
            </w:pPr>
            <w:r>
              <w:t>隆尧县建设新时代文明实践中心试点工作实施方案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提高全县群众的文明素质</w:t>
            </w:r>
          </w:p>
        </w:tc>
        <w:tc>
          <w:tcPr>
            <w:tcW w:w="4228" w:type="dxa"/>
            <w:vAlign w:val="center"/>
          </w:tcPr>
          <w:p>
            <w:pPr>
              <w:pStyle w:val="16"/>
            </w:pPr>
            <w:r>
              <w:t>通过新时代文明实践提高全县群众的文明水平，提高隆尧县考核排名</w:t>
            </w:r>
          </w:p>
        </w:tc>
        <w:tc>
          <w:tcPr>
            <w:tcW w:w="1623" w:type="dxa"/>
            <w:vAlign w:val="center"/>
          </w:tcPr>
          <w:p>
            <w:pPr>
              <w:pStyle w:val="16"/>
            </w:pPr>
            <w:r>
              <w:t>≥15%</w:t>
            </w:r>
          </w:p>
        </w:tc>
        <w:tc>
          <w:tcPr>
            <w:tcW w:w="2605" w:type="dxa"/>
            <w:vAlign w:val="center"/>
          </w:tcPr>
          <w:p>
            <w:pPr>
              <w:pStyle w:val="16"/>
            </w:pPr>
            <w:r>
              <w:t>隆尧县建设新时代文明实践中心试点工作实施方案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全县群众对新时代文明实践中心建设满意度</w:t>
            </w:r>
          </w:p>
        </w:tc>
        <w:tc>
          <w:tcPr>
            <w:tcW w:w="4228" w:type="dxa"/>
            <w:vAlign w:val="center"/>
          </w:tcPr>
          <w:p>
            <w:pPr>
              <w:pStyle w:val="16"/>
            </w:pPr>
            <w:r>
              <w:t>全县群众对新时代文明实践中心建设满意度</w:t>
            </w:r>
          </w:p>
        </w:tc>
        <w:tc>
          <w:tcPr>
            <w:tcW w:w="1623" w:type="dxa"/>
            <w:vAlign w:val="center"/>
          </w:tcPr>
          <w:p>
            <w:pPr>
              <w:pStyle w:val="16"/>
            </w:pPr>
            <w:r>
              <w:t>≥85%</w:t>
            </w:r>
          </w:p>
        </w:tc>
        <w:tc>
          <w:tcPr>
            <w:tcW w:w="2605" w:type="dxa"/>
            <w:vAlign w:val="center"/>
          </w:tcPr>
          <w:p>
            <w:pPr>
              <w:pStyle w:val="16"/>
            </w:pPr>
            <w:r>
              <w:t>隆尧县建设新时代文明实践中心试点工作实施方案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15、意识形态领域工作经费绩效目标表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13052524P000006109671</w:t>
            </w:r>
          </w:p>
        </w:tc>
        <w:tc>
          <w:tcPr>
            <w:tcW w:w="2114" w:type="dxa"/>
            <w:vAlign w:val="center"/>
          </w:tcPr>
          <w:p>
            <w:pPr>
              <w:pStyle w:val="14"/>
            </w:pPr>
            <w:r>
              <w:t>项目名称</w:t>
            </w:r>
          </w:p>
        </w:tc>
        <w:tc>
          <w:tcPr>
            <w:tcW w:w="6342" w:type="dxa"/>
            <w:gridSpan w:val="3"/>
            <w:vAlign w:val="center"/>
          </w:tcPr>
          <w:p>
            <w:pPr>
              <w:pStyle w:val="16"/>
            </w:pPr>
            <w:r>
              <w:t>意识形态领域工作经费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10.40</w:t>
            </w:r>
          </w:p>
        </w:tc>
        <w:tc>
          <w:tcPr>
            <w:tcW w:w="2114" w:type="dxa"/>
            <w:vAlign w:val="center"/>
          </w:tcPr>
          <w:p>
            <w:pPr>
              <w:pStyle w:val="14"/>
            </w:pPr>
            <w:r>
              <w:t>其中：财政    资金</w:t>
            </w:r>
          </w:p>
        </w:tc>
        <w:tc>
          <w:tcPr>
            <w:tcW w:w="2114" w:type="dxa"/>
            <w:vAlign w:val="center"/>
          </w:tcPr>
          <w:p>
            <w:pPr>
              <w:pStyle w:val="16"/>
            </w:pPr>
            <w:r>
              <w:t>10.40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用于2024年意识形态领域相关工作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0.40</w:t>
            </w:r>
          </w:p>
        </w:tc>
        <w:tc>
          <w:tcPr>
            <w:tcW w:w="2114" w:type="dxa"/>
            <w:vAlign w:val="center"/>
          </w:tcPr>
          <w:p>
            <w:pPr>
              <w:pStyle w:val="17"/>
            </w:pPr>
            <w:r>
              <w:t>2.40</w:t>
            </w:r>
          </w:p>
        </w:tc>
        <w:tc>
          <w:tcPr>
            <w:tcW w:w="2114" w:type="dxa"/>
            <w:vAlign w:val="center"/>
          </w:tcPr>
          <w:p>
            <w:pPr>
              <w:pStyle w:val="17"/>
            </w:pPr>
            <w:r>
              <w:t>2.40</w:t>
            </w:r>
          </w:p>
        </w:tc>
        <w:tc>
          <w:tcPr>
            <w:tcW w:w="4228" w:type="dxa"/>
            <w:gridSpan w:val="2"/>
            <w:vAlign w:val="center"/>
          </w:tcPr>
          <w:p>
            <w:pPr>
              <w:pStyle w:val="17"/>
            </w:pPr>
            <w:r>
              <w:t>10.40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1.推进党的创新理论‘六进’，印刷《理论与学习》，组织县委理论中心组学习，支持扫黑除恶行动</w:t>
            </w:r>
          </w:p>
          <w:p>
            <w:pPr>
              <w:pStyle w:val="16"/>
            </w:pPr>
            <w:r>
              <w:t>2.统筹完成全县2024年重点党报党刊征订工作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印刷《理论与学习》内刊、组织县委理论中心组学习</w:t>
            </w:r>
          </w:p>
        </w:tc>
        <w:tc>
          <w:tcPr>
            <w:tcW w:w="4228" w:type="dxa"/>
            <w:vAlign w:val="center"/>
          </w:tcPr>
          <w:p>
            <w:pPr>
              <w:pStyle w:val="16"/>
            </w:pPr>
            <w:r>
              <w:t>印刷《理论与学习》内刊、组织县委理论中心组学习</w:t>
            </w:r>
          </w:p>
        </w:tc>
        <w:tc>
          <w:tcPr>
            <w:tcW w:w="2114" w:type="dxa"/>
            <w:vAlign w:val="center"/>
          </w:tcPr>
          <w:p>
            <w:pPr>
              <w:pStyle w:val="16"/>
            </w:pPr>
            <w:r>
              <w:t>≥12次</w:t>
            </w:r>
          </w:p>
        </w:tc>
        <w:tc>
          <w:tcPr>
            <w:tcW w:w="2114" w:type="dxa"/>
            <w:vAlign w:val="center"/>
          </w:tcPr>
          <w:p>
            <w:pPr>
              <w:pStyle w:val="16"/>
            </w:pPr>
            <w:r>
              <w:t>隆尧县2023年意识形态工作要点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意识形态考核排名提升</w:t>
            </w:r>
          </w:p>
        </w:tc>
        <w:tc>
          <w:tcPr>
            <w:tcW w:w="4228" w:type="dxa"/>
            <w:vAlign w:val="center"/>
          </w:tcPr>
          <w:p>
            <w:pPr>
              <w:pStyle w:val="16"/>
            </w:pPr>
            <w:r>
              <w:t>提高我县在意识形态领域工作排名</w:t>
            </w:r>
          </w:p>
        </w:tc>
        <w:tc>
          <w:tcPr>
            <w:tcW w:w="2114" w:type="dxa"/>
            <w:vAlign w:val="center"/>
          </w:tcPr>
          <w:p>
            <w:pPr>
              <w:pStyle w:val="16"/>
            </w:pPr>
            <w:r>
              <w:t>≥1位次</w:t>
            </w:r>
          </w:p>
        </w:tc>
        <w:tc>
          <w:tcPr>
            <w:tcW w:w="2114" w:type="dxa"/>
            <w:vAlign w:val="center"/>
          </w:tcPr>
          <w:p>
            <w:pPr>
              <w:pStyle w:val="16"/>
            </w:pPr>
            <w:r>
              <w:t>隆尧县2023年意识形态工作要点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党报党刊工作完成时限</w:t>
            </w:r>
          </w:p>
        </w:tc>
        <w:tc>
          <w:tcPr>
            <w:tcW w:w="4228" w:type="dxa"/>
            <w:vAlign w:val="center"/>
          </w:tcPr>
          <w:p>
            <w:pPr>
              <w:pStyle w:val="16"/>
            </w:pPr>
            <w:r>
              <w:t>党报党刊工作完成时限</w:t>
            </w:r>
          </w:p>
        </w:tc>
        <w:tc>
          <w:tcPr>
            <w:tcW w:w="2114" w:type="dxa"/>
            <w:vAlign w:val="center"/>
          </w:tcPr>
          <w:p>
            <w:pPr>
              <w:pStyle w:val="16"/>
            </w:pPr>
            <w:r>
              <w:t>≤1月</w:t>
            </w:r>
          </w:p>
        </w:tc>
        <w:tc>
          <w:tcPr>
            <w:tcW w:w="2114" w:type="dxa"/>
            <w:vAlign w:val="center"/>
          </w:tcPr>
          <w:p>
            <w:pPr>
              <w:pStyle w:val="16"/>
            </w:pPr>
            <w:r>
              <w:t>隆尧县2023年意识形态工作要点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完成年度工作任务总支出</w:t>
            </w:r>
          </w:p>
        </w:tc>
        <w:tc>
          <w:tcPr>
            <w:tcW w:w="2114" w:type="dxa"/>
            <w:vAlign w:val="center"/>
          </w:tcPr>
          <w:p>
            <w:pPr>
              <w:pStyle w:val="16"/>
            </w:pPr>
            <w:r>
              <w:t>≤10.4万元</w:t>
            </w:r>
          </w:p>
        </w:tc>
        <w:tc>
          <w:tcPr>
            <w:tcW w:w="2114" w:type="dxa"/>
            <w:vAlign w:val="center"/>
          </w:tcPr>
          <w:p>
            <w:pPr>
              <w:pStyle w:val="16"/>
            </w:pPr>
            <w:r>
              <w:t>隆尧县2023年意识形态工作要点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重点报刊征订工作完成度</w:t>
            </w:r>
          </w:p>
        </w:tc>
        <w:tc>
          <w:tcPr>
            <w:tcW w:w="4228" w:type="dxa"/>
            <w:vAlign w:val="center"/>
          </w:tcPr>
          <w:p>
            <w:pPr>
              <w:pStyle w:val="16"/>
            </w:pPr>
            <w:r>
              <w:t>2024年上级安排的重点报刊征订工作完成度</w:t>
            </w:r>
          </w:p>
        </w:tc>
        <w:tc>
          <w:tcPr>
            <w:tcW w:w="2114" w:type="dxa"/>
            <w:vAlign w:val="center"/>
          </w:tcPr>
          <w:p>
            <w:pPr>
              <w:pStyle w:val="16"/>
            </w:pPr>
            <w:r>
              <w:t>≥98%</w:t>
            </w:r>
          </w:p>
        </w:tc>
        <w:tc>
          <w:tcPr>
            <w:tcW w:w="2114" w:type="dxa"/>
            <w:vAlign w:val="center"/>
          </w:tcPr>
          <w:p>
            <w:pPr>
              <w:pStyle w:val="16"/>
            </w:pPr>
            <w:r>
              <w:t>隆尧县2023年意识形态工作要点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全县群众对意识形态工作满意度</w:t>
            </w:r>
          </w:p>
        </w:tc>
        <w:tc>
          <w:tcPr>
            <w:tcW w:w="2114" w:type="dxa"/>
            <w:vAlign w:val="center"/>
          </w:tcPr>
          <w:p>
            <w:pPr>
              <w:pStyle w:val="16"/>
            </w:pPr>
            <w:r>
              <w:t>≥85%</w:t>
            </w:r>
          </w:p>
        </w:tc>
        <w:tc>
          <w:tcPr>
            <w:tcW w:w="2114" w:type="dxa"/>
            <w:vAlign w:val="center"/>
          </w:tcPr>
          <w:p>
            <w:pPr>
              <w:pStyle w:val="16"/>
            </w:pPr>
            <w:r>
              <w:t>隆尧县2023年意识形态工作要点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16、舆情监控和重要信息研判绩效目标表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13052524P000006109717</w:t>
            </w:r>
          </w:p>
        </w:tc>
        <w:tc>
          <w:tcPr>
            <w:tcW w:w="2114" w:type="dxa"/>
            <w:vAlign w:val="center"/>
          </w:tcPr>
          <w:p>
            <w:pPr>
              <w:pStyle w:val="14"/>
            </w:pPr>
            <w:r>
              <w:t>项目名称</w:t>
            </w:r>
          </w:p>
        </w:tc>
        <w:tc>
          <w:tcPr>
            <w:tcW w:w="6342" w:type="dxa"/>
            <w:gridSpan w:val="3"/>
            <w:vAlign w:val="center"/>
          </w:tcPr>
          <w:p>
            <w:pPr>
              <w:pStyle w:val="16"/>
            </w:pPr>
            <w:r>
              <w:t>舆情监控和重要信息研判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6.00</w:t>
            </w:r>
          </w:p>
        </w:tc>
        <w:tc>
          <w:tcPr>
            <w:tcW w:w="2114" w:type="dxa"/>
            <w:vAlign w:val="center"/>
          </w:tcPr>
          <w:p>
            <w:pPr>
              <w:pStyle w:val="14"/>
            </w:pPr>
            <w:r>
              <w:t>其中：财政    资金</w:t>
            </w:r>
          </w:p>
        </w:tc>
        <w:tc>
          <w:tcPr>
            <w:tcW w:w="2114" w:type="dxa"/>
            <w:vAlign w:val="center"/>
          </w:tcPr>
          <w:p>
            <w:pPr>
              <w:pStyle w:val="16"/>
            </w:pPr>
            <w:r>
              <w:t>6.00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用于隆尧县舆情监控和重要信息研判工作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w:t>
            </w:r>
          </w:p>
        </w:tc>
        <w:tc>
          <w:tcPr>
            <w:tcW w:w="2114" w:type="dxa"/>
            <w:vAlign w:val="center"/>
          </w:tcPr>
          <w:p>
            <w:pPr>
              <w:pStyle w:val="17"/>
            </w:pPr>
            <w:r>
              <w:t>6.00</w:t>
            </w:r>
          </w:p>
        </w:tc>
        <w:tc>
          <w:tcPr>
            <w:tcW w:w="2114" w:type="dxa"/>
            <w:vAlign w:val="center"/>
          </w:tcPr>
          <w:p>
            <w:pPr>
              <w:pStyle w:val="17"/>
            </w:pPr>
            <w:r>
              <w:t>6.00</w:t>
            </w:r>
          </w:p>
        </w:tc>
        <w:tc>
          <w:tcPr>
            <w:tcW w:w="4228" w:type="dxa"/>
            <w:gridSpan w:val="2"/>
            <w:vAlign w:val="center"/>
          </w:tcPr>
          <w:p>
            <w:pPr>
              <w:pStyle w:val="17"/>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1.提升隆尧县舆情监控和重要信息研判工作效率，与主要网络平台签订合作协议。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合作协议签订数量</w:t>
            </w:r>
          </w:p>
        </w:tc>
        <w:tc>
          <w:tcPr>
            <w:tcW w:w="4228" w:type="dxa"/>
            <w:vAlign w:val="center"/>
          </w:tcPr>
          <w:p>
            <w:pPr>
              <w:pStyle w:val="16"/>
            </w:pPr>
            <w:r>
              <w:t>与主流网络媒体平台签订合作协议数</w:t>
            </w:r>
          </w:p>
        </w:tc>
        <w:tc>
          <w:tcPr>
            <w:tcW w:w="2114" w:type="dxa"/>
            <w:vAlign w:val="center"/>
          </w:tcPr>
          <w:p>
            <w:pPr>
              <w:pStyle w:val="16"/>
            </w:pPr>
            <w:r>
              <w:t>≥1家</w:t>
            </w:r>
          </w:p>
        </w:tc>
        <w:tc>
          <w:tcPr>
            <w:tcW w:w="2114" w:type="dxa"/>
            <w:vAlign w:val="center"/>
          </w:tcPr>
          <w:p>
            <w:pPr>
              <w:pStyle w:val="16"/>
            </w:pPr>
            <w:r>
              <w:t>实际合作协议签订数量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我县舆情监测能力提升</w:t>
            </w:r>
          </w:p>
        </w:tc>
        <w:tc>
          <w:tcPr>
            <w:tcW w:w="4228" w:type="dxa"/>
            <w:vAlign w:val="center"/>
          </w:tcPr>
          <w:p>
            <w:pPr>
              <w:pStyle w:val="16"/>
            </w:pPr>
            <w:r>
              <w:t>舆情监控和重要信息研判实际条目数提升</w:t>
            </w:r>
          </w:p>
        </w:tc>
        <w:tc>
          <w:tcPr>
            <w:tcW w:w="2114" w:type="dxa"/>
            <w:vAlign w:val="center"/>
          </w:tcPr>
          <w:p>
            <w:pPr>
              <w:pStyle w:val="16"/>
            </w:pPr>
            <w:r>
              <w:t>≥30%</w:t>
            </w:r>
          </w:p>
        </w:tc>
        <w:tc>
          <w:tcPr>
            <w:tcW w:w="2114" w:type="dxa"/>
            <w:vAlign w:val="center"/>
          </w:tcPr>
          <w:p>
            <w:pPr>
              <w:pStyle w:val="16"/>
            </w:pPr>
            <w:r>
              <w:t>舆情监测处理数量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合同签订时间</w:t>
            </w:r>
          </w:p>
        </w:tc>
        <w:tc>
          <w:tcPr>
            <w:tcW w:w="4228" w:type="dxa"/>
            <w:vAlign w:val="center"/>
          </w:tcPr>
          <w:p>
            <w:pPr>
              <w:pStyle w:val="16"/>
            </w:pPr>
            <w:r>
              <w:t>达成合作协议后合作协议签订时间</w:t>
            </w:r>
          </w:p>
        </w:tc>
        <w:tc>
          <w:tcPr>
            <w:tcW w:w="2114" w:type="dxa"/>
            <w:vAlign w:val="center"/>
          </w:tcPr>
          <w:p>
            <w:pPr>
              <w:pStyle w:val="16"/>
            </w:pPr>
            <w:r>
              <w:t>≤10天</w:t>
            </w:r>
          </w:p>
        </w:tc>
        <w:tc>
          <w:tcPr>
            <w:tcW w:w="2114" w:type="dxa"/>
            <w:vAlign w:val="center"/>
          </w:tcPr>
          <w:p>
            <w:pPr>
              <w:pStyle w:val="16"/>
            </w:pPr>
            <w:r>
              <w:t>合作协议签订时间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合作协议及运营成本</w:t>
            </w:r>
          </w:p>
        </w:tc>
        <w:tc>
          <w:tcPr>
            <w:tcW w:w="4228" w:type="dxa"/>
            <w:vAlign w:val="center"/>
          </w:tcPr>
          <w:p>
            <w:pPr>
              <w:pStyle w:val="16"/>
            </w:pPr>
            <w:r>
              <w:t>协议费用和日常办公运营经费合计</w:t>
            </w:r>
          </w:p>
        </w:tc>
        <w:tc>
          <w:tcPr>
            <w:tcW w:w="2114" w:type="dxa"/>
            <w:vAlign w:val="center"/>
          </w:tcPr>
          <w:p>
            <w:pPr>
              <w:pStyle w:val="16"/>
            </w:pPr>
            <w:r>
              <w:t>≤6万元</w:t>
            </w:r>
          </w:p>
        </w:tc>
        <w:tc>
          <w:tcPr>
            <w:tcW w:w="2114" w:type="dxa"/>
            <w:vAlign w:val="center"/>
          </w:tcPr>
          <w:p>
            <w:pPr>
              <w:pStyle w:val="16"/>
            </w:pPr>
            <w:r>
              <w:t>实际支出费用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减少舆情对社会影响</w:t>
            </w:r>
          </w:p>
        </w:tc>
        <w:tc>
          <w:tcPr>
            <w:tcW w:w="4228" w:type="dxa"/>
            <w:vAlign w:val="center"/>
          </w:tcPr>
          <w:p>
            <w:pPr>
              <w:pStyle w:val="16"/>
            </w:pPr>
            <w:r>
              <w:t>通过合作减少网络舆情数量</w:t>
            </w:r>
          </w:p>
        </w:tc>
        <w:tc>
          <w:tcPr>
            <w:tcW w:w="2114" w:type="dxa"/>
            <w:vAlign w:val="center"/>
          </w:tcPr>
          <w:p>
            <w:pPr>
              <w:pStyle w:val="16"/>
            </w:pPr>
            <w:r>
              <w:t>≥30%</w:t>
            </w:r>
          </w:p>
        </w:tc>
        <w:tc>
          <w:tcPr>
            <w:tcW w:w="2114" w:type="dxa"/>
            <w:vAlign w:val="center"/>
          </w:tcPr>
          <w:p>
            <w:pPr>
              <w:pStyle w:val="16"/>
            </w:pPr>
            <w:r>
              <w:t>解决舆情数据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群众对舆情处置满意度</w:t>
            </w:r>
          </w:p>
        </w:tc>
        <w:tc>
          <w:tcPr>
            <w:tcW w:w="4228" w:type="dxa"/>
            <w:vAlign w:val="center"/>
          </w:tcPr>
          <w:p>
            <w:pPr>
              <w:pStyle w:val="16"/>
            </w:pPr>
            <w:r>
              <w:t>群众对舆情处置满意度</w:t>
            </w:r>
          </w:p>
        </w:tc>
        <w:tc>
          <w:tcPr>
            <w:tcW w:w="2114" w:type="dxa"/>
            <w:vAlign w:val="center"/>
          </w:tcPr>
          <w:p>
            <w:pPr>
              <w:pStyle w:val="16"/>
            </w:pPr>
            <w:r>
              <w:t>≥85%</w:t>
            </w:r>
          </w:p>
        </w:tc>
        <w:tc>
          <w:tcPr>
            <w:tcW w:w="2114" w:type="dxa"/>
            <w:vAlign w:val="center"/>
          </w:tcPr>
          <w:p>
            <w:pPr>
              <w:pStyle w:val="16"/>
            </w:pPr>
            <w:r>
              <w:t>群众对舆情处置满意度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17、正版软件授权推广经费绩效目标表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13052524P00000610960P</w:t>
            </w:r>
          </w:p>
        </w:tc>
        <w:tc>
          <w:tcPr>
            <w:tcW w:w="2114" w:type="dxa"/>
            <w:vAlign w:val="center"/>
          </w:tcPr>
          <w:p>
            <w:pPr>
              <w:pStyle w:val="14"/>
            </w:pPr>
            <w:r>
              <w:t>项目名称</w:t>
            </w:r>
          </w:p>
        </w:tc>
        <w:tc>
          <w:tcPr>
            <w:tcW w:w="6342" w:type="dxa"/>
            <w:gridSpan w:val="3"/>
            <w:vAlign w:val="center"/>
          </w:tcPr>
          <w:p>
            <w:pPr>
              <w:pStyle w:val="16"/>
            </w:pPr>
            <w:r>
              <w:t>正版软件授权推广经费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19.80</w:t>
            </w:r>
          </w:p>
        </w:tc>
        <w:tc>
          <w:tcPr>
            <w:tcW w:w="2114" w:type="dxa"/>
            <w:vAlign w:val="center"/>
          </w:tcPr>
          <w:p>
            <w:pPr>
              <w:pStyle w:val="14"/>
            </w:pPr>
            <w:r>
              <w:t>其中：财政    资金</w:t>
            </w:r>
          </w:p>
        </w:tc>
        <w:tc>
          <w:tcPr>
            <w:tcW w:w="2114" w:type="dxa"/>
            <w:vAlign w:val="center"/>
          </w:tcPr>
          <w:p>
            <w:pPr>
              <w:pStyle w:val="16"/>
            </w:pPr>
            <w:r>
              <w:t>19.80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用于2024年全县国产正版软件授权推广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bookmarkStart w:id="17" w:name="_GoBack"/>
            <w:bookmarkEnd w:id="17"/>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19.80</w:t>
            </w:r>
          </w:p>
        </w:tc>
        <w:tc>
          <w:tcPr>
            <w:tcW w:w="2114" w:type="dxa"/>
            <w:vAlign w:val="center"/>
          </w:tcPr>
          <w:p>
            <w:pPr>
              <w:pStyle w:val="17"/>
            </w:pPr>
            <w:r>
              <w:t>19.80</w:t>
            </w:r>
          </w:p>
        </w:tc>
        <w:tc>
          <w:tcPr>
            <w:tcW w:w="2114" w:type="dxa"/>
            <w:vAlign w:val="center"/>
          </w:tcPr>
          <w:p>
            <w:pPr>
              <w:pStyle w:val="17"/>
            </w:pPr>
            <w:r>
              <w:t>19.80</w:t>
            </w:r>
          </w:p>
        </w:tc>
        <w:tc>
          <w:tcPr>
            <w:tcW w:w="4228" w:type="dxa"/>
            <w:gridSpan w:val="2"/>
            <w:vAlign w:val="center"/>
          </w:tcPr>
          <w:p>
            <w:pPr>
              <w:pStyle w:val="17"/>
            </w:pPr>
            <w:r>
              <w:t>19.80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1.保证全县办公电脑使用纯国产正版办公软件：永中WPS2019专业版</w:t>
            </w:r>
          </w:p>
          <w:p>
            <w:pPr>
              <w:pStyle w:val="16"/>
            </w:pPr>
            <w:r>
              <w:t>2.提高我县正版办公软件覆盖率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全县办公电脑正版办公软件覆盖率</w:t>
            </w:r>
          </w:p>
        </w:tc>
        <w:tc>
          <w:tcPr>
            <w:tcW w:w="4228" w:type="dxa"/>
            <w:vAlign w:val="center"/>
          </w:tcPr>
          <w:p>
            <w:pPr>
              <w:pStyle w:val="16"/>
            </w:pPr>
            <w:r>
              <w:t>全县党政机关和企事业单位办公电脑正版办公软件覆盖率</w:t>
            </w:r>
          </w:p>
        </w:tc>
        <w:tc>
          <w:tcPr>
            <w:tcW w:w="2114" w:type="dxa"/>
            <w:vAlign w:val="center"/>
          </w:tcPr>
          <w:p>
            <w:pPr>
              <w:pStyle w:val="16"/>
            </w:pPr>
            <w:r>
              <w:t>≥85%</w:t>
            </w:r>
          </w:p>
        </w:tc>
        <w:tc>
          <w:tcPr>
            <w:tcW w:w="2114" w:type="dxa"/>
            <w:vAlign w:val="center"/>
          </w:tcPr>
          <w:p>
            <w:pPr>
              <w:pStyle w:val="16"/>
            </w:pPr>
            <w:r>
              <w:t>邢宣明〔2021〕153号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保障全县正版软件正常运行、免费升级</w:t>
            </w:r>
          </w:p>
        </w:tc>
        <w:tc>
          <w:tcPr>
            <w:tcW w:w="4228" w:type="dxa"/>
            <w:vAlign w:val="center"/>
          </w:tcPr>
          <w:p>
            <w:pPr>
              <w:pStyle w:val="16"/>
            </w:pPr>
            <w:r>
              <w:t>保障202</w:t>
            </w:r>
            <w:r>
              <w:rPr>
                <w:rFonts w:hint="eastAsia"/>
                <w:lang w:val="en-US" w:eastAsia="zh-CN"/>
              </w:rPr>
              <w:t>4</w:t>
            </w:r>
            <w:r>
              <w:t>年全县正版软件正常运行、免费升级，相关问题解决率</w:t>
            </w:r>
          </w:p>
        </w:tc>
        <w:tc>
          <w:tcPr>
            <w:tcW w:w="2114" w:type="dxa"/>
            <w:vAlign w:val="center"/>
          </w:tcPr>
          <w:p>
            <w:pPr>
              <w:pStyle w:val="16"/>
            </w:pPr>
            <w:r>
              <w:t>≥95%</w:t>
            </w:r>
          </w:p>
        </w:tc>
        <w:tc>
          <w:tcPr>
            <w:tcW w:w="2114" w:type="dxa"/>
            <w:vAlign w:val="center"/>
          </w:tcPr>
          <w:p>
            <w:pPr>
              <w:pStyle w:val="16"/>
            </w:pPr>
            <w:r>
              <w:t>邢宣明〔2021〕153号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及时推广正版软件使用</w:t>
            </w:r>
          </w:p>
        </w:tc>
        <w:tc>
          <w:tcPr>
            <w:tcW w:w="4228" w:type="dxa"/>
            <w:vAlign w:val="center"/>
          </w:tcPr>
          <w:p>
            <w:pPr>
              <w:pStyle w:val="16"/>
            </w:pPr>
            <w:r>
              <w:t>及时推广正版软件使用，合同签订后召开推广相关工作会议时效</w:t>
            </w:r>
          </w:p>
        </w:tc>
        <w:tc>
          <w:tcPr>
            <w:tcW w:w="2114" w:type="dxa"/>
            <w:vAlign w:val="center"/>
          </w:tcPr>
          <w:p>
            <w:pPr>
              <w:pStyle w:val="16"/>
            </w:pPr>
            <w:r>
              <w:t>≤1月</w:t>
            </w:r>
          </w:p>
        </w:tc>
        <w:tc>
          <w:tcPr>
            <w:tcW w:w="2114" w:type="dxa"/>
            <w:vAlign w:val="center"/>
          </w:tcPr>
          <w:p>
            <w:pPr>
              <w:pStyle w:val="16"/>
            </w:pPr>
            <w:r>
              <w:t>邢宣明〔2021〕153号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预算内支出</w:t>
            </w:r>
          </w:p>
        </w:tc>
        <w:tc>
          <w:tcPr>
            <w:tcW w:w="4228" w:type="dxa"/>
            <w:vAlign w:val="center"/>
          </w:tcPr>
          <w:p>
            <w:pPr>
              <w:pStyle w:val="16"/>
            </w:pPr>
            <w:r>
              <w:t>正版办公软件授权合同金额</w:t>
            </w:r>
          </w:p>
        </w:tc>
        <w:tc>
          <w:tcPr>
            <w:tcW w:w="2114" w:type="dxa"/>
            <w:vAlign w:val="center"/>
          </w:tcPr>
          <w:p>
            <w:pPr>
              <w:pStyle w:val="16"/>
            </w:pPr>
            <w:r>
              <w:t>≤19.8万元</w:t>
            </w:r>
          </w:p>
        </w:tc>
        <w:tc>
          <w:tcPr>
            <w:tcW w:w="2114" w:type="dxa"/>
            <w:vAlign w:val="center"/>
          </w:tcPr>
          <w:p>
            <w:pPr>
              <w:pStyle w:val="16"/>
            </w:pPr>
            <w:r>
              <w:t>邢宣明〔2021〕153号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保证全县办公电脑使用正版办公软件</w:t>
            </w:r>
          </w:p>
        </w:tc>
        <w:tc>
          <w:tcPr>
            <w:tcW w:w="4228" w:type="dxa"/>
            <w:vAlign w:val="center"/>
          </w:tcPr>
          <w:p>
            <w:pPr>
              <w:pStyle w:val="16"/>
            </w:pPr>
            <w:r>
              <w:t>提高全县正版办公软件覆盖面</w:t>
            </w:r>
          </w:p>
        </w:tc>
        <w:tc>
          <w:tcPr>
            <w:tcW w:w="2114" w:type="dxa"/>
            <w:vAlign w:val="center"/>
          </w:tcPr>
          <w:p>
            <w:pPr>
              <w:pStyle w:val="16"/>
            </w:pPr>
            <w:r>
              <w:t>≥20%</w:t>
            </w:r>
          </w:p>
        </w:tc>
        <w:tc>
          <w:tcPr>
            <w:tcW w:w="2114" w:type="dxa"/>
            <w:vAlign w:val="center"/>
          </w:tcPr>
          <w:p>
            <w:pPr>
              <w:pStyle w:val="16"/>
            </w:pPr>
            <w:r>
              <w:t>邢宣明〔2021〕153号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全县职工满意度</w:t>
            </w:r>
          </w:p>
        </w:tc>
        <w:tc>
          <w:tcPr>
            <w:tcW w:w="4228" w:type="dxa"/>
            <w:vAlign w:val="center"/>
          </w:tcPr>
          <w:p>
            <w:pPr>
              <w:pStyle w:val="16"/>
            </w:pPr>
            <w:r>
              <w:t>全县职工满意度</w:t>
            </w:r>
          </w:p>
        </w:tc>
        <w:tc>
          <w:tcPr>
            <w:tcW w:w="2114" w:type="dxa"/>
            <w:vAlign w:val="center"/>
          </w:tcPr>
          <w:p>
            <w:pPr>
              <w:pStyle w:val="16"/>
            </w:pPr>
            <w:r>
              <w:t>≥85%</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3" w:name="_Toc_3_3_0000000015"/>
      <w:r>
        <w:rPr>
          <w:rFonts w:hint="eastAsia" w:ascii="黑体" w:hAnsi="黑体" w:eastAsia="黑体" w:cs="黑体"/>
          <w:color w:val="000000"/>
          <w:sz w:val="32"/>
          <w:lang w:eastAsia="zh-CN"/>
        </w:rPr>
        <w:t>八</w:t>
      </w:r>
      <w:r>
        <w:rPr>
          <w:rFonts w:hint="eastAsia" w:ascii="黑体" w:hAnsi="黑体" w:eastAsia="黑体" w:cs="黑体"/>
          <w:color w:val="000000"/>
          <w:sz w:val="32"/>
        </w:rPr>
        <w:t>、政府采购预算情况</w:t>
      </w:r>
      <w:bookmarkEnd w:id="13"/>
    </w:p>
    <w:p>
      <w:pPr>
        <w:spacing w:before="10" w:after="10" w:line="240" w:lineRule="auto"/>
        <w:ind w:firstLine="640"/>
        <w:jc w:val="left"/>
        <w:outlineLvl w:val="2"/>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3"/>
            </w:pPr>
            <w:r>
              <w:t>211中国共产党隆尧县委员会宣传部</w:t>
            </w:r>
          </w:p>
        </w:tc>
        <w:tc>
          <w:tcPr>
            <w:tcW w:w="7888" w:type="dxa"/>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4"/>
            </w:pPr>
            <w:r>
              <w:t>政府采购项目来源</w:t>
            </w:r>
          </w:p>
        </w:tc>
        <w:tc>
          <w:tcPr>
            <w:tcW w:w="986" w:type="dxa"/>
            <w:vMerge w:val="restart"/>
            <w:vAlign w:val="center"/>
          </w:tcPr>
          <w:p>
            <w:pPr>
              <w:pStyle w:val="14"/>
            </w:pPr>
            <w:r>
              <w:t>采购物品名称</w:t>
            </w:r>
          </w:p>
        </w:tc>
        <w:tc>
          <w:tcPr>
            <w:tcW w:w="986" w:type="dxa"/>
            <w:vMerge w:val="restart"/>
            <w:vAlign w:val="center"/>
          </w:tcPr>
          <w:p>
            <w:pPr>
              <w:pStyle w:val="14"/>
            </w:pPr>
            <w:r>
              <w:t>政府采购目录序号</w:t>
            </w:r>
          </w:p>
        </w:tc>
        <w:tc>
          <w:tcPr>
            <w:tcW w:w="986" w:type="dxa"/>
            <w:vMerge w:val="restart"/>
            <w:vAlign w:val="center"/>
          </w:tcPr>
          <w:p>
            <w:pPr>
              <w:pStyle w:val="14"/>
            </w:pPr>
            <w:r>
              <w:t>计量  单位</w:t>
            </w:r>
          </w:p>
        </w:tc>
        <w:tc>
          <w:tcPr>
            <w:tcW w:w="986" w:type="dxa"/>
            <w:vMerge w:val="restart"/>
            <w:vAlign w:val="center"/>
          </w:tcPr>
          <w:p>
            <w:pPr>
              <w:pStyle w:val="14"/>
            </w:pPr>
            <w:r>
              <w:t>数量</w:t>
            </w:r>
          </w:p>
        </w:tc>
        <w:tc>
          <w:tcPr>
            <w:tcW w:w="986" w:type="dxa"/>
            <w:vMerge w:val="restart"/>
            <w:vAlign w:val="center"/>
          </w:tcPr>
          <w:p>
            <w:pPr>
              <w:pStyle w:val="14"/>
            </w:pPr>
            <w:r>
              <w:t>单价</w:t>
            </w:r>
          </w:p>
        </w:tc>
        <w:tc>
          <w:tcPr>
            <w:tcW w:w="6902" w:type="dxa"/>
            <w:gridSpan w:val="7"/>
            <w:vAlign w:val="center"/>
          </w:tcPr>
          <w:p>
            <w:pPr>
              <w:pStyle w:val="14"/>
            </w:pPr>
            <w:r>
              <w:t>政府采购金额（当年部门预算安排资金）</w:t>
            </w:r>
          </w:p>
        </w:tc>
        <w:tc>
          <w:tcPr>
            <w:tcW w:w="986" w:type="dxa"/>
            <w:vMerge w:val="restart"/>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4"/>
            </w:pPr>
            <w:r>
              <w:t>项目名称</w:t>
            </w:r>
          </w:p>
        </w:tc>
        <w:tc>
          <w:tcPr>
            <w:tcW w:w="986" w:type="dxa"/>
            <w:vAlign w:val="center"/>
          </w:tcPr>
          <w:p>
            <w:pPr>
              <w:pStyle w:val="14"/>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4"/>
            </w:pPr>
            <w:r>
              <w:t>合计</w:t>
            </w:r>
          </w:p>
        </w:tc>
        <w:tc>
          <w:tcPr>
            <w:tcW w:w="986" w:type="dxa"/>
            <w:vAlign w:val="center"/>
          </w:tcPr>
          <w:p>
            <w:pPr>
              <w:pStyle w:val="14"/>
            </w:pPr>
            <w:r>
              <w:t>一般公共预算拨款</w:t>
            </w:r>
          </w:p>
        </w:tc>
        <w:tc>
          <w:tcPr>
            <w:tcW w:w="986" w:type="dxa"/>
            <w:vAlign w:val="center"/>
          </w:tcPr>
          <w:p>
            <w:pPr>
              <w:pStyle w:val="14"/>
            </w:pPr>
            <w:r>
              <w:t>基金预算拨款</w:t>
            </w:r>
          </w:p>
        </w:tc>
        <w:tc>
          <w:tcPr>
            <w:tcW w:w="986" w:type="dxa"/>
            <w:vAlign w:val="center"/>
          </w:tcPr>
          <w:p>
            <w:pPr>
              <w:pStyle w:val="14"/>
            </w:pPr>
            <w:r>
              <w:t>国有资本经营预算拨款</w:t>
            </w:r>
          </w:p>
        </w:tc>
        <w:tc>
          <w:tcPr>
            <w:tcW w:w="986" w:type="dxa"/>
            <w:vAlign w:val="center"/>
          </w:tcPr>
          <w:p>
            <w:pPr>
              <w:pStyle w:val="14"/>
            </w:pPr>
            <w:r>
              <w:t>财政专户核拨</w:t>
            </w:r>
          </w:p>
        </w:tc>
        <w:tc>
          <w:tcPr>
            <w:tcW w:w="986" w:type="dxa"/>
            <w:vAlign w:val="center"/>
          </w:tcPr>
          <w:p>
            <w:pPr>
              <w:pStyle w:val="14"/>
            </w:pPr>
            <w:r>
              <w:t>单位    资金</w:t>
            </w:r>
          </w:p>
        </w:tc>
        <w:tc>
          <w:tcPr>
            <w:tcW w:w="986" w:type="dxa"/>
            <w:vAlign w:val="center"/>
          </w:tcPr>
          <w:p>
            <w:pPr>
              <w:pStyle w:val="14"/>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6"/>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7"/>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4" w:name="_Toc_3_3_0000000016"/>
      <w:r>
        <w:rPr>
          <w:rFonts w:hint="eastAsia" w:ascii="黑体" w:hAnsi="黑体" w:eastAsia="黑体" w:cs="黑体"/>
          <w:color w:val="000000"/>
          <w:sz w:val="32"/>
          <w:lang w:eastAsia="zh-CN"/>
        </w:rPr>
        <w:t>九</w:t>
      </w:r>
      <w:r>
        <w:rPr>
          <w:rFonts w:hint="eastAsia" w:ascii="黑体" w:hAnsi="黑体" w:eastAsia="黑体" w:cs="黑体"/>
          <w:color w:val="000000"/>
          <w:sz w:val="32"/>
        </w:rPr>
        <w:t>、国有资产信息</w:t>
      </w:r>
      <w:bookmarkEnd w:id="14"/>
    </w:p>
    <w:p>
      <w:pPr>
        <w:ind w:firstLine="560" w:firstLineChars="200"/>
        <w:jc w:val="both"/>
      </w:pPr>
      <w:r>
        <w:rPr>
          <w:rFonts w:hint="eastAsia" w:eastAsia="方正仿宋_GBK"/>
          <w:color w:val="000000"/>
          <w:sz w:val="28"/>
        </w:rPr>
        <w:t>中国共产党隆尧县委员会宣传部上年末固定资产金额为</w:t>
      </w:r>
      <w:r>
        <w:rPr>
          <w:rFonts w:eastAsia="方正仿宋_GBK"/>
          <w:color w:val="000000"/>
          <w:sz w:val="28"/>
        </w:rPr>
        <w:t>3</w:t>
      </w:r>
      <w:r>
        <w:rPr>
          <w:rFonts w:hint="eastAsia" w:eastAsia="方正仿宋_GBK"/>
          <w:color w:val="000000"/>
          <w:sz w:val="28"/>
          <w:lang w:val="en-US" w:eastAsia="zh-CN"/>
        </w:rPr>
        <w:t>6.904752</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0</w:t>
      </w:r>
      <w:r>
        <w:rPr>
          <w:rFonts w:eastAsia="方正仿宋_GBK"/>
          <w:color w:val="000000"/>
          <w:sz w:val="28"/>
        </w:rPr>
        <w:t>.00</w:t>
      </w:r>
      <w:r>
        <w:rPr>
          <w:rFonts w:hint="eastAsia" w:eastAsia="方正仿宋_GBK"/>
          <w:color w:val="000000"/>
          <w:sz w:val="28"/>
        </w:rPr>
        <w:t>万元。</w:t>
      </w:r>
    </w:p>
    <w:p>
      <w:pPr>
        <w:jc w:val="center"/>
      </w:pPr>
      <w:r>
        <w:rPr>
          <w:rFonts w:hint="eastAsia"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211</w:t>
            </w:r>
            <w:r>
              <w:rPr>
                <w:rFonts w:hint="eastAsia"/>
              </w:rPr>
              <w:t>中国共产党隆尧县委员会宣传部</w:t>
            </w:r>
          </w:p>
        </w:tc>
        <w:tc>
          <w:tcPr>
            <w:tcW w:w="5669"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36.904752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p>
        </w:tc>
        <w:tc>
          <w:tcPr>
            <w:tcW w:w="2835" w:type="dxa"/>
            <w:vAlign w:val="center"/>
          </w:tcPr>
          <w:p>
            <w:pPr>
              <w:pStyle w:val="15"/>
            </w:pPr>
            <w:r>
              <w:rPr>
                <w:rFonts w:hint="eastAsia"/>
                <w:lang w:val="en-US" w:eastAsia="zh-CN"/>
              </w:rPr>
              <w:t>36.904752</w:t>
            </w:r>
          </w:p>
        </w:tc>
      </w:tr>
    </w:tbl>
    <w:p>
      <w:pPr>
        <w:ind w:firstLine="640"/>
      </w:pPr>
      <w:r>
        <w:rPr>
          <w:rFonts w:eastAsia="方正仿宋_GBK"/>
          <w:color w:val="000000"/>
          <w:sz w:val="32"/>
        </w:rPr>
        <w:t xml:space="preserve"> </w:t>
      </w:r>
    </w:p>
    <w:p>
      <w:pPr>
        <w:spacing w:before="10" w:after="10" w:line="240" w:lineRule="auto"/>
        <w:ind w:firstLine="640"/>
        <w:jc w:val="left"/>
        <w:outlineLvl w:val="2"/>
      </w:pPr>
      <w:bookmarkStart w:id="15" w:name="_Toc_3_3_0000000019"/>
      <w:r>
        <w:rPr>
          <w:rFonts w:ascii="黑体" w:hAnsi="黑体" w:eastAsia="黑体" w:cs="黑体"/>
          <w:color w:val="000000"/>
          <w:sz w:val="32"/>
        </w:rPr>
        <w:t>十、名词解释</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6" w:name="_Toc_3_3_0000000020"/>
      <w:r>
        <w:rPr>
          <w:rFonts w:ascii="黑体" w:hAnsi="黑体" w:eastAsia="黑体" w:cs="黑体"/>
          <w:color w:val="000000"/>
          <w:sz w:val="32"/>
        </w:rPr>
        <w:t>十一、其他需要说明的事项</w:t>
      </w:r>
      <w:bookmarkEnd w:id="16"/>
    </w:p>
    <w:p>
      <w:pPr>
        <w:spacing w:before="0" w:after="0" w:line="500" w:lineRule="exact"/>
        <w:ind w:firstLine="560"/>
        <w:jc w:val="left"/>
        <w:outlineLvl w:val="9"/>
        <w:rPr>
          <w:rFonts w:hint="eastAsia" w:ascii="方正小标宋_GBK" w:hAnsi="方正小标宋_GBK" w:eastAsia="方正小标宋_GBK" w:cs="方正小标宋_GBK"/>
          <w:color w:val="000000"/>
          <w:kern w:val="0"/>
          <w:sz w:val="44"/>
          <w:lang w:eastAsia="zh-CN"/>
        </w:rPr>
      </w:pPr>
      <w:r>
        <w:rPr>
          <w:rFonts w:ascii="Times New Roman" w:hAnsi="Times New Roman" w:eastAsia="方正仿宋_GBK" w:cs="Times New Roman"/>
          <w:b w:val="0"/>
          <w:color w:val="000000"/>
          <w:sz w:val="28"/>
        </w:rPr>
        <w:t>我部门无其他需要说明</w:t>
      </w:r>
      <w:r>
        <w:rPr>
          <w:rFonts w:hint="eastAsia" w:ascii="Times New Roman" w:hAnsi="Times New Roman" w:eastAsia="方正仿宋_GBK" w:cs="Times New Roman"/>
          <w:b w:val="0"/>
          <w:color w:val="000000"/>
          <w:sz w:val="28"/>
        </w:rPr>
        <w:t>的事项</w:t>
      </w:r>
      <w:r>
        <w:rPr>
          <w:rFonts w:hint="eastAsia" w:eastAsia="方正仿宋_GBK" w:cs="Times New Roman"/>
          <w:b w:val="0"/>
          <w:color w:val="000000"/>
          <w:sz w:val="28"/>
          <w:lang w:eastAsia="zh-CN"/>
        </w:rPr>
        <w:t>。</w:t>
      </w:r>
    </w:p>
    <w:sectPr>
      <w:footerReference r:id="rId5" w:type="default"/>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both"/>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jc w:val="right"/>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52A919"/>
    <w:multiLevelType w:val="singleLevel"/>
    <w:tmpl w:val="8E52A919"/>
    <w:lvl w:ilvl="0" w:tentative="0">
      <w:start w:val="6"/>
      <w:numFmt w:val="chineseCounting"/>
      <w:suff w:val="nothing"/>
      <w:lvlText w:val="%1、"/>
      <w:lvlJc w:val="left"/>
      <w:pPr>
        <w:ind w:left="729"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0MDAzYmNjM2NmMzFjZTY0ZTE1NGYzNDAxODAyZjUifQ=="/>
  </w:docVars>
  <w:rsids>
    <w:rsidRoot w:val="00D8473B"/>
    <w:rsid w:val="00084F88"/>
    <w:rsid w:val="000F6DCA"/>
    <w:rsid w:val="00105F06"/>
    <w:rsid w:val="00121C84"/>
    <w:rsid w:val="00160D67"/>
    <w:rsid w:val="001B49B7"/>
    <w:rsid w:val="001F6BAE"/>
    <w:rsid w:val="00357F88"/>
    <w:rsid w:val="00365557"/>
    <w:rsid w:val="003B529D"/>
    <w:rsid w:val="003E6191"/>
    <w:rsid w:val="004165BF"/>
    <w:rsid w:val="00432FF2"/>
    <w:rsid w:val="00444B2F"/>
    <w:rsid w:val="00461AE6"/>
    <w:rsid w:val="004B5638"/>
    <w:rsid w:val="004C1B27"/>
    <w:rsid w:val="004F7D3D"/>
    <w:rsid w:val="0059748F"/>
    <w:rsid w:val="005E50FC"/>
    <w:rsid w:val="006A69D8"/>
    <w:rsid w:val="007153FC"/>
    <w:rsid w:val="007F2DC2"/>
    <w:rsid w:val="00857CE0"/>
    <w:rsid w:val="008B5101"/>
    <w:rsid w:val="008C0EA0"/>
    <w:rsid w:val="008C4C44"/>
    <w:rsid w:val="009C331A"/>
    <w:rsid w:val="009D0B0B"/>
    <w:rsid w:val="00A86F26"/>
    <w:rsid w:val="00A911F7"/>
    <w:rsid w:val="00A955F3"/>
    <w:rsid w:val="00B069AB"/>
    <w:rsid w:val="00B80F3F"/>
    <w:rsid w:val="00D028EF"/>
    <w:rsid w:val="00D803CF"/>
    <w:rsid w:val="00D8473B"/>
    <w:rsid w:val="00D872D3"/>
    <w:rsid w:val="00DE3F49"/>
    <w:rsid w:val="00E54F1B"/>
    <w:rsid w:val="00F00479"/>
    <w:rsid w:val="00F13C90"/>
    <w:rsid w:val="00F32B29"/>
    <w:rsid w:val="00F44B53"/>
    <w:rsid w:val="00FB5DE6"/>
    <w:rsid w:val="00FF11BC"/>
    <w:rsid w:val="05044782"/>
    <w:rsid w:val="07550729"/>
    <w:rsid w:val="14F13462"/>
    <w:rsid w:val="2FE144A9"/>
    <w:rsid w:val="346E6F18"/>
    <w:rsid w:val="3B663E8E"/>
    <w:rsid w:val="3BD60CCA"/>
    <w:rsid w:val="3FFD6C8D"/>
    <w:rsid w:val="42C3052E"/>
    <w:rsid w:val="43805B34"/>
    <w:rsid w:val="46D44F33"/>
    <w:rsid w:val="4E5E4D9B"/>
    <w:rsid w:val="536F5CA7"/>
    <w:rsid w:val="5855720E"/>
    <w:rsid w:val="5C367357"/>
    <w:rsid w:val="673C5F8A"/>
    <w:rsid w:val="6EA73F2F"/>
    <w:rsid w:val="71557D3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99"/>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99"/>
    <w:pPr>
      <w:spacing w:before="120"/>
      <w:ind w:firstLine="560"/>
    </w:pPr>
    <w:rPr>
      <w:rFonts w:eastAsia="方正仿宋_GBK"/>
      <w:color w:val="000000"/>
      <w:sz w:val="28"/>
    </w:rPr>
  </w:style>
  <w:style w:type="paragraph" w:styleId="6">
    <w:name w:val="toc 4"/>
    <w:basedOn w:val="1"/>
    <w:next w:val="1"/>
    <w:autoRedefine/>
    <w:qFormat/>
    <w:uiPriority w:val="99"/>
    <w:pPr>
      <w:ind w:left="720"/>
    </w:pPr>
  </w:style>
  <w:style w:type="paragraph" w:styleId="7">
    <w:name w:val="toc 2"/>
    <w:basedOn w:val="1"/>
    <w:next w:val="1"/>
    <w:autoRedefine/>
    <w:qFormat/>
    <w:uiPriority w:val="99"/>
    <w:pPr>
      <w:ind w:left="240"/>
    </w:pPr>
  </w:style>
  <w:style w:type="table" w:styleId="9">
    <w:name w:val="Table Grid"/>
    <w:basedOn w:val="8"/>
    <w:autoRedefine/>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autoRedefine/>
    <w:qFormat/>
    <w:uiPriority w:val="99"/>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99"/>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99"/>
    <w:rPr>
      <w:rFonts w:ascii="方正小标宋_GBK" w:hAnsi="方正小标宋_GBK" w:eastAsia="方正小标宋_GBK" w:cs="方正小标宋_GBK"/>
    </w:rPr>
  </w:style>
  <w:style w:type="paragraph" w:customStyle="1" w:styleId="14">
    <w:name w:val="单元格样式1"/>
    <w:basedOn w:val="1"/>
    <w:autoRedefine/>
    <w:qFormat/>
    <w:uiPriority w:val="99"/>
    <w:pPr>
      <w:jc w:val="center"/>
    </w:pPr>
    <w:rPr>
      <w:rFonts w:ascii="方正书宋_GBK" w:hAnsi="方正书宋_GBK" w:eastAsia="方正书宋_GBK" w:cs="方正书宋_GBK"/>
      <w:b/>
      <w:sz w:val="21"/>
    </w:rPr>
  </w:style>
  <w:style w:type="paragraph" w:customStyle="1" w:styleId="15">
    <w:name w:val="单元格样式4"/>
    <w:basedOn w:val="1"/>
    <w:autoRedefine/>
    <w:qFormat/>
    <w:uiPriority w:val="99"/>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99"/>
    <w:rPr>
      <w:rFonts w:ascii="方正书宋_GBK" w:hAnsi="方正书宋_GBK" w:eastAsia="方正书宋_GBK" w:cs="方正书宋_GBK"/>
      <w:sz w:val="21"/>
    </w:rPr>
  </w:style>
  <w:style w:type="paragraph" w:customStyle="1" w:styleId="17">
    <w:name w:val="单元格样式3"/>
    <w:basedOn w:val="1"/>
    <w:autoRedefine/>
    <w:qFormat/>
    <w:uiPriority w:val="99"/>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99"/>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autoRedefine/>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autoRedefine/>
    <w:qFormat/>
    <w:uiPriority w:val="99"/>
    <w:pPr>
      <w:spacing w:line="500" w:lineRule="exact"/>
      <w:ind w:firstLine="560"/>
    </w:pPr>
    <w:rPr>
      <w:rFonts w:eastAsia="方正仿宋_GBK"/>
      <w:sz w:val="28"/>
    </w:rPr>
  </w:style>
  <w:style w:type="paragraph" w:customStyle="1" w:styleId="25">
    <w:name w:val="插入文本样式-插入总体目标文件"/>
    <w:basedOn w:val="1"/>
    <w:autoRedefine/>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autoRedefine/>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autoRedefine/>
    <w:qFormat/>
    <w:uiPriority w:val="99"/>
    <w:pPr>
      <w:spacing w:line="500" w:lineRule="exact"/>
      <w:ind w:firstLine="560"/>
    </w:pPr>
    <w:rPr>
      <w:rFonts w:eastAsia="方正仿宋_GBK"/>
      <w:sz w:val="28"/>
    </w:rPr>
  </w:style>
  <w:style w:type="paragraph" w:customStyle="1" w:styleId="28">
    <w:name w:val="单元格样式23"/>
    <w:basedOn w:val="1"/>
    <w:autoRedefine/>
    <w:qFormat/>
    <w:uiPriority w:val="99"/>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autoRedefine/>
    <w:qFormat/>
    <w:uiPriority w:val="99"/>
    <w:pPr>
      <w:spacing w:line="500" w:lineRule="exact"/>
      <w:ind w:firstLine="560"/>
    </w:pPr>
    <w:rPr>
      <w:rFonts w:eastAsia="方正仿宋_GBK"/>
      <w:sz w:val="28"/>
    </w:rPr>
  </w:style>
  <w:style w:type="paragraph" w:customStyle="1" w:styleId="33">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numbering.xml" Type="http://schemas.openxmlformats.org/officeDocument/2006/relationships/numbering"/><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57</Pages>
  <Words>21591</Words>
  <Characters>24363</Characters>
  <Lines>0</Lines>
  <Paragraphs>0</Paragraphs>
  <TotalTime>69</TotalTime>
  <ScaleCrop>false</ScaleCrop>
  <LinksUpToDate>false</LinksUpToDate>
  <CharactersWithSpaces>24593</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2023-01-19T02:01:00Z</dcterms:created>
  <dc:creator>lyxcb</dc:creator>
  <cp:lastModifiedBy>月影乌瞳金丝虎</cp:lastModifiedBy>
  <dcterms:modified xsi:type="dcterms:W3CDTF">2024-02-05T10:42:48Z</dcterms:modified>
  <cp:revision>2</cp:revision>
  <dc:title>2023年部门预算信息公开目录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15E4C79F376841C3820EE85DE3CEC7FF_13</vt:lpwstr>
  </property>
</Properties>
</file>