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一、隆尧县商务局本级收支预算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"_Toc_4_4_0000000002" </w:instrText>
      </w:r>
      <w:r>
        <w:fldChar w:fldCharType="separate"/>
      </w:r>
      <w:r>
        <w:t>二、隆尧县招商服务中心收支预算</w:t>
      </w:r>
      <w:r>
        <w:tab/>
      </w:r>
      <w:r>
        <w:rPr>
          <w:rFonts w:hint="eastAsia"/>
          <w:lang w:eastAsia="zh-CN"/>
        </w:rPr>
        <w:t>38</w:t>
      </w:r>
      <w:r>
        <w:rPr>
          <w:rFonts w:hint="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一、隆尧县商务局本级收支预算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814001隆尧县商务局本级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1068.77</w:t>
            </w:r>
          </w:p>
        </w:tc>
        <w:tc>
          <w:tcPr>
            <w:tcW w:w="4535" w:type="dxa"/>
            <w:vAlign w:val="center"/>
          </w:tcPr>
          <w:p>
            <w:pPr>
              <w:pStyle w:val="16"/>
            </w:pPr>
            <w:r>
              <w:t>一、一般公共服务支出</w:t>
            </w:r>
          </w:p>
        </w:tc>
        <w:tc>
          <w:tcPr>
            <w:tcW w:w="2126" w:type="dxa"/>
            <w:vAlign w:val="center"/>
          </w:tcPr>
          <w:p>
            <w:pPr>
              <w:pStyle w:val="15"/>
            </w:pPr>
            <w:r>
              <w:t>355.68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1068.77</w:t>
            </w:r>
          </w:p>
        </w:tc>
        <w:tc>
          <w:tcPr>
            <w:tcW w:w="4535" w:type="dxa"/>
            <w:vAlign w:val="center"/>
          </w:tcPr>
          <w:p>
            <w:pPr>
              <w:pStyle w:val="18"/>
            </w:pPr>
            <w:r>
              <w:t>本年支出合计</w:t>
            </w:r>
          </w:p>
        </w:tc>
        <w:tc>
          <w:tcPr>
            <w:tcW w:w="2126" w:type="dxa"/>
            <w:vAlign w:val="center"/>
          </w:tcPr>
          <w:p>
            <w:pPr>
              <w:pStyle w:val="19"/>
            </w:pPr>
            <w:r>
              <w:t>1068.77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1068.77</w:t>
            </w:r>
          </w:p>
        </w:tc>
        <w:tc>
          <w:tcPr>
            <w:tcW w:w="4535" w:type="dxa"/>
            <w:vAlign w:val="center"/>
          </w:tcPr>
          <w:p>
            <w:pPr>
              <w:pStyle w:val="18"/>
            </w:pPr>
            <w:r>
              <w:t>支出总计</w:t>
            </w:r>
          </w:p>
        </w:tc>
        <w:tc>
          <w:tcPr>
            <w:tcW w:w="2126" w:type="dxa"/>
            <w:vAlign w:val="center"/>
          </w:tcPr>
          <w:p>
            <w:pPr>
              <w:pStyle w:val="19"/>
            </w:pPr>
            <w:r>
              <w:t>1068.77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814001隆尧县商务局本级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1068.77</w:t>
            </w:r>
          </w:p>
        </w:tc>
        <w:tc>
          <w:tcPr>
            <w:tcW w:w="1134" w:type="dxa"/>
            <w:vAlign w:val="center"/>
          </w:tcPr>
          <w:p>
            <w:pPr>
              <w:pStyle w:val="19"/>
            </w:pPr>
            <w:r>
              <w:t>1068.77</w:t>
            </w:r>
          </w:p>
        </w:tc>
        <w:tc>
          <w:tcPr>
            <w:tcW w:w="1134" w:type="dxa"/>
            <w:vAlign w:val="center"/>
          </w:tcPr>
          <w:p>
            <w:pPr>
              <w:pStyle w:val="19"/>
            </w:pPr>
            <w:r>
              <w:t>1068.77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355.68</w:t>
            </w:r>
          </w:p>
        </w:tc>
        <w:tc>
          <w:tcPr>
            <w:tcW w:w="1134" w:type="dxa"/>
            <w:vAlign w:val="center"/>
          </w:tcPr>
          <w:p>
            <w:pPr>
              <w:pStyle w:val="15"/>
            </w:pPr>
            <w:r>
              <w:t>355.68</w:t>
            </w:r>
          </w:p>
        </w:tc>
        <w:tc>
          <w:tcPr>
            <w:tcW w:w="1134" w:type="dxa"/>
            <w:vAlign w:val="center"/>
          </w:tcPr>
          <w:p>
            <w:pPr>
              <w:pStyle w:val="15"/>
            </w:pPr>
            <w:r>
              <w:t>355.68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355.68</w:t>
            </w:r>
          </w:p>
        </w:tc>
        <w:tc>
          <w:tcPr>
            <w:tcW w:w="1134" w:type="dxa"/>
            <w:vAlign w:val="center"/>
          </w:tcPr>
          <w:p>
            <w:pPr>
              <w:pStyle w:val="15"/>
            </w:pPr>
            <w:r>
              <w:t>355.68</w:t>
            </w:r>
          </w:p>
        </w:tc>
        <w:tc>
          <w:tcPr>
            <w:tcW w:w="1134" w:type="dxa"/>
            <w:vAlign w:val="center"/>
          </w:tcPr>
          <w:p>
            <w:pPr>
              <w:pStyle w:val="15"/>
            </w:pPr>
            <w:r>
              <w:t>355.68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144.05</w:t>
            </w:r>
          </w:p>
        </w:tc>
        <w:tc>
          <w:tcPr>
            <w:tcW w:w="1134" w:type="dxa"/>
            <w:vAlign w:val="center"/>
          </w:tcPr>
          <w:p>
            <w:pPr>
              <w:pStyle w:val="15"/>
            </w:pPr>
            <w:r>
              <w:t>144.05</w:t>
            </w:r>
          </w:p>
        </w:tc>
        <w:tc>
          <w:tcPr>
            <w:tcW w:w="1134" w:type="dxa"/>
            <w:vAlign w:val="center"/>
          </w:tcPr>
          <w:p>
            <w:pPr>
              <w:pStyle w:val="15"/>
            </w:pPr>
            <w:r>
              <w:t>144.05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2011306</w:t>
            </w:r>
          </w:p>
        </w:tc>
        <w:tc>
          <w:tcPr>
            <w:tcW w:w="1559" w:type="dxa"/>
            <w:vAlign w:val="center"/>
          </w:tcPr>
          <w:p>
            <w:pPr>
              <w:pStyle w:val="16"/>
            </w:pPr>
            <w:r>
              <w:t>外资管理</w:t>
            </w:r>
          </w:p>
        </w:tc>
        <w:tc>
          <w:tcPr>
            <w:tcW w:w="1134" w:type="dxa"/>
            <w:vAlign w:val="center"/>
          </w:tcPr>
          <w:p>
            <w:pPr>
              <w:pStyle w:val="15"/>
            </w:pPr>
            <w:r>
              <w:t>3.20</w:t>
            </w:r>
          </w:p>
        </w:tc>
        <w:tc>
          <w:tcPr>
            <w:tcW w:w="1134" w:type="dxa"/>
            <w:vAlign w:val="center"/>
          </w:tcPr>
          <w:p>
            <w:pPr>
              <w:pStyle w:val="15"/>
            </w:pPr>
            <w:r>
              <w:t>3.20</w:t>
            </w:r>
          </w:p>
        </w:tc>
        <w:tc>
          <w:tcPr>
            <w:tcW w:w="1134" w:type="dxa"/>
            <w:vAlign w:val="center"/>
          </w:tcPr>
          <w:p>
            <w:pPr>
              <w:pStyle w:val="15"/>
            </w:pPr>
            <w:r>
              <w:t>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2011307</w:t>
            </w:r>
          </w:p>
        </w:tc>
        <w:tc>
          <w:tcPr>
            <w:tcW w:w="1559" w:type="dxa"/>
            <w:vAlign w:val="center"/>
          </w:tcPr>
          <w:p>
            <w:pPr>
              <w:pStyle w:val="16"/>
            </w:pPr>
            <w:r>
              <w:t>国内贸易管理</w:t>
            </w:r>
          </w:p>
        </w:tc>
        <w:tc>
          <w:tcPr>
            <w:tcW w:w="1134" w:type="dxa"/>
            <w:vAlign w:val="center"/>
          </w:tcPr>
          <w:p>
            <w:pPr>
              <w:pStyle w:val="15"/>
            </w:pPr>
            <w:r>
              <w:t>168.00</w:t>
            </w:r>
          </w:p>
        </w:tc>
        <w:tc>
          <w:tcPr>
            <w:tcW w:w="1134" w:type="dxa"/>
            <w:vAlign w:val="center"/>
          </w:tcPr>
          <w:p>
            <w:pPr>
              <w:pStyle w:val="15"/>
            </w:pPr>
            <w:r>
              <w:t>168.00</w:t>
            </w:r>
          </w:p>
        </w:tc>
        <w:tc>
          <w:tcPr>
            <w:tcW w:w="1134" w:type="dxa"/>
            <w:vAlign w:val="center"/>
          </w:tcPr>
          <w:p>
            <w:pPr>
              <w:pStyle w:val="15"/>
            </w:pPr>
            <w:r>
              <w:t>168.00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2011399</w:t>
            </w:r>
          </w:p>
        </w:tc>
        <w:tc>
          <w:tcPr>
            <w:tcW w:w="1559" w:type="dxa"/>
            <w:vAlign w:val="center"/>
          </w:tcPr>
          <w:p>
            <w:pPr>
              <w:pStyle w:val="16"/>
            </w:pPr>
            <w:r>
              <w:t>其他商贸事务支出</w:t>
            </w:r>
          </w:p>
        </w:tc>
        <w:tc>
          <w:tcPr>
            <w:tcW w:w="1134" w:type="dxa"/>
            <w:vAlign w:val="center"/>
          </w:tcPr>
          <w:p>
            <w:pPr>
              <w:pStyle w:val="15"/>
            </w:pPr>
            <w:r>
              <w:t>40.43</w:t>
            </w:r>
          </w:p>
        </w:tc>
        <w:tc>
          <w:tcPr>
            <w:tcW w:w="1134" w:type="dxa"/>
            <w:vAlign w:val="center"/>
          </w:tcPr>
          <w:p>
            <w:pPr>
              <w:pStyle w:val="15"/>
            </w:pPr>
            <w:r>
              <w:t>40.43</w:t>
            </w:r>
          </w:p>
        </w:tc>
        <w:tc>
          <w:tcPr>
            <w:tcW w:w="1134" w:type="dxa"/>
            <w:vAlign w:val="center"/>
          </w:tcPr>
          <w:p>
            <w:pPr>
              <w:pStyle w:val="15"/>
            </w:pPr>
            <w:r>
              <w:t>40.43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r>
              <w:t>14.51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r>
              <w:t>6.83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r>
              <w:t>680.00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r>
              <w:t>11.74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1068.77</w:t>
            </w:r>
          </w:p>
        </w:tc>
        <w:tc>
          <w:tcPr>
            <w:tcW w:w="1361" w:type="dxa"/>
            <w:vAlign w:val="center"/>
          </w:tcPr>
          <w:p>
            <w:pPr>
              <w:pStyle w:val="19"/>
            </w:pPr>
            <w:r>
              <w:t>177.13</w:t>
            </w:r>
          </w:p>
        </w:tc>
        <w:tc>
          <w:tcPr>
            <w:tcW w:w="1361" w:type="dxa"/>
            <w:vAlign w:val="center"/>
          </w:tcPr>
          <w:p>
            <w:pPr>
              <w:pStyle w:val="19"/>
            </w:pPr>
            <w:r>
              <w:t>891.63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355.68</w:t>
            </w:r>
          </w:p>
        </w:tc>
        <w:tc>
          <w:tcPr>
            <w:tcW w:w="1361" w:type="dxa"/>
            <w:vAlign w:val="center"/>
          </w:tcPr>
          <w:p>
            <w:pPr>
              <w:pStyle w:val="15"/>
            </w:pPr>
            <w:r>
              <w:t>144.05</w:t>
            </w:r>
          </w:p>
        </w:tc>
        <w:tc>
          <w:tcPr>
            <w:tcW w:w="1361" w:type="dxa"/>
            <w:vAlign w:val="center"/>
          </w:tcPr>
          <w:p>
            <w:pPr>
              <w:pStyle w:val="15"/>
            </w:pPr>
            <w:r>
              <w:t>211.63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355.68</w:t>
            </w:r>
          </w:p>
        </w:tc>
        <w:tc>
          <w:tcPr>
            <w:tcW w:w="1361" w:type="dxa"/>
            <w:vAlign w:val="center"/>
          </w:tcPr>
          <w:p>
            <w:pPr>
              <w:pStyle w:val="15"/>
            </w:pPr>
            <w:r>
              <w:t>144.05</w:t>
            </w:r>
          </w:p>
        </w:tc>
        <w:tc>
          <w:tcPr>
            <w:tcW w:w="1361" w:type="dxa"/>
            <w:vAlign w:val="center"/>
          </w:tcPr>
          <w:p>
            <w:pPr>
              <w:pStyle w:val="15"/>
            </w:pPr>
            <w:r>
              <w:t>211.63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144.05</w:t>
            </w:r>
          </w:p>
        </w:tc>
        <w:tc>
          <w:tcPr>
            <w:tcW w:w="1361" w:type="dxa"/>
            <w:vAlign w:val="center"/>
          </w:tcPr>
          <w:p>
            <w:pPr>
              <w:pStyle w:val="15"/>
            </w:pPr>
            <w:r>
              <w:t>144.05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2011306</w:t>
            </w:r>
          </w:p>
        </w:tc>
        <w:tc>
          <w:tcPr>
            <w:tcW w:w="4535" w:type="dxa"/>
            <w:vAlign w:val="center"/>
          </w:tcPr>
          <w:p>
            <w:pPr>
              <w:pStyle w:val="16"/>
            </w:pPr>
            <w:r>
              <w:t>外资管理</w:t>
            </w:r>
          </w:p>
        </w:tc>
        <w:tc>
          <w:tcPr>
            <w:tcW w:w="1361" w:type="dxa"/>
            <w:vAlign w:val="center"/>
          </w:tcPr>
          <w:p>
            <w:pPr>
              <w:pStyle w:val="15"/>
            </w:pPr>
            <w:r>
              <w:t>3.20</w:t>
            </w:r>
          </w:p>
        </w:tc>
        <w:tc>
          <w:tcPr>
            <w:tcW w:w="1361" w:type="dxa"/>
            <w:vAlign w:val="center"/>
          </w:tcPr>
          <w:p>
            <w:pPr>
              <w:pStyle w:val="15"/>
            </w:pPr>
          </w:p>
        </w:tc>
        <w:tc>
          <w:tcPr>
            <w:tcW w:w="1361" w:type="dxa"/>
            <w:vAlign w:val="center"/>
          </w:tcPr>
          <w:p>
            <w:pPr>
              <w:pStyle w:val="15"/>
            </w:pPr>
            <w:r>
              <w:t>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2011307</w:t>
            </w:r>
          </w:p>
        </w:tc>
        <w:tc>
          <w:tcPr>
            <w:tcW w:w="4535" w:type="dxa"/>
            <w:vAlign w:val="center"/>
          </w:tcPr>
          <w:p>
            <w:pPr>
              <w:pStyle w:val="16"/>
            </w:pPr>
            <w:r>
              <w:t>国内贸易管理</w:t>
            </w:r>
          </w:p>
        </w:tc>
        <w:tc>
          <w:tcPr>
            <w:tcW w:w="1361" w:type="dxa"/>
            <w:vAlign w:val="center"/>
          </w:tcPr>
          <w:p>
            <w:pPr>
              <w:pStyle w:val="15"/>
            </w:pPr>
            <w:r>
              <w:t>168.00</w:t>
            </w:r>
          </w:p>
        </w:tc>
        <w:tc>
          <w:tcPr>
            <w:tcW w:w="1361" w:type="dxa"/>
            <w:vAlign w:val="center"/>
          </w:tcPr>
          <w:p>
            <w:pPr>
              <w:pStyle w:val="15"/>
            </w:pPr>
          </w:p>
        </w:tc>
        <w:tc>
          <w:tcPr>
            <w:tcW w:w="1361" w:type="dxa"/>
            <w:vAlign w:val="center"/>
          </w:tcPr>
          <w:p>
            <w:pPr>
              <w:pStyle w:val="15"/>
            </w:pPr>
            <w:r>
              <w:t>168.00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2011399</w:t>
            </w:r>
          </w:p>
        </w:tc>
        <w:tc>
          <w:tcPr>
            <w:tcW w:w="4535" w:type="dxa"/>
            <w:vAlign w:val="center"/>
          </w:tcPr>
          <w:p>
            <w:pPr>
              <w:pStyle w:val="16"/>
            </w:pPr>
            <w:r>
              <w:t>其他商贸事务支出</w:t>
            </w:r>
          </w:p>
        </w:tc>
        <w:tc>
          <w:tcPr>
            <w:tcW w:w="1361" w:type="dxa"/>
            <w:vAlign w:val="center"/>
          </w:tcPr>
          <w:p>
            <w:pPr>
              <w:pStyle w:val="15"/>
            </w:pPr>
            <w:r>
              <w:t>40.43</w:t>
            </w:r>
          </w:p>
        </w:tc>
        <w:tc>
          <w:tcPr>
            <w:tcW w:w="1361" w:type="dxa"/>
            <w:vAlign w:val="center"/>
          </w:tcPr>
          <w:p>
            <w:pPr>
              <w:pStyle w:val="15"/>
            </w:pPr>
          </w:p>
        </w:tc>
        <w:tc>
          <w:tcPr>
            <w:tcW w:w="1361" w:type="dxa"/>
            <w:vAlign w:val="center"/>
          </w:tcPr>
          <w:p>
            <w:pPr>
              <w:pStyle w:val="15"/>
            </w:pPr>
            <w:r>
              <w:t>40.43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14.51</w:t>
            </w:r>
          </w:p>
        </w:tc>
        <w:tc>
          <w:tcPr>
            <w:tcW w:w="1361" w:type="dxa"/>
            <w:vAlign w:val="center"/>
          </w:tcPr>
          <w:p>
            <w:pPr>
              <w:pStyle w:val="15"/>
            </w:pPr>
            <w:r>
              <w:t>14.51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14.51</w:t>
            </w:r>
          </w:p>
        </w:tc>
        <w:tc>
          <w:tcPr>
            <w:tcW w:w="1361" w:type="dxa"/>
            <w:vAlign w:val="center"/>
          </w:tcPr>
          <w:p>
            <w:pPr>
              <w:pStyle w:val="15"/>
            </w:pPr>
            <w:r>
              <w:t>14.51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14.51</w:t>
            </w:r>
          </w:p>
        </w:tc>
        <w:tc>
          <w:tcPr>
            <w:tcW w:w="1361" w:type="dxa"/>
            <w:vAlign w:val="center"/>
          </w:tcPr>
          <w:p>
            <w:pPr>
              <w:pStyle w:val="15"/>
            </w:pPr>
            <w:r>
              <w:t>14.51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6.83</w:t>
            </w:r>
          </w:p>
        </w:tc>
        <w:tc>
          <w:tcPr>
            <w:tcW w:w="1361" w:type="dxa"/>
            <w:vAlign w:val="center"/>
          </w:tcPr>
          <w:p>
            <w:pPr>
              <w:pStyle w:val="15"/>
            </w:pPr>
            <w:r>
              <w:t>6.83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6.83</w:t>
            </w:r>
          </w:p>
        </w:tc>
        <w:tc>
          <w:tcPr>
            <w:tcW w:w="1361" w:type="dxa"/>
            <w:vAlign w:val="center"/>
          </w:tcPr>
          <w:p>
            <w:pPr>
              <w:pStyle w:val="15"/>
            </w:pPr>
            <w:r>
              <w:t>6.83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6.83</w:t>
            </w:r>
          </w:p>
        </w:tc>
        <w:tc>
          <w:tcPr>
            <w:tcW w:w="1361" w:type="dxa"/>
            <w:vAlign w:val="center"/>
          </w:tcPr>
          <w:p>
            <w:pPr>
              <w:pStyle w:val="15"/>
            </w:pPr>
            <w:r>
              <w:t>6.83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r>
              <w:t>680.00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11.74</w:t>
            </w:r>
          </w:p>
        </w:tc>
        <w:tc>
          <w:tcPr>
            <w:tcW w:w="1361" w:type="dxa"/>
            <w:vAlign w:val="center"/>
          </w:tcPr>
          <w:p>
            <w:pPr>
              <w:pStyle w:val="15"/>
            </w:pPr>
            <w:r>
              <w:t>11.74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11.74</w:t>
            </w:r>
          </w:p>
        </w:tc>
        <w:tc>
          <w:tcPr>
            <w:tcW w:w="1361" w:type="dxa"/>
            <w:vAlign w:val="center"/>
          </w:tcPr>
          <w:p>
            <w:pPr>
              <w:pStyle w:val="15"/>
            </w:pPr>
            <w:r>
              <w:t>11.74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11.74</w:t>
            </w:r>
          </w:p>
        </w:tc>
        <w:tc>
          <w:tcPr>
            <w:tcW w:w="1361" w:type="dxa"/>
            <w:vAlign w:val="center"/>
          </w:tcPr>
          <w:p>
            <w:pPr>
              <w:pStyle w:val="15"/>
            </w:pPr>
            <w:r>
              <w:t>11.74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1068.77</w:t>
            </w:r>
          </w:p>
        </w:tc>
        <w:tc>
          <w:tcPr>
            <w:tcW w:w="3402" w:type="dxa"/>
            <w:vAlign w:val="center"/>
          </w:tcPr>
          <w:p>
            <w:pPr>
              <w:pStyle w:val="16"/>
            </w:pPr>
            <w:r>
              <w:t>一、一般公共服务支出</w:t>
            </w:r>
          </w:p>
        </w:tc>
        <w:tc>
          <w:tcPr>
            <w:tcW w:w="1474" w:type="dxa"/>
            <w:vAlign w:val="center"/>
          </w:tcPr>
          <w:p>
            <w:pPr>
              <w:pStyle w:val="15"/>
            </w:pPr>
            <w:r>
              <w:t>355.68</w:t>
            </w:r>
          </w:p>
        </w:tc>
        <w:tc>
          <w:tcPr>
            <w:tcW w:w="1474" w:type="dxa"/>
            <w:vAlign w:val="center"/>
          </w:tcPr>
          <w:p>
            <w:pPr>
              <w:pStyle w:val="15"/>
            </w:pPr>
            <w:r>
              <w:t>355.68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14.51</w:t>
            </w:r>
          </w:p>
        </w:tc>
        <w:tc>
          <w:tcPr>
            <w:tcW w:w="1474" w:type="dxa"/>
            <w:vAlign w:val="center"/>
          </w:tcPr>
          <w:p>
            <w:pPr>
              <w:pStyle w:val="15"/>
            </w:pPr>
            <w:r>
              <w:t>14.51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6.83</w:t>
            </w:r>
          </w:p>
        </w:tc>
        <w:tc>
          <w:tcPr>
            <w:tcW w:w="1474" w:type="dxa"/>
            <w:vAlign w:val="center"/>
          </w:tcPr>
          <w:p>
            <w:pPr>
              <w:pStyle w:val="15"/>
            </w:pPr>
            <w:r>
              <w:t>6.83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680.00</w:t>
            </w:r>
          </w:p>
        </w:tc>
        <w:tc>
          <w:tcPr>
            <w:tcW w:w="1474" w:type="dxa"/>
            <w:vAlign w:val="center"/>
          </w:tcPr>
          <w:p>
            <w:pPr>
              <w:pStyle w:val="15"/>
            </w:pPr>
            <w:r>
              <w:t>680.00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11.74</w:t>
            </w:r>
          </w:p>
        </w:tc>
        <w:tc>
          <w:tcPr>
            <w:tcW w:w="1474" w:type="dxa"/>
            <w:vAlign w:val="center"/>
          </w:tcPr>
          <w:p>
            <w:pPr>
              <w:pStyle w:val="15"/>
            </w:pPr>
            <w:r>
              <w:t>11.74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1068.77</w:t>
            </w:r>
          </w:p>
        </w:tc>
        <w:tc>
          <w:tcPr>
            <w:tcW w:w="3402" w:type="dxa"/>
            <w:vAlign w:val="center"/>
          </w:tcPr>
          <w:p>
            <w:pPr>
              <w:pStyle w:val="18"/>
            </w:pPr>
            <w:r>
              <w:t>本年支出合计</w:t>
            </w:r>
          </w:p>
        </w:tc>
        <w:tc>
          <w:tcPr>
            <w:tcW w:w="1474" w:type="dxa"/>
            <w:vAlign w:val="center"/>
          </w:tcPr>
          <w:p>
            <w:pPr>
              <w:pStyle w:val="19"/>
            </w:pPr>
            <w:r>
              <w:t>1068.77</w:t>
            </w:r>
          </w:p>
        </w:tc>
        <w:tc>
          <w:tcPr>
            <w:tcW w:w="1474" w:type="dxa"/>
            <w:vAlign w:val="center"/>
          </w:tcPr>
          <w:p>
            <w:pPr>
              <w:pStyle w:val="19"/>
            </w:pPr>
            <w:r>
              <w:t>1068.77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1068.77</w:t>
            </w:r>
          </w:p>
        </w:tc>
        <w:tc>
          <w:tcPr>
            <w:tcW w:w="3402" w:type="dxa"/>
            <w:vAlign w:val="center"/>
          </w:tcPr>
          <w:p>
            <w:pPr>
              <w:pStyle w:val="18"/>
            </w:pPr>
            <w:r>
              <w:t>支出总计</w:t>
            </w:r>
          </w:p>
        </w:tc>
        <w:tc>
          <w:tcPr>
            <w:tcW w:w="1474" w:type="dxa"/>
            <w:vAlign w:val="center"/>
          </w:tcPr>
          <w:p>
            <w:pPr>
              <w:pStyle w:val="19"/>
            </w:pPr>
            <w:r>
              <w:t>1068.77</w:t>
            </w:r>
          </w:p>
        </w:tc>
        <w:tc>
          <w:tcPr>
            <w:tcW w:w="1474" w:type="dxa"/>
            <w:vAlign w:val="center"/>
          </w:tcPr>
          <w:p>
            <w:pPr>
              <w:pStyle w:val="19"/>
            </w:pPr>
            <w:r>
              <w:t>1068.77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1068.77</w:t>
            </w:r>
          </w:p>
        </w:tc>
        <w:tc>
          <w:tcPr>
            <w:tcW w:w="2551" w:type="dxa"/>
            <w:vAlign w:val="center"/>
          </w:tcPr>
          <w:p>
            <w:pPr>
              <w:pStyle w:val="19"/>
            </w:pPr>
            <w:r>
              <w:t>177.13</w:t>
            </w:r>
          </w:p>
        </w:tc>
        <w:tc>
          <w:tcPr>
            <w:tcW w:w="2551" w:type="dxa"/>
            <w:vAlign w:val="center"/>
          </w:tcPr>
          <w:p>
            <w:pPr>
              <w:pStyle w:val="19"/>
            </w:pPr>
            <w:r>
              <w:t>891.63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355.68</w:t>
            </w:r>
          </w:p>
        </w:tc>
        <w:tc>
          <w:tcPr>
            <w:tcW w:w="2551" w:type="dxa"/>
            <w:vAlign w:val="center"/>
          </w:tcPr>
          <w:p>
            <w:pPr>
              <w:pStyle w:val="15"/>
            </w:pPr>
            <w:r>
              <w:t>144.05</w:t>
            </w:r>
          </w:p>
        </w:tc>
        <w:tc>
          <w:tcPr>
            <w:tcW w:w="2551" w:type="dxa"/>
            <w:vAlign w:val="center"/>
          </w:tcPr>
          <w:p>
            <w:pPr>
              <w:pStyle w:val="15"/>
            </w:pPr>
            <w:r>
              <w:t>211.63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355.68</w:t>
            </w:r>
          </w:p>
        </w:tc>
        <w:tc>
          <w:tcPr>
            <w:tcW w:w="2551" w:type="dxa"/>
            <w:vAlign w:val="center"/>
          </w:tcPr>
          <w:p>
            <w:pPr>
              <w:pStyle w:val="15"/>
            </w:pPr>
            <w:r>
              <w:t>144.05</w:t>
            </w:r>
          </w:p>
        </w:tc>
        <w:tc>
          <w:tcPr>
            <w:tcW w:w="2551" w:type="dxa"/>
            <w:vAlign w:val="center"/>
          </w:tcPr>
          <w:p>
            <w:pPr>
              <w:pStyle w:val="15"/>
            </w:pPr>
            <w:r>
              <w:t>211.63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144.05</w:t>
            </w:r>
          </w:p>
        </w:tc>
        <w:tc>
          <w:tcPr>
            <w:tcW w:w="2551" w:type="dxa"/>
            <w:vAlign w:val="center"/>
          </w:tcPr>
          <w:p>
            <w:pPr>
              <w:pStyle w:val="15"/>
            </w:pPr>
            <w:r>
              <w:t>144.05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2011306</w:t>
            </w:r>
          </w:p>
        </w:tc>
        <w:tc>
          <w:tcPr>
            <w:tcW w:w="4535" w:type="dxa"/>
            <w:vAlign w:val="center"/>
          </w:tcPr>
          <w:p>
            <w:pPr>
              <w:pStyle w:val="16"/>
            </w:pPr>
            <w:r>
              <w:t>外资管理</w:t>
            </w:r>
          </w:p>
        </w:tc>
        <w:tc>
          <w:tcPr>
            <w:tcW w:w="2551" w:type="dxa"/>
            <w:vAlign w:val="center"/>
          </w:tcPr>
          <w:p>
            <w:pPr>
              <w:pStyle w:val="15"/>
            </w:pPr>
            <w:r>
              <w:t>3.20</w:t>
            </w:r>
          </w:p>
        </w:tc>
        <w:tc>
          <w:tcPr>
            <w:tcW w:w="2551" w:type="dxa"/>
            <w:vAlign w:val="center"/>
          </w:tcPr>
          <w:p>
            <w:pPr>
              <w:pStyle w:val="15"/>
            </w:pPr>
          </w:p>
        </w:tc>
        <w:tc>
          <w:tcPr>
            <w:tcW w:w="2551" w:type="dxa"/>
            <w:vAlign w:val="center"/>
          </w:tcPr>
          <w:p>
            <w:pPr>
              <w:pStyle w:val="15"/>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2011307</w:t>
            </w:r>
          </w:p>
        </w:tc>
        <w:tc>
          <w:tcPr>
            <w:tcW w:w="4535" w:type="dxa"/>
            <w:vAlign w:val="center"/>
          </w:tcPr>
          <w:p>
            <w:pPr>
              <w:pStyle w:val="16"/>
            </w:pPr>
            <w:r>
              <w:t>国内贸易管理</w:t>
            </w:r>
          </w:p>
        </w:tc>
        <w:tc>
          <w:tcPr>
            <w:tcW w:w="2551" w:type="dxa"/>
            <w:vAlign w:val="center"/>
          </w:tcPr>
          <w:p>
            <w:pPr>
              <w:pStyle w:val="15"/>
            </w:pPr>
            <w:r>
              <w:t>168.00</w:t>
            </w:r>
          </w:p>
        </w:tc>
        <w:tc>
          <w:tcPr>
            <w:tcW w:w="2551" w:type="dxa"/>
            <w:vAlign w:val="center"/>
          </w:tcPr>
          <w:p>
            <w:pPr>
              <w:pStyle w:val="15"/>
            </w:pPr>
          </w:p>
        </w:tc>
        <w:tc>
          <w:tcPr>
            <w:tcW w:w="2551" w:type="dxa"/>
            <w:vAlign w:val="center"/>
          </w:tcPr>
          <w:p>
            <w:pPr>
              <w:pStyle w:val="15"/>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2011399</w:t>
            </w:r>
          </w:p>
        </w:tc>
        <w:tc>
          <w:tcPr>
            <w:tcW w:w="4535" w:type="dxa"/>
            <w:vAlign w:val="center"/>
          </w:tcPr>
          <w:p>
            <w:pPr>
              <w:pStyle w:val="16"/>
            </w:pPr>
            <w:r>
              <w:t>其他商贸事务支出</w:t>
            </w:r>
          </w:p>
        </w:tc>
        <w:tc>
          <w:tcPr>
            <w:tcW w:w="2551" w:type="dxa"/>
            <w:vAlign w:val="center"/>
          </w:tcPr>
          <w:p>
            <w:pPr>
              <w:pStyle w:val="15"/>
            </w:pPr>
            <w:r>
              <w:t>40.43</w:t>
            </w:r>
          </w:p>
        </w:tc>
        <w:tc>
          <w:tcPr>
            <w:tcW w:w="2551" w:type="dxa"/>
            <w:vAlign w:val="center"/>
          </w:tcPr>
          <w:p>
            <w:pPr>
              <w:pStyle w:val="15"/>
            </w:pPr>
          </w:p>
        </w:tc>
        <w:tc>
          <w:tcPr>
            <w:tcW w:w="2551" w:type="dxa"/>
            <w:vAlign w:val="center"/>
          </w:tcPr>
          <w:p>
            <w:pPr>
              <w:pStyle w:val="15"/>
            </w:pPr>
            <w:r>
              <w:t>40.43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14.51</w:t>
            </w:r>
          </w:p>
        </w:tc>
        <w:tc>
          <w:tcPr>
            <w:tcW w:w="2551" w:type="dxa"/>
            <w:vAlign w:val="center"/>
          </w:tcPr>
          <w:p>
            <w:pPr>
              <w:pStyle w:val="15"/>
            </w:pPr>
            <w:r>
              <w:t>14.51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14.51</w:t>
            </w:r>
          </w:p>
        </w:tc>
        <w:tc>
          <w:tcPr>
            <w:tcW w:w="2551" w:type="dxa"/>
            <w:vAlign w:val="center"/>
          </w:tcPr>
          <w:p>
            <w:pPr>
              <w:pStyle w:val="15"/>
            </w:pPr>
            <w:r>
              <w:t>14.51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14.51</w:t>
            </w:r>
          </w:p>
        </w:tc>
        <w:tc>
          <w:tcPr>
            <w:tcW w:w="2551" w:type="dxa"/>
            <w:vAlign w:val="center"/>
          </w:tcPr>
          <w:p>
            <w:pPr>
              <w:pStyle w:val="15"/>
            </w:pPr>
            <w:r>
              <w:t>14.51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6.83</w:t>
            </w:r>
          </w:p>
        </w:tc>
        <w:tc>
          <w:tcPr>
            <w:tcW w:w="2551" w:type="dxa"/>
            <w:vAlign w:val="center"/>
          </w:tcPr>
          <w:p>
            <w:pPr>
              <w:pStyle w:val="15"/>
            </w:pPr>
            <w:r>
              <w:t>6.83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6.83</w:t>
            </w:r>
          </w:p>
        </w:tc>
        <w:tc>
          <w:tcPr>
            <w:tcW w:w="2551" w:type="dxa"/>
            <w:vAlign w:val="center"/>
          </w:tcPr>
          <w:p>
            <w:pPr>
              <w:pStyle w:val="15"/>
            </w:pPr>
            <w:r>
              <w:t>6.83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6.83</w:t>
            </w:r>
          </w:p>
        </w:tc>
        <w:tc>
          <w:tcPr>
            <w:tcW w:w="2551" w:type="dxa"/>
            <w:vAlign w:val="center"/>
          </w:tcPr>
          <w:p>
            <w:pPr>
              <w:pStyle w:val="15"/>
            </w:pPr>
            <w:r>
              <w:t>6.83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680.00</w:t>
            </w:r>
          </w:p>
        </w:tc>
        <w:tc>
          <w:tcPr>
            <w:tcW w:w="2551" w:type="dxa"/>
            <w:vAlign w:val="center"/>
          </w:tcPr>
          <w:p>
            <w:pPr>
              <w:pStyle w:val="15"/>
            </w:pPr>
          </w:p>
        </w:tc>
        <w:tc>
          <w:tcPr>
            <w:tcW w:w="2551" w:type="dxa"/>
            <w:vAlign w:val="center"/>
          </w:tcPr>
          <w:p>
            <w:pPr>
              <w:pStyle w:val="15"/>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680.00</w:t>
            </w:r>
          </w:p>
        </w:tc>
        <w:tc>
          <w:tcPr>
            <w:tcW w:w="2551" w:type="dxa"/>
            <w:vAlign w:val="center"/>
          </w:tcPr>
          <w:p>
            <w:pPr>
              <w:pStyle w:val="15"/>
            </w:pPr>
          </w:p>
        </w:tc>
        <w:tc>
          <w:tcPr>
            <w:tcW w:w="2551" w:type="dxa"/>
            <w:vAlign w:val="center"/>
          </w:tcPr>
          <w:p>
            <w:pPr>
              <w:pStyle w:val="15"/>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680.00</w:t>
            </w:r>
          </w:p>
        </w:tc>
        <w:tc>
          <w:tcPr>
            <w:tcW w:w="2551" w:type="dxa"/>
            <w:vAlign w:val="center"/>
          </w:tcPr>
          <w:p>
            <w:pPr>
              <w:pStyle w:val="15"/>
            </w:pPr>
          </w:p>
        </w:tc>
        <w:tc>
          <w:tcPr>
            <w:tcW w:w="2551" w:type="dxa"/>
            <w:vAlign w:val="center"/>
          </w:tcPr>
          <w:p>
            <w:pPr>
              <w:pStyle w:val="15"/>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11.74</w:t>
            </w:r>
          </w:p>
        </w:tc>
        <w:tc>
          <w:tcPr>
            <w:tcW w:w="2551" w:type="dxa"/>
            <w:vAlign w:val="center"/>
          </w:tcPr>
          <w:p>
            <w:pPr>
              <w:pStyle w:val="15"/>
            </w:pPr>
            <w:r>
              <w:t>11.74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11.74</w:t>
            </w:r>
          </w:p>
        </w:tc>
        <w:tc>
          <w:tcPr>
            <w:tcW w:w="2551" w:type="dxa"/>
            <w:vAlign w:val="center"/>
          </w:tcPr>
          <w:p>
            <w:pPr>
              <w:pStyle w:val="15"/>
            </w:pPr>
            <w:r>
              <w:t>11.74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11.74</w:t>
            </w:r>
          </w:p>
        </w:tc>
        <w:tc>
          <w:tcPr>
            <w:tcW w:w="2551" w:type="dxa"/>
            <w:vAlign w:val="center"/>
          </w:tcPr>
          <w:p>
            <w:pPr>
              <w:pStyle w:val="15"/>
            </w:pPr>
            <w:r>
              <w:t>11.74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177.13</w:t>
            </w:r>
          </w:p>
        </w:tc>
        <w:tc>
          <w:tcPr>
            <w:tcW w:w="2551" w:type="dxa"/>
            <w:vAlign w:val="center"/>
          </w:tcPr>
          <w:p>
            <w:pPr>
              <w:pStyle w:val="19"/>
            </w:pPr>
            <w:r>
              <w:t>161.97</w:t>
            </w:r>
          </w:p>
        </w:tc>
        <w:tc>
          <w:tcPr>
            <w:tcW w:w="2551" w:type="dxa"/>
            <w:vAlign w:val="center"/>
          </w:tcPr>
          <w:p>
            <w:pPr>
              <w:pStyle w:val="19"/>
            </w:pPr>
            <w:r>
              <w:t>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133.13</w:t>
            </w:r>
          </w:p>
        </w:tc>
        <w:tc>
          <w:tcPr>
            <w:tcW w:w="2551" w:type="dxa"/>
            <w:vAlign w:val="center"/>
          </w:tcPr>
          <w:p>
            <w:pPr>
              <w:pStyle w:val="15"/>
            </w:pPr>
            <w:r>
              <w:t>133.13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55.87</w:t>
            </w:r>
          </w:p>
        </w:tc>
        <w:tc>
          <w:tcPr>
            <w:tcW w:w="2551" w:type="dxa"/>
            <w:vAlign w:val="center"/>
          </w:tcPr>
          <w:p>
            <w:pPr>
              <w:pStyle w:val="15"/>
            </w:pPr>
            <w:r>
              <w:t>55.87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21.29</w:t>
            </w:r>
          </w:p>
        </w:tc>
        <w:tc>
          <w:tcPr>
            <w:tcW w:w="2551" w:type="dxa"/>
            <w:vAlign w:val="center"/>
          </w:tcPr>
          <w:p>
            <w:pPr>
              <w:pStyle w:val="15"/>
            </w:pPr>
            <w:r>
              <w:t>21.29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9.86</w:t>
            </w:r>
          </w:p>
        </w:tc>
        <w:tc>
          <w:tcPr>
            <w:tcW w:w="2551" w:type="dxa"/>
            <w:vAlign w:val="center"/>
          </w:tcPr>
          <w:p>
            <w:pPr>
              <w:pStyle w:val="15"/>
            </w:pPr>
            <w:r>
              <w:t>9.86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12.63</w:t>
            </w:r>
          </w:p>
        </w:tc>
        <w:tc>
          <w:tcPr>
            <w:tcW w:w="2551" w:type="dxa"/>
            <w:vAlign w:val="center"/>
          </w:tcPr>
          <w:p>
            <w:pPr>
              <w:pStyle w:val="15"/>
            </w:pPr>
            <w:r>
              <w:t>12.63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14.51</w:t>
            </w:r>
          </w:p>
        </w:tc>
        <w:tc>
          <w:tcPr>
            <w:tcW w:w="2551" w:type="dxa"/>
            <w:vAlign w:val="center"/>
          </w:tcPr>
          <w:p>
            <w:pPr>
              <w:pStyle w:val="15"/>
            </w:pPr>
            <w:r>
              <w:t>14.51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6.83</w:t>
            </w:r>
          </w:p>
        </w:tc>
        <w:tc>
          <w:tcPr>
            <w:tcW w:w="2551" w:type="dxa"/>
            <w:vAlign w:val="center"/>
          </w:tcPr>
          <w:p>
            <w:pPr>
              <w:pStyle w:val="15"/>
            </w:pPr>
            <w:r>
              <w:t>6.83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0.40</w:t>
            </w:r>
          </w:p>
        </w:tc>
        <w:tc>
          <w:tcPr>
            <w:tcW w:w="2551" w:type="dxa"/>
            <w:vAlign w:val="center"/>
          </w:tcPr>
          <w:p>
            <w:pPr>
              <w:pStyle w:val="15"/>
            </w:pPr>
            <w:r>
              <w:t>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11.74</w:t>
            </w:r>
          </w:p>
        </w:tc>
        <w:tc>
          <w:tcPr>
            <w:tcW w:w="2551" w:type="dxa"/>
            <w:vAlign w:val="center"/>
          </w:tcPr>
          <w:p>
            <w:pPr>
              <w:pStyle w:val="15"/>
            </w:pPr>
            <w:r>
              <w:t>11.74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15.16</w:t>
            </w:r>
          </w:p>
        </w:tc>
        <w:tc>
          <w:tcPr>
            <w:tcW w:w="2551" w:type="dxa"/>
            <w:vAlign w:val="center"/>
          </w:tcPr>
          <w:p>
            <w:pPr>
              <w:pStyle w:val="15"/>
            </w:pPr>
          </w:p>
        </w:tc>
        <w:tc>
          <w:tcPr>
            <w:tcW w:w="2551" w:type="dxa"/>
            <w:vAlign w:val="center"/>
          </w:tcPr>
          <w:p>
            <w:pPr>
              <w:pStyle w:val="15"/>
            </w:pPr>
            <w:r>
              <w:t>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0.43</w:t>
            </w:r>
          </w:p>
        </w:tc>
        <w:tc>
          <w:tcPr>
            <w:tcW w:w="2551" w:type="dxa"/>
            <w:vAlign w:val="center"/>
          </w:tcPr>
          <w:p>
            <w:pPr>
              <w:pStyle w:val="15"/>
            </w:pPr>
          </w:p>
        </w:tc>
        <w:tc>
          <w:tcPr>
            <w:tcW w:w="2551" w:type="dxa"/>
            <w:vAlign w:val="center"/>
          </w:tcPr>
          <w:p>
            <w:pPr>
              <w:pStyle w:val="15"/>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2.30</w:t>
            </w:r>
          </w:p>
        </w:tc>
        <w:tc>
          <w:tcPr>
            <w:tcW w:w="2551" w:type="dxa"/>
            <w:vAlign w:val="center"/>
          </w:tcPr>
          <w:p>
            <w:pPr>
              <w:pStyle w:val="15"/>
            </w:pPr>
          </w:p>
        </w:tc>
        <w:tc>
          <w:tcPr>
            <w:tcW w:w="2551"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8.16</w:t>
            </w:r>
          </w:p>
        </w:tc>
        <w:tc>
          <w:tcPr>
            <w:tcW w:w="2551" w:type="dxa"/>
            <w:vAlign w:val="center"/>
          </w:tcPr>
          <w:p>
            <w:pPr>
              <w:pStyle w:val="15"/>
            </w:pPr>
          </w:p>
        </w:tc>
        <w:tc>
          <w:tcPr>
            <w:tcW w:w="2551" w:type="dxa"/>
            <w:vAlign w:val="center"/>
          </w:tcPr>
          <w:p>
            <w:pPr>
              <w:pStyle w:val="15"/>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0.28</w:t>
            </w:r>
          </w:p>
        </w:tc>
        <w:tc>
          <w:tcPr>
            <w:tcW w:w="2551" w:type="dxa"/>
            <w:vAlign w:val="center"/>
          </w:tcPr>
          <w:p>
            <w:pPr>
              <w:pStyle w:val="15"/>
            </w:pPr>
          </w:p>
        </w:tc>
        <w:tc>
          <w:tcPr>
            <w:tcW w:w="2551"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28.85</w:t>
            </w:r>
          </w:p>
        </w:tc>
        <w:tc>
          <w:tcPr>
            <w:tcW w:w="2551" w:type="dxa"/>
            <w:vAlign w:val="center"/>
          </w:tcPr>
          <w:p>
            <w:pPr>
              <w:pStyle w:val="15"/>
            </w:pPr>
            <w:r>
              <w:t>28.85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26.90</w:t>
            </w:r>
          </w:p>
        </w:tc>
        <w:tc>
          <w:tcPr>
            <w:tcW w:w="2551" w:type="dxa"/>
            <w:vAlign w:val="center"/>
          </w:tcPr>
          <w:p>
            <w:pPr>
              <w:pStyle w:val="15"/>
            </w:pPr>
            <w:r>
              <w:t>26.90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1.94</w:t>
            </w:r>
          </w:p>
        </w:tc>
        <w:tc>
          <w:tcPr>
            <w:tcW w:w="2551" w:type="dxa"/>
            <w:vAlign w:val="center"/>
          </w:tcPr>
          <w:p>
            <w:pPr>
              <w:pStyle w:val="15"/>
            </w:pPr>
            <w:r>
              <w:t>1.94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 xml:space="preserve">    其中：省属高校业务性会议费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12</w:t>
            </w:r>
          </w:p>
        </w:tc>
        <w:tc>
          <w:tcPr>
            <w:tcW w:w="3798" w:type="dxa"/>
            <w:vAlign w:val="center"/>
          </w:tcPr>
          <w:p>
            <w:pPr>
              <w:pStyle w:val="16"/>
            </w:pPr>
            <w:r>
              <w:t xml:space="preserve">          其他会议费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13</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隆尧县商务局本级2024年单位预算信息公开情况说明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按照《中华人民共和国预算法》、《地方预决算公开操作规程》和《关于进一步推进预算公开工作的实施意见》规定，现将隆尧县商务局本级2024年单位预算公开如下：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1"/>
      </w:pPr>
      <w:r>
        <w:rPr>
          <w:rFonts w:hint="eastAsia"/>
        </w:rPr>
        <w:t>根据《隆尧县商务局职能设置、内设机构和人员编制规定》，隆尧县商务局的主要职责是：</w:t>
      </w:r>
    </w:p>
    <w:p>
      <w:pPr>
        <w:pStyle w:val="21"/>
      </w:pPr>
      <w:r>
        <w:rPr>
          <w:rFonts w:hint="eastAsia"/>
        </w:rP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pStyle w:val="21"/>
      </w:pPr>
      <w:r>
        <w:rPr>
          <w:rFonts w:hint="eastAsia"/>
        </w:rP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pStyle w:val="21"/>
      </w:pPr>
      <w:r>
        <w:rPr>
          <w:rFonts w:hint="eastAsia"/>
        </w:rP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pStyle w:val="21"/>
      </w:pPr>
      <w:r>
        <w:rPr>
          <w:rFonts w:hint="eastAsia"/>
        </w:rPr>
        <w:t>（四）牵头推进商务领域信用体系建设，建立商务诚信公共服务平台。规范商贸企业交易行为，牵头推动重要产品追溯体系建设；按有关规定对特殊流通行业进行监督管理。</w:t>
      </w:r>
    </w:p>
    <w:p>
      <w:pPr>
        <w:pStyle w:val="21"/>
      </w:pPr>
      <w:r>
        <w:rPr>
          <w:rFonts w:hint="eastAsia"/>
        </w:rP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pStyle w:val="21"/>
      </w:pPr>
      <w:r>
        <w:rPr>
          <w:rFonts w:hint="eastAsia"/>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pStyle w:val="21"/>
      </w:pPr>
      <w:r>
        <w:rPr>
          <w:rFonts w:hint="eastAsia"/>
        </w:rP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pStyle w:val="21"/>
      </w:pPr>
      <w:r>
        <w:rPr>
          <w:rFonts w:hint="eastAsia"/>
        </w:rPr>
        <w:t>（八）会同有关部门贯彻执行国家和省、市促进服务出口和服务外包发展的规划、政策，牵头拟订全县服务贸易发展规划并组织实施。</w:t>
      </w:r>
    </w:p>
    <w:p>
      <w:pPr>
        <w:pStyle w:val="21"/>
      </w:pPr>
      <w:r>
        <w:rPr>
          <w:rFonts w:hint="eastAsia"/>
        </w:rP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pStyle w:val="21"/>
      </w:pPr>
      <w:r>
        <w:rPr>
          <w:rFonts w:hint="eastAsia"/>
        </w:rP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pStyle w:val="21"/>
      </w:pPr>
      <w:r>
        <w:rPr>
          <w:rFonts w:hint="eastAsia"/>
        </w:rP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21"/>
      </w:pPr>
      <w:r>
        <w:rPr>
          <w:rFonts w:hint="eastAsia"/>
        </w:rPr>
        <w:t>（十二）负责全县商务系统涉及世贸组织相关事务的研究、指导和服务工作，配合商务部、省商务厅、市商务局解决世贸组织框架下涉及我县的贸易争端，负责推进全县进出口贸易的标准化建设。</w:t>
      </w:r>
    </w:p>
    <w:p>
      <w:pPr>
        <w:pStyle w:val="21"/>
      </w:pPr>
      <w:r>
        <w:rPr>
          <w:rFonts w:hint="eastAsia"/>
        </w:rPr>
        <w:t>（十三）贯彻执行国家和省、市制定的对自由贸易区国家和地区的经贸规划、政策，并组织实施，管理联合国及其他国际组织或外国政府对我县经济技术合作方面的无偿援助及赠款等发展合作业务。</w:t>
      </w:r>
    </w:p>
    <w:p>
      <w:pPr>
        <w:pStyle w:val="21"/>
      </w:pPr>
      <w:r>
        <w:rPr>
          <w:rFonts w:hint="eastAsia"/>
        </w:rPr>
        <w:t>（十四）负责全县会展业促进与管理工作，指导、管理境内外对外经济技术展览会和赴境外非商业性办展活动。</w:t>
      </w:r>
    </w:p>
    <w:p>
      <w:pPr>
        <w:pStyle w:val="21"/>
      </w:pPr>
      <w:r>
        <w:rPr>
          <w:rFonts w:hint="eastAsia"/>
        </w:rPr>
        <w:t>（十五）监测分析全县商务运行情况，承担全县商务系统对外宣传和信息发布工作。</w:t>
      </w:r>
    </w:p>
    <w:p>
      <w:pPr>
        <w:pStyle w:val="21"/>
      </w:pPr>
      <w:r>
        <w:rPr>
          <w:rFonts w:hint="eastAsia"/>
        </w:rP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pStyle w:val="21"/>
      </w:pPr>
      <w:r>
        <w:rPr>
          <w:rFonts w:hint="eastAsia"/>
        </w:rPr>
        <w:t>（十七）完成县委、县政府交办的其他任务。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2"/>
      </w:pPr>
      <w:r>
        <w:t>1、收入说明</w:t>
      </w:r>
    </w:p>
    <w:p>
      <w:pPr>
        <w:pStyle w:val="22"/>
      </w:pPr>
      <w:r>
        <w:t>反映本单位当年全部收入。2024年预算收入1068.766283万元，其中：一般公共预算收入1068.766283万元，基金预算收入0万元，财政专户核拨收入0万元，其他来源收入0万元。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隆尧县商务局年度预算中支出预算的总体情况。2024年单位预算为1068.766283万元，其中基本支出177.133883万元，包括人员经费161.973883万元和日常公用经费15.16万元；项目支出891.6324万元，包括2023年促消费专项140.80万元；盘活存量/冀财建【2021】192号/中央/2022年中央服务业发展资金/电子商务示范县240万元；名校英才入冀房租补助专项1.2万元；外资外贸专项3.2万元；再生资源专项1.6万元；跨境电商专项13.712万元；外事专项1.2万元；退役士兵公益岗位专项24.3204万元；成品油市场监督监管专项6.4万元；电子商务专项4.8万元；电子商务进农村配套资金专项14.4万元；冀财建【2023】231号/中央/中央服务业发展资金440万元。</w:t>
      </w:r>
    </w:p>
    <w:p>
      <w:pPr>
        <w:pStyle w:val="22"/>
      </w:pPr>
      <w:r>
        <w:t>3、比上年增减情况</w:t>
      </w:r>
    </w:p>
    <w:p>
      <w:pPr>
        <w:pStyle w:val="22"/>
      </w:pPr>
      <w:r>
        <w:t>2024年单位预算收支安排1068.766283万元，较2023年减少703.598917万元，其中：基本支出减少26.973317万元，主要是人员减少，相应减少人员经费和日常公用经费；项目支出减少676.6256万元，主要是上年结转项目减少。</w:t>
      </w:r>
    </w:p>
    <w:p>
      <w:pPr>
        <w:spacing w:before="10" w:after="10"/>
        <w:ind w:firstLine="640"/>
        <w:outlineLvl w:val="5"/>
      </w:pPr>
      <w:r>
        <w:rPr>
          <w:rFonts w:ascii="黑体" w:hAnsi="黑体" w:eastAsia="黑体" w:cs="黑体"/>
          <w:color w:val="000000"/>
          <w:sz w:val="32"/>
        </w:rPr>
        <w:t>三、机关运行经费安排情况</w:t>
      </w:r>
    </w:p>
    <w:p>
      <w:pPr>
        <w:pStyle w:val="23"/>
      </w:pPr>
      <w:r>
        <w:t>2024年，我单位运行经费共计安排15.16万元。主要用于水费、电费、办公取暖费、党组织活动经费、办公费、公务交通补贴等日常运行支出。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t>2024年，我单位财政拨款“三公”经费预算安排0万元，其中因公出国（境）费0万元；公务用车购置及运维费0万元（其中：公务用车购置费为0万元，公务用车运行维护费0万元)；公务接待费0万元。与2023年相比减少0.3万元，减少的主要原因是：我单位本着厉行节约原则，在做好客商接待工作的同时，不搞铺张浪费，减少“三公”经费的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color w:val="000000"/>
          <w:sz w:val="28"/>
        </w:rPr>
        <w:t>1、2023年促消费专项绩效目标表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13052524P000002101207</w:t>
            </w:r>
          </w:p>
        </w:tc>
        <w:tc>
          <w:tcPr>
            <w:tcW w:w="2835" w:type="dxa"/>
            <w:vAlign w:val="center"/>
          </w:tcPr>
          <w:p>
            <w:pPr>
              <w:pStyle w:val="14"/>
            </w:pPr>
            <w:r>
              <w:t>项目名称</w:t>
            </w:r>
          </w:p>
        </w:tc>
        <w:tc>
          <w:tcPr>
            <w:tcW w:w="6094" w:type="dxa"/>
            <w:gridSpan w:val="3"/>
            <w:vAlign w:val="center"/>
          </w:tcPr>
          <w:p>
            <w:pPr>
              <w:pStyle w:val="16"/>
            </w:pPr>
            <w:r>
              <w:t>2023年促消费专项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140.80</w:t>
            </w:r>
          </w:p>
        </w:tc>
        <w:tc>
          <w:tcPr>
            <w:tcW w:w="2835" w:type="dxa"/>
            <w:vAlign w:val="center"/>
          </w:tcPr>
          <w:p>
            <w:pPr>
              <w:pStyle w:val="14"/>
            </w:pPr>
            <w:r>
              <w:t>其中：财政    资金</w:t>
            </w:r>
          </w:p>
        </w:tc>
        <w:tc>
          <w:tcPr>
            <w:tcW w:w="2551" w:type="dxa"/>
            <w:vAlign w:val="center"/>
          </w:tcPr>
          <w:p>
            <w:pPr>
              <w:pStyle w:val="16"/>
            </w:pPr>
            <w:r>
              <w:t>140.80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促进经济增长，最大限度释放消费潜力。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140.80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1.促进经济增长，最大限度释放消费潜力。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补贴企业个数</w:t>
            </w:r>
          </w:p>
        </w:tc>
        <w:tc>
          <w:tcPr>
            <w:tcW w:w="5386" w:type="dxa"/>
            <w:vAlign w:val="center"/>
          </w:tcPr>
          <w:p>
            <w:pPr>
              <w:pStyle w:val="16"/>
            </w:pPr>
            <w:r>
              <w:t>补贴企业个数</w:t>
            </w:r>
          </w:p>
        </w:tc>
        <w:tc>
          <w:tcPr>
            <w:tcW w:w="2268" w:type="dxa"/>
            <w:vAlign w:val="center"/>
          </w:tcPr>
          <w:p>
            <w:pPr>
              <w:pStyle w:val="16"/>
            </w:pPr>
            <w:r>
              <w:t>≥15个</w:t>
            </w:r>
          </w:p>
        </w:tc>
        <w:tc>
          <w:tcPr>
            <w:tcW w:w="1276" w:type="dxa"/>
            <w:vAlign w:val="center"/>
          </w:tcPr>
          <w:p>
            <w:pPr>
              <w:pStyle w:val="16"/>
            </w:pPr>
            <w:r>
              <w:t>发放消费券企业个数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鼓励本地商贸龙头企业个数</w:t>
            </w:r>
          </w:p>
        </w:tc>
        <w:tc>
          <w:tcPr>
            <w:tcW w:w="5386" w:type="dxa"/>
            <w:vAlign w:val="center"/>
          </w:tcPr>
          <w:p>
            <w:pPr>
              <w:pStyle w:val="16"/>
            </w:pPr>
            <w:r>
              <w:t>鼓励本地商贸龙头企业个数</w:t>
            </w:r>
          </w:p>
        </w:tc>
        <w:tc>
          <w:tcPr>
            <w:tcW w:w="2268" w:type="dxa"/>
            <w:vAlign w:val="center"/>
          </w:tcPr>
          <w:p>
            <w:pPr>
              <w:pStyle w:val="16"/>
            </w:pPr>
            <w:r>
              <w:t>≥3个</w:t>
            </w:r>
          </w:p>
        </w:tc>
        <w:tc>
          <w:tcPr>
            <w:tcW w:w="1276" w:type="dxa"/>
            <w:vAlign w:val="center"/>
          </w:tcPr>
          <w:p>
            <w:pPr>
              <w:pStyle w:val="16"/>
            </w:pPr>
            <w:r>
              <w:t>参与促销费活动商贸龙头企业个数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及时发放率</w:t>
            </w:r>
          </w:p>
        </w:tc>
        <w:tc>
          <w:tcPr>
            <w:tcW w:w="5386" w:type="dxa"/>
            <w:vAlign w:val="center"/>
          </w:tcPr>
          <w:p>
            <w:pPr>
              <w:pStyle w:val="16"/>
            </w:pPr>
            <w:r>
              <w:t>及时发放率</w:t>
            </w:r>
          </w:p>
        </w:tc>
        <w:tc>
          <w:tcPr>
            <w:tcW w:w="2268" w:type="dxa"/>
            <w:vAlign w:val="center"/>
          </w:tcPr>
          <w:p>
            <w:pPr>
              <w:pStyle w:val="16"/>
            </w:pPr>
            <w:r>
              <w:t>100百分比</w:t>
            </w:r>
          </w:p>
        </w:tc>
        <w:tc>
          <w:tcPr>
            <w:tcW w:w="1276" w:type="dxa"/>
            <w:vAlign w:val="center"/>
          </w:tcPr>
          <w:p>
            <w:pPr>
              <w:pStyle w:val="16"/>
            </w:pPr>
            <w:r>
              <w:t>约定奖补时限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补贴成本</w:t>
            </w:r>
          </w:p>
        </w:tc>
        <w:tc>
          <w:tcPr>
            <w:tcW w:w="5386" w:type="dxa"/>
            <w:vAlign w:val="center"/>
          </w:tcPr>
          <w:p>
            <w:pPr>
              <w:pStyle w:val="16"/>
            </w:pPr>
            <w:r>
              <w:t>补贴成本</w:t>
            </w:r>
          </w:p>
        </w:tc>
        <w:tc>
          <w:tcPr>
            <w:tcW w:w="2268" w:type="dxa"/>
            <w:vAlign w:val="center"/>
          </w:tcPr>
          <w:p>
            <w:pPr>
              <w:pStyle w:val="16"/>
            </w:pPr>
            <w:r>
              <w:t>≤140.8万元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拉动消费金额</w:t>
            </w:r>
          </w:p>
        </w:tc>
        <w:tc>
          <w:tcPr>
            <w:tcW w:w="5386" w:type="dxa"/>
            <w:vAlign w:val="center"/>
          </w:tcPr>
          <w:p>
            <w:pPr>
              <w:pStyle w:val="16"/>
            </w:pPr>
            <w:r>
              <w:t>拉动消费金额</w:t>
            </w:r>
          </w:p>
        </w:tc>
        <w:tc>
          <w:tcPr>
            <w:tcW w:w="2268" w:type="dxa"/>
            <w:vAlign w:val="center"/>
          </w:tcPr>
          <w:p>
            <w:pPr>
              <w:pStyle w:val="16"/>
            </w:pPr>
            <w:r>
              <w:t>≥500万元</w:t>
            </w:r>
          </w:p>
        </w:tc>
        <w:tc>
          <w:tcPr>
            <w:tcW w:w="1276" w:type="dxa"/>
            <w:vAlign w:val="center"/>
          </w:tcPr>
          <w:p>
            <w:pPr>
              <w:pStyle w:val="16"/>
            </w:pPr>
            <w:r>
              <w:t>历年带动消费情况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5386" w:type="dxa"/>
            <w:vAlign w:val="center"/>
          </w:tcPr>
          <w:p>
            <w:pPr>
              <w:pStyle w:val="16"/>
            </w:pPr>
            <w:r>
              <w:t>企业满意度</w:t>
            </w:r>
          </w:p>
        </w:tc>
        <w:tc>
          <w:tcPr>
            <w:tcW w:w="2268" w:type="dxa"/>
            <w:vAlign w:val="center"/>
          </w:tcPr>
          <w:p>
            <w:pPr>
              <w:pStyle w:val="16"/>
            </w:pPr>
            <w:r>
              <w:t>≥90百分比</w:t>
            </w:r>
          </w:p>
        </w:tc>
        <w:tc>
          <w:tcPr>
            <w:tcW w:w="1276" w:type="dxa"/>
            <w:vAlign w:val="center"/>
          </w:tcPr>
          <w:p>
            <w:pPr>
              <w:pStyle w:val="16"/>
            </w:pPr>
            <w:r>
              <w:t>历史数据</w:t>
            </w:r>
          </w:p>
        </w:tc>
      </w:tr>
    </w:tbl>
    <w:p>
      <w:pPr>
        <w:ind w:firstLine="560"/>
        <w:rPr>
          <w:rFonts w:hint="eastAsia" w:ascii="方正仿宋_GBK" w:hAnsi="方正仿宋_GBK" w:eastAsia="方正仿宋_GBK" w:cs="方正仿宋_GBK"/>
          <w:b/>
          <w:color w:val="000000"/>
          <w:sz w:val="28"/>
          <w:lang w:eastAsia="zh-CN"/>
        </w:rPr>
      </w:pPr>
    </w:p>
    <w:p>
      <w:pPr>
        <w:ind w:firstLine="560"/>
        <w:rPr>
          <w:rFonts w:hint="eastAsia" w:ascii="方正仿宋_GBK" w:hAnsi="方正仿宋_GBK" w:eastAsia="方正仿宋_GBK" w:cs="方正仿宋_GBK"/>
          <w:b/>
          <w:color w:val="000000"/>
          <w:sz w:val="28"/>
          <w:lang w:eastAsia="zh-CN"/>
        </w:rPr>
      </w:pPr>
    </w:p>
    <w:p>
      <w:pPr>
        <w:ind w:firstLine="560"/>
      </w:pPr>
      <w:r>
        <w:rPr>
          <w:rFonts w:ascii="方正仿宋_GBK" w:hAnsi="方正仿宋_GBK" w:eastAsia="方正仿宋_GBK" w:cs="方正仿宋_GBK"/>
          <w:color w:val="000000"/>
          <w:sz w:val="28"/>
        </w:rPr>
        <w:t>2、成品油市场监督监管专项绩效目标表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13052524P000002100154</w:t>
            </w:r>
          </w:p>
        </w:tc>
        <w:tc>
          <w:tcPr>
            <w:tcW w:w="2835" w:type="dxa"/>
            <w:vAlign w:val="center"/>
          </w:tcPr>
          <w:p>
            <w:pPr>
              <w:pStyle w:val="14"/>
            </w:pPr>
            <w:r>
              <w:t>项目名称</w:t>
            </w:r>
          </w:p>
        </w:tc>
        <w:tc>
          <w:tcPr>
            <w:tcW w:w="6094" w:type="dxa"/>
            <w:gridSpan w:val="3"/>
            <w:vAlign w:val="center"/>
          </w:tcPr>
          <w:p>
            <w:pPr>
              <w:pStyle w:val="16"/>
            </w:pPr>
            <w:r>
              <w:t>成品油市场监督监管专项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w:t>
            </w:r>
          </w:p>
        </w:tc>
        <w:tc>
          <w:tcPr>
            <w:tcW w:w="2835" w:type="dxa"/>
            <w:vAlign w:val="center"/>
          </w:tcPr>
          <w:p>
            <w:pPr>
              <w:pStyle w:val="14"/>
            </w:pPr>
            <w:r>
              <w:t>其中：财政    资金</w:t>
            </w:r>
          </w:p>
        </w:tc>
        <w:tc>
          <w:tcPr>
            <w:tcW w:w="2551" w:type="dxa"/>
            <w:vAlign w:val="center"/>
          </w:tcPr>
          <w:p>
            <w:pPr>
              <w:pStyle w:val="16"/>
            </w:pPr>
            <w:r>
              <w:t>6.40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打击取缔非法经营加油站点，促进成品油市场稳健运行。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1.60</w:t>
            </w:r>
          </w:p>
        </w:tc>
        <w:tc>
          <w:tcPr>
            <w:tcW w:w="2835" w:type="dxa"/>
            <w:vAlign w:val="center"/>
          </w:tcPr>
          <w:p>
            <w:pPr>
              <w:pStyle w:val="17"/>
            </w:pPr>
            <w:r>
              <w:t>3.20</w:t>
            </w:r>
          </w:p>
        </w:tc>
        <w:tc>
          <w:tcPr>
            <w:tcW w:w="2551" w:type="dxa"/>
            <w:vAlign w:val="center"/>
          </w:tcPr>
          <w:p>
            <w:pPr>
              <w:pStyle w:val="17"/>
            </w:pPr>
            <w:r>
              <w:t>4.80</w:t>
            </w:r>
          </w:p>
        </w:tc>
        <w:tc>
          <w:tcPr>
            <w:tcW w:w="3543" w:type="dxa"/>
            <w:gridSpan w:val="2"/>
            <w:vAlign w:val="center"/>
          </w:tcPr>
          <w:p>
            <w:pPr>
              <w:pStyle w:val="17"/>
            </w:pPr>
            <w:r>
              <w:t>6.40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1.打击取缔非法经营加油站点，促进成品油市场稳健运行。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巡查加油站个数</w:t>
            </w:r>
          </w:p>
        </w:tc>
        <w:tc>
          <w:tcPr>
            <w:tcW w:w="5386" w:type="dxa"/>
            <w:vAlign w:val="center"/>
          </w:tcPr>
          <w:p>
            <w:pPr>
              <w:pStyle w:val="16"/>
            </w:pPr>
            <w:r>
              <w:t>全年检查加油站个数</w:t>
            </w:r>
          </w:p>
        </w:tc>
        <w:tc>
          <w:tcPr>
            <w:tcW w:w="2268" w:type="dxa"/>
            <w:vAlign w:val="center"/>
          </w:tcPr>
          <w:p>
            <w:pPr>
              <w:pStyle w:val="16"/>
            </w:pPr>
            <w:r>
              <w:t>≥50个</w:t>
            </w:r>
          </w:p>
        </w:tc>
        <w:tc>
          <w:tcPr>
            <w:tcW w:w="1276" w:type="dxa"/>
            <w:vAlign w:val="center"/>
          </w:tcPr>
          <w:p>
            <w:pPr>
              <w:pStyle w:val="16"/>
            </w:pPr>
            <w:r>
              <w:t>县域加油站数量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联合检查次数</w:t>
            </w:r>
          </w:p>
        </w:tc>
        <w:tc>
          <w:tcPr>
            <w:tcW w:w="5386" w:type="dxa"/>
            <w:vAlign w:val="center"/>
          </w:tcPr>
          <w:p>
            <w:pPr>
              <w:pStyle w:val="16"/>
            </w:pPr>
            <w:r>
              <w:t>全年组织开展联合检查次数</w:t>
            </w:r>
          </w:p>
        </w:tc>
        <w:tc>
          <w:tcPr>
            <w:tcW w:w="2268" w:type="dxa"/>
            <w:vAlign w:val="center"/>
          </w:tcPr>
          <w:p>
            <w:pPr>
              <w:pStyle w:val="16"/>
            </w:pPr>
            <w:r>
              <w:t>≥3次</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5386" w:type="dxa"/>
            <w:vAlign w:val="center"/>
          </w:tcPr>
          <w:p>
            <w:pPr>
              <w:pStyle w:val="16"/>
            </w:pPr>
            <w:r>
              <w:t>按时对全县加油站点进行监督管理</w:t>
            </w:r>
          </w:p>
        </w:tc>
        <w:tc>
          <w:tcPr>
            <w:tcW w:w="2268" w:type="dxa"/>
            <w:vAlign w:val="center"/>
          </w:tcPr>
          <w:p>
            <w:pPr>
              <w:pStyle w:val="16"/>
            </w:pPr>
            <w:r>
              <w:t>≥90百分比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≤6.4万元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成品油市场增长率</w:t>
            </w:r>
          </w:p>
        </w:tc>
        <w:tc>
          <w:tcPr>
            <w:tcW w:w="5386" w:type="dxa"/>
            <w:vAlign w:val="center"/>
          </w:tcPr>
          <w:p>
            <w:pPr>
              <w:pStyle w:val="16"/>
            </w:pPr>
            <w:r>
              <w:t>保持成品油市场正常秩序，维护成品油市场秩序</w:t>
            </w:r>
          </w:p>
        </w:tc>
        <w:tc>
          <w:tcPr>
            <w:tcW w:w="2268" w:type="dxa"/>
            <w:vAlign w:val="center"/>
          </w:tcPr>
          <w:p>
            <w:pPr>
              <w:pStyle w:val="16"/>
            </w:pPr>
            <w:r>
              <w:t>≥3百分比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3、电子商务进农村配套资金专项绩效目标表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13052524P000002101161</w:t>
            </w:r>
          </w:p>
        </w:tc>
        <w:tc>
          <w:tcPr>
            <w:tcW w:w="2835" w:type="dxa"/>
            <w:vAlign w:val="center"/>
          </w:tcPr>
          <w:p>
            <w:pPr>
              <w:pStyle w:val="14"/>
            </w:pPr>
            <w:r>
              <w:t>项目名称</w:t>
            </w:r>
          </w:p>
        </w:tc>
        <w:tc>
          <w:tcPr>
            <w:tcW w:w="6094" w:type="dxa"/>
            <w:gridSpan w:val="3"/>
            <w:vAlign w:val="center"/>
          </w:tcPr>
          <w:p>
            <w:pPr>
              <w:pStyle w:val="16"/>
            </w:pPr>
            <w:r>
              <w:t>电子商务进农村配套资金专项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14.40</w:t>
            </w:r>
          </w:p>
        </w:tc>
        <w:tc>
          <w:tcPr>
            <w:tcW w:w="2835" w:type="dxa"/>
            <w:vAlign w:val="center"/>
          </w:tcPr>
          <w:p>
            <w:pPr>
              <w:pStyle w:val="14"/>
            </w:pPr>
            <w:r>
              <w:t>其中：财政    资金</w:t>
            </w:r>
          </w:p>
        </w:tc>
        <w:tc>
          <w:tcPr>
            <w:tcW w:w="2551" w:type="dxa"/>
            <w:vAlign w:val="center"/>
          </w:tcPr>
          <w:p>
            <w:pPr>
              <w:pStyle w:val="16"/>
            </w:pPr>
            <w:r>
              <w:t>14.40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规范项目管理，提高资金使用效益，进一步提升我县电子商务综合实力。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3.00</w:t>
            </w:r>
          </w:p>
        </w:tc>
        <w:tc>
          <w:tcPr>
            <w:tcW w:w="2835" w:type="dxa"/>
            <w:vAlign w:val="center"/>
          </w:tcPr>
          <w:p>
            <w:pPr>
              <w:pStyle w:val="17"/>
            </w:pPr>
            <w:r>
              <w:t>6.00</w:t>
            </w:r>
          </w:p>
        </w:tc>
        <w:tc>
          <w:tcPr>
            <w:tcW w:w="2551" w:type="dxa"/>
            <w:vAlign w:val="center"/>
          </w:tcPr>
          <w:p>
            <w:pPr>
              <w:pStyle w:val="17"/>
            </w:pPr>
            <w:r>
              <w:t>9.00</w:t>
            </w:r>
          </w:p>
        </w:tc>
        <w:tc>
          <w:tcPr>
            <w:tcW w:w="3543" w:type="dxa"/>
            <w:gridSpan w:val="2"/>
            <w:vAlign w:val="center"/>
          </w:tcPr>
          <w:p>
            <w:pPr>
              <w:pStyle w:val="17"/>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1.规范项目管理，提高资金使用效益，进一步提升我县电子商务综合实力。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奖补县域电商企业数量</w:t>
            </w:r>
          </w:p>
        </w:tc>
        <w:tc>
          <w:tcPr>
            <w:tcW w:w="5386" w:type="dxa"/>
            <w:vAlign w:val="center"/>
          </w:tcPr>
          <w:p>
            <w:pPr>
              <w:pStyle w:val="16"/>
            </w:pPr>
            <w:r>
              <w:t>奖补县域电商企业数量</w:t>
            </w:r>
          </w:p>
        </w:tc>
        <w:tc>
          <w:tcPr>
            <w:tcW w:w="2268" w:type="dxa"/>
            <w:vAlign w:val="center"/>
          </w:tcPr>
          <w:p>
            <w:pPr>
              <w:pStyle w:val="16"/>
            </w:pPr>
            <w:r>
              <w:t>≥1个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资金使用率</w:t>
            </w:r>
          </w:p>
        </w:tc>
        <w:tc>
          <w:tcPr>
            <w:tcW w:w="5386" w:type="dxa"/>
            <w:vAlign w:val="center"/>
          </w:tcPr>
          <w:p>
            <w:pPr>
              <w:pStyle w:val="16"/>
            </w:pPr>
            <w:r>
              <w:t>资金使用率</w:t>
            </w:r>
          </w:p>
        </w:tc>
        <w:tc>
          <w:tcPr>
            <w:tcW w:w="2268" w:type="dxa"/>
            <w:vAlign w:val="center"/>
          </w:tcPr>
          <w:p>
            <w:pPr>
              <w:pStyle w:val="16"/>
            </w:pPr>
            <w:r>
              <w:t>≥90百分比</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≥90百分比</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成本控制率</w:t>
            </w:r>
          </w:p>
        </w:tc>
        <w:tc>
          <w:tcPr>
            <w:tcW w:w="5386" w:type="dxa"/>
            <w:vAlign w:val="center"/>
          </w:tcPr>
          <w:p>
            <w:pPr>
              <w:pStyle w:val="16"/>
            </w:pPr>
            <w:r>
              <w:t>成本控制率</w:t>
            </w:r>
          </w:p>
        </w:tc>
        <w:tc>
          <w:tcPr>
            <w:tcW w:w="2268" w:type="dxa"/>
            <w:vAlign w:val="center"/>
          </w:tcPr>
          <w:p>
            <w:pPr>
              <w:pStyle w:val="16"/>
            </w:pPr>
            <w:r>
              <w:t>≤100百分比</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电商交易额增长率</w:t>
            </w:r>
          </w:p>
        </w:tc>
        <w:tc>
          <w:tcPr>
            <w:tcW w:w="5386" w:type="dxa"/>
            <w:vAlign w:val="center"/>
          </w:tcPr>
          <w:p>
            <w:pPr>
              <w:pStyle w:val="16"/>
            </w:pPr>
            <w:r>
              <w:t>电商交易额增长率</w:t>
            </w:r>
          </w:p>
        </w:tc>
        <w:tc>
          <w:tcPr>
            <w:tcW w:w="2268" w:type="dxa"/>
            <w:vAlign w:val="center"/>
          </w:tcPr>
          <w:p>
            <w:pPr>
              <w:pStyle w:val="16"/>
            </w:pPr>
            <w:r>
              <w:t>≥5百分比</w:t>
            </w:r>
          </w:p>
        </w:tc>
        <w:tc>
          <w:tcPr>
            <w:tcW w:w="1276"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历史均值</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4、电子商务专项绩效目标表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13052524P00000210053C</w:t>
            </w:r>
          </w:p>
        </w:tc>
        <w:tc>
          <w:tcPr>
            <w:tcW w:w="2835" w:type="dxa"/>
            <w:vAlign w:val="center"/>
          </w:tcPr>
          <w:p>
            <w:pPr>
              <w:pStyle w:val="14"/>
            </w:pPr>
            <w:r>
              <w:t>项目名称</w:t>
            </w:r>
          </w:p>
        </w:tc>
        <w:tc>
          <w:tcPr>
            <w:tcW w:w="6094" w:type="dxa"/>
            <w:gridSpan w:val="3"/>
            <w:vAlign w:val="center"/>
          </w:tcPr>
          <w:p>
            <w:pPr>
              <w:pStyle w:val="16"/>
            </w:pPr>
            <w:r>
              <w:t>电子商务专项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4.80</w:t>
            </w:r>
          </w:p>
        </w:tc>
        <w:tc>
          <w:tcPr>
            <w:tcW w:w="2835" w:type="dxa"/>
            <w:vAlign w:val="center"/>
          </w:tcPr>
          <w:p>
            <w:pPr>
              <w:pStyle w:val="14"/>
            </w:pPr>
            <w:r>
              <w:t>其中：财政    资金</w:t>
            </w:r>
          </w:p>
        </w:tc>
        <w:tc>
          <w:tcPr>
            <w:tcW w:w="2551" w:type="dxa"/>
            <w:vAlign w:val="center"/>
          </w:tcPr>
          <w:p>
            <w:pPr>
              <w:pStyle w:val="16"/>
            </w:pPr>
            <w:r>
              <w:t>4.80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加快电子商务建设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1.20</w:t>
            </w:r>
          </w:p>
        </w:tc>
        <w:tc>
          <w:tcPr>
            <w:tcW w:w="2835" w:type="dxa"/>
            <w:vAlign w:val="center"/>
          </w:tcPr>
          <w:p>
            <w:pPr>
              <w:pStyle w:val="17"/>
            </w:pPr>
            <w:r>
              <w:t>2.40</w:t>
            </w:r>
          </w:p>
        </w:tc>
        <w:tc>
          <w:tcPr>
            <w:tcW w:w="2551" w:type="dxa"/>
            <w:vAlign w:val="center"/>
          </w:tcPr>
          <w:p>
            <w:pPr>
              <w:pStyle w:val="17"/>
            </w:pPr>
            <w:r>
              <w:t>3.60</w:t>
            </w:r>
          </w:p>
        </w:tc>
        <w:tc>
          <w:tcPr>
            <w:tcW w:w="3543" w:type="dxa"/>
            <w:gridSpan w:val="2"/>
            <w:vAlign w:val="center"/>
          </w:tcPr>
          <w:p>
            <w:pPr>
              <w:pStyle w:val="17"/>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1.加快电子商务建设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建设县级农村电子商务公共服务中心个数</w:t>
            </w:r>
          </w:p>
        </w:tc>
        <w:tc>
          <w:tcPr>
            <w:tcW w:w="5386" w:type="dxa"/>
            <w:vAlign w:val="center"/>
          </w:tcPr>
          <w:p>
            <w:pPr>
              <w:pStyle w:val="16"/>
            </w:pPr>
            <w:r>
              <w:t>县级农村电子商务公共服务中心</w:t>
            </w:r>
          </w:p>
        </w:tc>
        <w:tc>
          <w:tcPr>
            <w:tcW w:w="2268" w:type="dxa"/>
            <w:vAlign w:val="center"/>
          </w:tcPr>
          <w:p>
            <w:pPr>
              <w:pStyle w:val="16"/>
            </w:pPr>
            <w:r>
              <w:t>1个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预计销售额</w:t>
            </w:r>
          </w:p>
        </w:tc>
        <w:tc>
          <w:tcPr>
            <w:tcW w:w="5386" w:type="dxa"/>
            <w:vAlign w:val="center"/>
          </w:tcPr>
          <w:p>
            <w:pPr>
              <w:pStyle w:val="16"/>
            </w:pPr>
            <w:r>
              <w:t>对乡村振兴和扶贫脱贫攻坚的促进作用</w:t>
            </w:r>
          </w:p>
        </w:tc>
        <w:tc>
          <w:tcPr>
            <w:tcW w:w="2268" w:type="dxa"/>
            <w:vAlign w:val="center"/>
          </w:tcPr>
          <w:p>
            <w:pPr>
              <w:pStyle w:val="16"/>
            </w:pPr>
            <w:r>
              <w:t>≥3000万元</w:t>
            </w:r>
          </w:p>
        </w:tc>
        <w:tc>
          <w:tcPr>
            <w:tcW w:w="1276" w:type="dxa"/>
            <w:vAlign w:val="center"/>
          </w:tcPr>
          <w:p>
            <w:pPr>
              <w:pStyle w:val="16"/>
            </w:pPr>
            <w:r>
              <w:t>历史统计结果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按时完成农村电商公共服务中心建设工作</w:t>
            </w:r>
          </w:p>
        </w:tc>
        <w:tc>
          <w:tcPr>
            <w:tcW w:w="2268" w:type="dxa"/>
            <w:vAlign w:val="center"/>
          </w:tcPr>
          <w:p>
            <w:pPr>
              <w:pStyle w:val="16"/>
            </w:pPr>
            <w:r>
              <w:t>≥90百分比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≤4.8万元</w:t>
            </w:r>
          </w:p>
        </w:tc>
        <w:tc>
          <w:tcPr>
            <w:tcW w:w="1276" w:type="dxa"/>
            <w:vAlign w:val="center"/>
          </w:tcPr>
          <w:p>
            <w:pPr>
              <w:pStyle w:val="16"/>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电商交易额增长率</w:t>
            </w:r>
          </w:p>
        </w:tc>
        <w:tc>
          <w:tcPr>
            <w:tcW w:w="5386" w:type="dxa"/>
            <w:vAlign w:val="center"/>
          </w:tcPr>
          <w:p>
            <w:pPr>
              <w:pStyle w:val="16"/>
            </w:pPr>
            <w:r>
              <w:t>全年电商交易额增长率</w:t>
            </w:r>
          </w:p>
        </w:tc>
        <w:tc>
          <w:tcPr>
            <w:tcW w:w="2268" w:type="dxa"/>
            <w:vAlign w:val="center"/>
          </w:tcPr>
          <w:p>
            <w:pPr>
              <w:pStyle w:val="16"/>
            </w:pPr>
            <w:r>
              <w:t>≥10百分比</w:t>
            </w:r>
          </w:p>
        </w:tc>
        <w:tc>
          <w:tcPr>
            <w:tcW w:w="1276"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5、冀财建【2023】231号/中央/中央服务业发展资金绩效目标表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13052524P00000210107Q</w:t>
            </w:r>
          </w:p>
        </w:tc>
        <w:tc>
          <w:tcPr>
            <w:tcW w:w="2835" w:type="dxa"/>
            <w:vAlign w:val="center"/>
          </w:tcPr>
          <w:p>
            <w:pPr>
              <w:pStyle w:val="14"/>
            </w:pPr>
            <w:r>
              <w:t>项目名称</w:t>
            </w:r>
          </w:p>
        </w:tc>
        <w:tc>
          <w:tcPr>
            <w:tcW w:w="6094" w:type="dxa"/>
            <w:gridSpan w:val="3"/>
            <w:vAlign w:val="center"/>
          </w:tcPr>
          <w:p>
            <w:pPr>
              <w:pStyle w:val="16"/>
            </w:pPr>
            <w:r>
              <w:t>冀财建【2023】231号/中央/中央服务业发展资金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440.00</w:t>
            </w:r>
          </w:p>
        </w:tc>
        <w:tc>
          <w:tcPr>
            <w:tcW w:w="2835" w:type="dxa"/>
            <w:vAlign w:val="center"/>
          </w:tcPr>
          <w:p>
            <w:pPr>
              <w:pStyle w:val="14"/>
            </w:pPr>
            <w:r>
              <w:t>其中：财政    资金</w:t>
            </w:r>
          </w:p>
        </w:tc>
        <w:tc>
          <w:tcPr>
            <w:tcW w:w="2551" w:type="dxa"/>
            <w:vAlign w:val="center"/>
          </w:tcPr>
          <w:p>
            <w:pPr>
              <w:pStyle w:val="16"/>
            </w:pPr>
            <w:r>
              <w:t>440.00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建设改造一批县级物流中心，进一步提升流通效率，降低物流成本，增强工业品下行和农产品上行功能；改造提升一批乡镇商贸中心，推动购物、娱乐、休闲等业态融合，有效改善乡镇消费环境。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440.00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1.建设改造一批县级物流中心，进一步提升流通效率，降低物流成本，增强工业品下行和农产品上行功能；改造提升一批乡镇商贸中心，推动购物、娱乐、休闲等业态融合，有效改善乡镇消费环境。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县级物流配送中心新增改造数量</w:t>
            </w:r>
          </w:p>
        </w:tc>
        <w:tc>
          <w:tcPr>
            <w:tcW w:w="5386" w:type="dxa"/>
            <w:vAlign w:val="center"/>
          </w:tcPr>
          <w:p>
            <w:pPr>
              <w:pStyle w:val="16"/>
            </w:pPr>
            <w:r>
              <w:t>县级物流配送中心新增改造数量</w:t>
            </w:r>
          </w:p>
        </w:tc>
        <w:tc>
          <w:tcPr>
            <w:tcW w:w="2268" w:type="dxa"/>
            <w:vAlign w:val="center"/>
          </w:tcPr>
          <w:p>
            <w:pPr>
              <w:pStyle w:val="16"/>
            </w:pPr>
            <w:r>
              <w:t>≥12个</w:t>
            </w:r>
          </w:p>
        </w:tc>
        <w:tc>
          <w:tcPr>
            <w:tcW w:w="1276" w:type="dxa"/>
            <w:vAlign w:val="center"/>
          </w:tcPr>
          <w:p>
            <w:pPr>
              <w:pStyle w:val="1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乡镇商贸中心覆盖率提升</w:t>
            </w:r>
          </w:p>
        </w:tc>
        <w:tc>
          <w:tcPr>
            <w:tcW w:w="5386" w:type="dxa"/>
            <w:vAlign w:val="center"/>
          </w:tcPr>
          <w:p>
            <w:pPr>
              <w:pStyle w:val="16"/>
            </w:pPr>
            <w:r>
              <w:t>乡镇商贸中心覆盖率提升</w:t>
            </w:r>
          </w:p>
        </w:tc>
        <w:tc>
          <w:tcPr>
            <w:tcW w:w="2268" w:type="dxa"/>
            <w:vAlign w:val="center"/>
          </w:tcPr>
          <w:p>
            <w:pPr>
              <w:pStyle w:val="16"/>
            </w:pPr>
            <w:r>
              <w:t>3.5%</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5386" w:type="dxa"/>
            <w:vAlign w:val="center"/>
          </w:tcPr>
          <w:p>
            <w:pPr>
              <w:pStyle w:val="16"/>
            </w:pPr>
            <w:r>
              <w:t>按时完成率</w:t>
            </w:r>
          </w:p>
        </w:tc>
        <w:tc>
          <w:tcPr>
            <w:tcW w:w="2268" w:type="dxa"/>
            <w:vAlign w:val="center"/>
          </w:tcPr>
          <w:p>
            <w:pPr>
              <w:pStyle w:val="16"/>
            </w:pPr>
            <w:r>
              <w:t>100%</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预算成本</w:t>
            </w:r>
          </w:p>
        </w:tc>
        <w:tc>
          <w:tcPr>
            <w:tcW w:w="5386" w:type="dxa"/>
            <w:vAlign w:val="center"/>
          </w:tcPr>
          <w:p>
            <w:pPr>
              <w:pStyle w:val="16"/>
            </w:pPr>
            <w:r>
              <w:t>预算成本</w:t>
            </w:r>
          </w:p>
        </w:tc>
        <w:tc>
          <w:tcPr>
            <w:tcW w:w="2268" w:type="dxa"/>
            <w:vAlign w:val="center"/>
          </w:tcPr>
          <w:p>
            <w:pPr>
              <w:pStyle w:val="16"/>
            </w:pPr>
            <w:r>
              <w:t>440万元</w:t>
            </w:r>
          </w:p>
        </w:tc>
        <w:tc>
          <w:tcPr>
            <w:tcW w:w="127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促进农民增收</w:t>
            </w:r>
          </w:p>
        </w:tc>
        <w:tc>
          <w:tcPr>
            <w:tcW w:w="5386" w:type="dxa"/>
            <w:vAlign w:val="center"/>
          </w:tcPr>
          <w:p>
            <w:pPr>
              <w:pStyle w:val="16"/>
            </w:pPr>
            <w:r>
              <w:t>促进农民增收</w:t>
            </w:r>
          </w:p>
        </w:tc>
        <w:tc>
          <w:tcPr>
            <w:tcW w:w="2268" w:type="dxa"/>
            <w:vAlign w:val="center"/>
          </w:tcPr>
          <w:p>
            <w:pPr>
              <w:pStyle w:val="16"/>
            </w:pPr>
            <w:r>
              <w:t>效果明显</w:t>
            </w:r>
          </w:p>
        </w:tc>
        <w:tc>
          <w:tcPr>
            <w:tcW w:w="1276" w:type="dxa"/>
            <w:vAlign w:val="center"/>
          </w:tcPr>
          <w:p>
            <w:pPr>
              <w:pStyle w:val="16"/>
            </w:pPr>
            <w: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服务对象对项目满意度</w:t>
            </w:r>
          </w:p>
        </w:tc>
        <w:tc>
          <w:tcPr>
            <w:tcW w:w="5386" w:type="dxa"/>
            <w:vAlign w:val="center"/>
          </w:tcPr>
          <w:p>
            <w:pPr>
              <w:pStyle w:val="16"/>
            </w:pPr>
            <w:r>
              <w:t>服务对象对项目满意度</w:t>
            </w:r>
          </w:p>
        </w:tc>
        <w:tc>
          <w:tcPr>
            <w:tcW w:w="2268" w:type="dxa"/>
            <w:vAlign w:val="center"/>
          </w:tcPr>
          <w:p>
            <w:pPr>
              <w:pStyle w:val="16"/>
            </w:pPr>
            <w:r>
              <w:t>≥90%</w:t>
            </w:r>
          </w:p>
        </w:tc>
        <w:tc>
          <w:tcPr>
            <w:tcW w:w="1276" w:type="dxa"/>
            <w:vAlign w:val="center"/>
          </w:tcPr>
          <w:p>
            <w:pPr>
              <w:pStyle w:val="16"/>
            </w:pPr>
            <w:r>
              <w:t>历史均值</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6、跨境电商专项绩效目标表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13052524P00000210111Y</w:t>
            </w:r>
          </w:p>
        </w:tc>
        <w:tc>
          <w:tcPr>
            <w:tcW w:w="2835" w:type="dxa"/>
            <w:vAlign w:val="center"/>
          </w:tcPr>
          <w:p>
            <w:pPr>
              <w:pStyle w:val="14"/>
            </w:pPr>
            <w:r>
              <w:t>项目名称</w:t>
            </w:r>
          </w:p>
        </w:tc>
        <w:tc>
          <w:tcPr>
            <w:tcW w:w="6094" w:type="dxa"/>
            <w:gridSpan w:val="3"/>
            <w:vAlign w:val="center"/>
          </w:tcPr>
          <w:p>
            <w:pPr>
              <w:pStyle w:val="16"/>
            </w:pPr>
            <w:r>
              <w:t>跨境电商专项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13.71</w:t>
            </w:r>
          </w:p>
        </w:tc>
        <w:tc>
          <w:tcPr>
            <w:tcW w:w="2835" w:type="dxa"/>
            <w:vAlign w:val="center"/>
          </w:tcPr>
          <w:p>
            <w:pPr>
              <w:pStyle w:val="14"/>
            </w:pPr>
            <w:r>
              <w:t>其中：财政    资金</w:t>
            </w:r>
          </w:p>
        </w:tc>
        <w:tc>
          <w:tcPr>
            <w:tcW w:w="2551" w:type="dxa"/>
            <w:vAlign w:val="center"/>
          </w:tcPr>
          <w:p>
            <w:pPr>
              <w:pStyle w:val="16"/>
            </w:pPr>
            <w:r>
              <w:t>13.71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加快跨境电商园区建设，出台扶持政策，鼓励企业开展线上跨境国际贸易，增加企业外贸进出口渠道。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3.00</w:t>
            </w:r>
          </w:p>
        </w:tc>
        <w:tc>
          <w:tcPr>
            <w:tcW w:w="2835" w:type="dxa"/>
            <w:vAlign w:val="center"/>
          </w:tcPr>
          <w:p>
            <w:pPr>
              <w:pStyle w:val="17"/>
            </w:pPr>
            <w:r>
              <w:t>6.00</w:t>
            </w:r>
          </w:p>
        </w:tc>
        <w:tc>
          <w:tcPr>
            <w:tcW w:w="2551" w:type="dxa"/>
            <w:vAlign w:val="center"/>
          </w:tcPr>
          <w:p>
            <w:pPr>
              <w:pStyle w:val="17"/>
            </w:pPr>
            <w:r>
              <w:t>9.00</w:t>
            </w:r>
          </w:p>
        </w:tc>
        <w:tc>
          <w:tcPr>
            <w:tcW w:w="3543" w:type="dxa"/>
            <w:gridSpan w:val="2"/>
            <w:vAlign w:val="center"/>
          </w:tcPr>
          <w:p>
            <w:pPr>
              <w:pStyle w:val="17"/>
            </w:pPr>
            <w:r>
              <w:t>13.71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1.加快跨境电商园区建设，出台扶持政策，鼓励企业开展线上跨境国际贸易，增加企业外贸进出口渠道。</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帮扶跨境电商企业个数</w:t>
            </w:r>
          </w:p>
        </w:tc>
        <w:tc>
          <w:tcPr>
            <w:tcW w:w="5386" w:type="dxa"/>
            <w:vAlign w:val="center"/>
          </w:tcPr>
          <w:p>
            <w:pPr>
              <w:pStyle w:val="16"/>
            </w:pPr>
            <w:r>
              <w:t>帮扶跨境电商企业个数</w:t>
            </w:r>
          </w:p>
        </w:tc>
        <w:tc>
          <w:tcPr>
            <w:tcW w:w="2268" w:type="dxa"/>
            <w:vAlign w:val="center"/>
          </w:tcPr>
          <w:p>
            <w:pPr>
              <w:pStyle w:val="16"/>
            </w:pPr>
            <w:r>
              <w:t>≥5个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跨境电商企业入驻率</w:t>
            </w:r>
          </w:p>
        </w:tc>
        <w:tc>
          <w:tcPr>
            <w:tcW w:w="5386" w:type="dxa"/>
            <w:vAlign w:val="center"/>
          </w:tcPr>
          <w:p>
            <w:pPr>
              <w:pStyle w:val="16"/>
            </w:pPr>
            <w:r>
              <w:t>全年跨境电商园区企业入驻率</w:t>
            </w:r>
          </w:p>
        </w:tc>
        <w:tc>
          <w:tcPr>
            <w:tcW w:w="2268" w:type="dxa"/>
            <w:vAlign w:val="center"/>
          </w:tcPr>
          <w:p>
            <w:pPr>
              <w:pStyle w:val="16"/>
            </w:pPr>
            <w:r>
              <w:t>≥85百分比</w:t>
            </w:r>
          </w:p>
        </w:tc>
        <w:tc>
          <w:tcPr>
            <w:tcW w:w="1276" w:type="dxa"/>
            <w:vAlign w:val="center"/>
          </w:tcPr>
          <w:p>
            <w:pPr>
              <w:pStyle w:val="16"/>
            </w:pPr>
            <w:r>
              <w:t>预计入驻率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跨境电商建设支出</w:t>
            </w:r>
          </w:p>
        </w:tc>
        <w:tc>
          <w:tcPr>
            <w:tcW w:w="5386" w:type="dxa"/>
            <w:vAlign w:val="center"/>
          </w:tcPr>
          <w:p>
            <w:pPr>
              <w:pStyle w:val="16"/>
            </w:pPr>
            <w:r>
              <w:t>按预算严控跨境电商建设支出</w:t>
            </w:r>
          </w:p>
        </w:tc>
        <w:tc>
          <w:tcPr>
            <w:tcW w:w="2268" w:type="dxa"/>
            <w:vAlign w:val="center"/>
          </w:tcPr>
          <w:p>
            <w:pPr>
              <w:pStyle w:val="16"/>
            </w:pPr>
            <w:r>
              <w:t>≤14万元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预期增长率</w:t>
            </w:r>
          </w:p>
        </w:tc>
        <w:tc>
          <w:tcPr>
            <w:tcW w:w="5386" w:type="dxa"/>
            <w:vAlign w:val="center"/>
          </w:tcPr>
          <w:p>
            <w:pPr>
              <w:pStyle w:val="16"/>
            </w:pPr>
            <w:r>
              <w:t>预期对本地企业带来经济效果</w:t>
            </w:r>
          </w:p>
        </w:tc>
        <w:tc>
          <w:tcPr>
            <w:tcW w:w="2268" w:type="dxa"/>
            <w:vAlign w:val="center"/>
          </w:tcPr>
          <w:p>
            <w:pPr>
              <w:pStyle w:val="16"/>
            </w:pPr>
            <w:r>
              <w:t>≥10百分比</w:t>
            </w:r>
          </w:p>
        </w:tc>
        <w:tc>
          <w:tcPr>
            <w:tcW w:w="1276"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7、名校英才入冀房租补助专项绩效目标表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13052524P000002100083</w:t>
            </w:r>
          </w:p>
        </w:tc>
        <w:tc>
          <w:tcPr>
            <w:tcW w:w="2835" w:type="dxa"/>
            <w:vAlign w:val="center"/>
          </w:tcPr>
          <w:p>
            <w:pPr>
              <w:pStyle w:val="14"/>
            </w:pPr>
            <w:r>
              <w:t>项目名称</w:t>
            </w:r>
          </w:p>
        </w:tc>
        <w:tc>
          <w:tcPr>
            <w:tcW w:w="6094" w:type="dxa"/>
            <w:gridSpan w:val="3"/>
            <w:vAlign w:val="center"/>
          </w:tcPr>
          <w:p>
            <w:pPr>
              <w:pStyle w:val="16"/>
            </w:pPr>
            <w:r>
              <w:t>名校英才入冀房租补助专项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用于名校英才入冀租房补贴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0.30</w:t>
            </w:r>
          </w:p>
        </w:tc>
        <w:tc>
          <w:tcPr>
            <w:tcW w:w="2835" w:type="dxa"/>
            <w:vAlign w:val="center"/>
          </w:tcPr>
          <w:p>
            <w:pPr>
              <w:pStyle w:val="17"/>
            </w:pPr>
            <w:r>
              <w:t>0.60</w:t>
            </w:r>
          </w:p>
        </w:tc>
        <w:tc>
          <w:tcPr>
            <w:tcW w:w="2551" w:type="dxa"/>
            <w:vAlign w:val="center"/>
          </w:tcPr>
          <w:p>
            <w:pPr>
              <w:pStyle w:val="17"/>
            </w:pPr>
            <w:r>
              <w:t>0.90</w:t>
            </w:r>
          </w:p>
        </w:tc>
        <w:tc>
          <w:tcPr>
            <w:tcW w:w="3543" w:type="dxa"/>
            <w:gridSpan w:val="2"/>
            <w:vAlign w:val="center"/>
          </w:tcPr>
          <w:p>
            <w:pPr>
              <w:pStyle w:val="17"/>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1.用于名校英才入冀租房补贴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发放房补人数</w:t>
            </w:r>
          </w:p>
        </w:tc>
        <w:tc>
          <w:tcPr>
            <w:tcW w:w="5386" w:type="dxa"/>
            <w:vAlign w:val="center"/>
          </w:tcPr>
          <w:p>
            <w:pPr>
              <w:pStyle w:val="16"/>
            </w:pPr>
            <w:r>
              <w:t>发放房补人数</w:t>
            </w:r>
          </w:p>
        </w:tc>
        <w:tc>
          <w:tcPr>
            <w:tcW w:w="2268" w:type="dxa"/>
            <w:vAlign w:val="center"/>
          </w:tcPr>
          <w:p>
            <w:pPr>
              <w:pStyle w:val="16"/>
            </w:pPr>
            <w:r>
              <w:t>1人</w:t>
            </w:r>
          </w:p>
        </w:tc>
        <w:tc>
          <w:tcPr>
            <w:tcW w:w="1276" w:type="dxa"/>
            <w:vAlign w:val="center"/>
          </w:tcPr>
          <w:p>
            <w:pPr>
              <w:pStyle w:val="16"/>
            </w:pPr>
            <w:r>
              <w:t>发放房补人数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5386" w:type="dxa"/>
            <w:vAlign w:val="center"/>
          </w:tcPr>
          <w:p>
            <w:pPr>
              <w:pStyle w:val="16"/>
            </w:pPr>
            <w:r>
              <w:t>发放完成率</w:t>
            </w:r>
          </w:p>
        </w:tc>
        <w:tc>
          <w:tcPr>
            <w:tcW w:w="2268" w:type="dxa"/>
            <w:vAlign w:val="center"/>
          </w:tcPr>
          <w:p>
            <w:pPr>
              <w:pStyle w:val="16"/>
            </w:pPr>
            <w:r>
              <w:t>100百分比</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按时发放率</w:t>
            </w:r>
          </w:p>
        </w:tc>
        <w:tc>
          <w:tcPr>
            <w:tcW w:w="5386" w:type="dxa"/>
            <w:vAlign w:val="center"/>
          </w:tcPr>
          <w:p>
            <w:pPr>
              <w:pStyle w:val="16"/>
            </w:pPr>
            <w:r>
              <w:t>按时发放</w:t>
            </w:r>
          </w:p>
        </w:tc>
        <w:tc>
          <w:tcPr>
            <w:tcW w:w="2268" w:type="dxa"/>
            <w:vAlign w:val="center"/>
          </w:tcPr>
          <w:p>
            <w:pPr>
              <w:pStyle w:val="16"/>
            </w:pPr>
            <w:r>
              <w:t>100百分比</w:t>
            </w:r>
          </w:p>
        </w:tc>
        <w:tc>
          <w:tcPr>
            <w:tcW w:w="1276" w:type="dxa"/>
            <w:vAlign w:val="center"/>
          </w:tcPr>
          <w:p>
            <w:pPr>
              <w:pStyle w:val="16"/>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预算成本</w:t>
            </w:r>
          </w:p>
        </w:tc>
        <w:tc>
          <w:tcPr>
            <w:tcW w:w="5386" w:type="dxa"/>
            <w:vAlign w:val="center"/>
          </w:tcPr>
          <w:p>
            <w:pPr>
              <w:pStyle w:val="16"/>
            </w:pPr>
            <w:r>
              <w:t>预算成本</w:t>
            </w:r>
          </w:p>
        </w:tc>
        <w:tc>
          <w:tcPr>
            <w:tcW w:w="2268" w:type="dxa"/>
            <w:vAlign w:val="center"/>
          </w:tcPr>
          <w:p>
            <w:pPr>
              <w:pStyle w:val="16"/>
            </w:pPr>
            <w:r>
              <w:t>1.2万元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工作提升率</w:t>
            </w:r>
          </w:p>
        </w:tc>
        <w:tc>
          <w:tcPr>
            <w:tcW w:w="5386" w:type="dxa"/>
            <w:vAlign w:val="center"/>
          </w:tcPr>
          <w:p>
            <w:pPr>
              <w:pStyle w:val="16"/>
            </w:pPr>
            <w:r>
              <w:t>提升工作效率</w:t>
            </w:r>
          </w:p>
        </w:tc>
        <w:tc>
          <w:tcPr>
            <w:tcW w:w="2268" w:type="dxa"/>
            <w:vAlign w:val="center"/>
          </w:tcPr>
          <w:p>
            <w:pPr>
              <w:pStyle w:val="16"/>
            </w:pPr>
            <w:r>
              <w:t>≥10百分比</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8、盘活存量/冀财建【2021】192号/中央/2022年中央服务业发展资金/电子商务示范县绩效目标表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13052524P00000210065F</w:t>
            </w:r>
          </w:p>
        </w:tc>
        <w:tc>
          <w:tcPr>
            <w:tcW w:w="2835" w:type="dxa"/>
            <w:vAlign w:val="center"/>
          </w:tcPr>
          <w:p>
            <w:pPr>
              <w:pStyle w:val="14"/>
            </w:pPr>
            <w:r>
              <w:t>项目名称</w:t>
            </w:r>
          </w:p>
        </w:tc>
        <w:tc>
          <w:tcPr>
            <w:tcW w:w="6094" w:type="dxa"/>
            <w:gridSpan w:val="3"/>
            <w:vAlign w:val="center"/>
          </w:tcPr>
          <w:p>
            <w:pPr>
              <w:pStyle w:val="16"/>
            </w:pPr>
            <w:r>
              <w:t>盘活存量/冀财建【2021】192号/中央/2022年中央服务业发展资金/电子商务示范县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240.00</w:t>
            </w:r>
          </w:p>
        </w:tc>
        <w:tc>
          <w:tcPr>
            <w:tcW w:w="2835" w:type="dxa"/>
            <w:vAlign w:val="center"/>
          </w:tcPr>
          <w:p>
            <w:pPr>
              <w:pStyle w:val="14"/>
            </w:pPr>
            <w:r>
              <w:t>其中：财政    资金</w:t>
            </w:r>
          </w:p>
        </w:tc>
        <w:tc>
          <w:tcPr>
            <w:tcW w:w="2551" w:type="dxa"/>
            <w:vAlign w:val="center"/>
          </w:tcPr>
          <w:p>
            <w:pPr>
              <w:pStyle w:val="16"/>
            </w:pPr>
            <w:r>
              <w:t>240.00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促进农村电子商务建设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240.00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1.促进农村电子商务建设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农村电商服务在行政村服务个数</w:t>
            </w:r>
          </w:p>
        </w:tc>
        <w:tc>
          <w:tcPr>
            <w:tcW w:w="5386" w:type="dxa"/>
            <w:vAlign w:val="center"/>
          </w:tcPr>
          <w:p>
            <w:pPr>
              <w:pStyle w:val="16"/>
            </w:pPr>
            <w:r>
              <w:t>农村电商服务在行政村服务覆盖率</w:t>
            </w:r>
          </w:p>
        </w:tc>
        <w:tc>
          <w:tcPr>
            <w:tcW w:w="2268" w:type="dxa"/>
            <w:vAlign w:val="center"/>
          </w:tcPr>
          <w:p>
            <w:pPr>
              <w:pStyle w:val="16"/>
            </w:pPr>
            <w:r>
              <w:t>≥50个</w:t>
            </w:r>
          </w:p>
        </w:tc>
        <w:tc>
          <w:tcPr>
            <w:tcW w:w="1276" w:type="dxa"/>
            <w:vAlign w:val="center"/>
          </w:tcPr>
          <w:p>
            <w:pPr>
              <w:pStyle w:val="16"/>
            </w:pPr>
            <w:r>
              <w:t>电子商务进农村工作安排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标准化程度企业个数</w:t>
            </w:r>
          </w:p>
        </w:tc>
        <w:tc>
          <w:tcPr>
            <w:tcW w:w="5386" w:type="dxa"/>
            <w:vAlign w:val="center"/>
          </w:tcPr>
          <w:p>
            <w:pPr>
              <w:pStyle w:val="16"/>
            </w:pPr>
            <w:r>
              <w:t>完善企业标准，提升农产品标准化程度</w:t>
            </w:r>
          </w:p>
        </w:tc>
        <w:tc>
          <w:tcPr>
            <w:tcW w:w="2268" w:type="dxa"/>
            <w:vAlign w:val="center"/>
          </w:tcPr>
          <w:p>
            <w:pPr>
              <w:pStyle w:val="16"/>
            </w:pPr>
            <w:r>
              <w:t>≥1个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按按期推进农村电商建设</w:t>
            </w:r>
          </w:p>
        </w:tc>
        <w:tc>
          <w:tcPr>
            <w:tcW w:w="2268" w:type="dxa"/>
            <w:vAlign w:val="center"/>
          </w:tcPr>
          <w:p>
            <w:pPr>
              <w:pStyle w:val="16"/>
            </w:pPr>
            <w:r>
              <w:t>≥90百分比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≤240万元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农产品网络零售额同比增速</w:t>
            </w:r>
          </w:p>
        </w:tc>
        <w:tc>
          <w:tcPr>
            <w:tcW w:w="5386" w:type="dxa"/>
            <w:vAlign w:val="center"/>
          </w:tcPr>
          <w:p>
            <w:pPr>
              <w:pStyle w:val="16"/>
            </w:pPr>
            <w:r>
              <w:t>农产品网络零售额同比增速</w:t>
            </w:r>
          </w:p>
        </w:tc>
        <w:tc>
          <w:tcPr>
            <w:tcW w:w="2268" w:type="dxa"/>
            <w:vAlign w:val="center"/>
          </w:tcPr>
          <w:p>
            <w:pPr>
              <w:pStyle w:val="16"/>
            </w:pPr>
            <w:r>
              <w:t>≥10百分比</w:t>
            </w:r>
          </w:p>
        </w:tc>
        <w:tc>
          <w:tcPr>
            <w:tcW w:w="1276" w:type="dxa"/>
            <w:vAlign w:val="center"/>
          </w:tcPr>
          <w:p>
            <w:pPr>
              <w:pStyle w:val="16"/>
            </w:pPr>
            <w: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9、退役士兵公益岗位专项绩效目标表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13052524P00000210112J</w:t>
            </w:r>
          </w:p>
        </w:tc>
        <w:tc>
          <w:tcPr>
            <w:tcW w:w="2835" w:type="dxa"/>
            <w:vAlign w:val="center"/>
          </w:tcPr>
          <w:p>
            <w:pPr>
              <w:pStyle w:val="14"/>
            </w:pPr>
            <w:r>
              <w:t>项目名称</w:t>
            </w:r>
          </w:p>
        </w:tc>
        <w:tc>
          <w:tcPr>
            <w:tcW w:w="6094" w:type="dxa"/>
            <w:gridSpan w:val="3"/>
            <w:vAlign w:val="center"/>
          </w:tcPr>
          <w:p>
            <w:pPr>
              <w:pStyle w:val="16"/>
            </w:pPr>
            <w:r>
              <w:t>退役士兵公益岗位专项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24.32</w:t>
            </w:r>
          </w:p>
        </w:tc>
        <w:tc>
          <w:tcPr>
            <w:tcW w:w="2835" w:type="dxa"/>
            <w:vAlign w:val="center"/>
          </w:tcPr>
          <w:p>
            <w:pPr>
              <w:pStyle w:val="14"/>
            </w:pPr>
            <w:r>
              <w:t>其中：财政    资金</w:t>
            </w:r>
          </w:p>
        </w:tc>
        <w:tc>
          <w:tcPr>
            <w:tcW w:w="2551" w:type="dxa"/>
            <w:vAlign w:val="center"/>
          </w:tcPr>
          <w:p>
            <w:pPr>
              <w:pStyle w:val="16"/>
            </w:pPr>
            <w:r>
              <w:t>24.32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保障退役士兵公益岗社保及工资正常发放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3" w:type="dxa"/>
            <w:gridSpan w:val="2"/>
            <w:vAlign w:val="center"/>
          </w:tcPr>
          <w:p>
            <w:pPr>
              <w:pStyle w:val="17"/>
            </w:pPr>
            <w:r>
              <w:t>24.32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1.保障退役士兵公益岗社保及工资正常发放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发放退役士兵工资人数</w:t>
            </w:r>
          </w:p>
        </w:tc>
        <w:tc>
          <w:tcPr>
            <w:tcW w:w="5386" w:type="dxa"/>
            <w:vAlign w:val="center"/>
          </w:tcPr>
          <w:p>
            <w:pPr>
              <w:pStyle w:val="16"/>
            </w:pPr>
            <w:r>
              <w:t>发放退役士兵工资人数</w:t>
            </w:r>
          </w:p>
        </w:tc>
        <w:tc>
          <w:tcPr>
            <w:tcW w:w="2268" w:type="dxa"/>
            <w:vAlign w:val="center"/>
          </w:tcPr>
          <w:p>
            <w:pPr>
              <w:pStyle w:val="16"/>
            </w:pPr>
            <w:r>
              <w:t>≥5人</w:t>
            </w:r>
          </w:p>
        </w:tc>
        <w:tc>
          <w:tcPr>
            <w:tcW w:w="1276" w:type="dxa"/>
            <w:vAlign w:val="center"/>
          </w:tcPr>
          <w:p>
            <w:pPr>
              <w:pStyle w:val="16"/>
            </w:pPr>
            <w:r>
              <w:t>退役士兵实际人数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5386" w:type="dxa"/>
            <w:vAlign w:val="center"/>
          </w:tcPr>
          <w:p>
            <w:pPr>
              <w:pStyle w:val="16"/>
            </w:pPr>
            <w:r>
              <w:t>发放完成率</w:t>
            </w:r>
          </w:p>
        </w:tc>
        <w:tc>
          <w:tcPr>
            <w:tcW w:w="2268" w:type="dxa"/>
            <w:vAlign w:val="center"/>
          </w:tcPr>
          <w:p>
            <w:pPr>
              <w:pStyle w:val="16"/>
            </w:pPr>
            <w:r>
              <w:t>100百分比</w:t>
            </w:r>
          </w:p>
        </w:tc>
        <w:tc>
          <w:tcPr>
            <w:tcW w:w="1276" w:type="dxa"/>
            <w:vAlign w:val="center"/>
          </w:tcPr>
          <w:p>
            <w:pPr>
              <w:pStyle w:val="16"/>
            </w:pPr>
            <w: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按时发放率</w:t>
            </w:r>
          </w:p>
        </w:tc>
        <w:tc>
          <w:tcPr>
            <w:tcW w:w="5386" w:type="dxa"/>
            <w:vAlign w:val="center"/>
          </w:tcPr>
          <w:p>
            <w:pPr>
              <w:pStyle w:val="16"/>
            </w:pPr>
            <w:r>
              <w:t>按时发放率</w:t>
            </w:r>
          </w:p>
        </w:tc>
        <w:tc>
          <w:tcPr>
            <w:tcW w:w="2268" w:type="dxa"/>
            <w:vAlign w:val="center"/>
          </w:tcPr>
          <w:p>
            <w:pPr>
              <w:pStyle w:val="16"/>
            </w:pPr>
            <w:r>
              <w:t>100百分比</w:t>
            </w:r>
          </w:p>
        </w:tc>
        <w:tc>
          <w:tcPr>
            <w:tcW w:w="1276" w:type="dxa"/>
            <w:vAlign w:val="center"/>
          </w:tcPr>
          <w:p>
            <w:pPr>
              <w:pStyle w:val="16"/>
            </w:pPr>
            <w: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预算成本</w:t>
            </w:r>
          </w:p>
        </w:tc>
        <w:tc>
          <w:tcPr>
            <w:tcW w:w="5386" w:type="dxa"/>
            <w:vAlign w:val="center"/>
          </w:tcPr>
          <w:p>
            <w:pPr>
              <w:pStyle w:val="16"/>
            </w:pPr>
            <w:r>
              <w:t>按应发数额发放</w:t>
            </w:r>
          </w:p>
        </w:tc>
        <w:tc>
          <w:tcPr>
            <w:tcW w:w="2268" w:type="dxa"/>
            <w:vAlign w:val="center"/>
          </w:tcPr>
          <w:p>
            <w:pPr>
              <w:pStyle w:val="16"/>
            </w:pPr>
            <w:r>
              <w:t>≤24.33万元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项目持续发挥作用期限</w:t>
            </w:r>
          </w:p>
        </w:tc>
        <w:tc>
          <w:tcPr>
            <w:tcW w:w="5386" w:type="dxa"/>
            <w:vAlign w:val="center"/>
          </w:tcPr>
          <w:p>
            <w:pPr>
              <w:pStyle w:val="16"/>
            </w:pPr>
            <w:r>
              <w:t>项目持续发挥作用期限</w:t>
            </w:r>
          </w:p>
        </w:tc>
        <w:tc>
          <w:tcPr>
            <w:tcW w:w="2268" w:type="dxa"/>
            <w:vAlign w:val="center"/>
          </w:tcPr>
          <w:p>
            <w:pPr>
              <w:pStyle w:val="16"/>
            </w:pPr>
            <w:r>
              <w:t>1年</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10、外事专项绩效目标表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13052524P000002101136</w:t>
            </w:r>
          </w:p>
        </w:tc>
        <w:tc>
          <w:tcPr>
            <w:tcW w:w="2835" w:type="dxa"/>
            <w:vAlign w:val="center"/>
          </w:tcPr>
          <w:p>
            <w:pPr>
              <w:pStyle w:val="14"/>
            </w:pPr>
            <w:r>
              <w:t>项目名称</w:t>
            </w:r>
          </w:p>
        </w:tc>
        <w:tc>
          <w:tcPr>
            <w:tcW w:w="6094" w:type="dxa"/>
            <w:gridSpan w:val="3"/>
            <w:vAlign w:val="center"/>
          </w:tcPr>
          <w:p>
            <w:pPr>
              <w:pStyle w:val="16"/>
            </w:pPr>
            <w:r>
              <w:t>外事专项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w:t>
            </w:r>
          </w:p>
        </w:tc>
        <w:tc>
          <w:tcPr>
            <w:tcW w:w="2835" w:type="dxa"/>
            <w:vAlign w:val="center"/>
          </w:tcPr>
          <w:p>
            <w:pPr>
              <w:pStyle w:val="14"/>
            </w:pPr>
            <w:r>
              <w:t>其中：财政    资金</w:t>
            </w:r>
          </w:p>
        </w:tc>
        <w:tc>
          <w:tcPr>
            <w:tcW w:w="2551" w:type="dxa"/>
            <w:vAlign w:val="center"/>
          </w:tcPr>
          <w:p>
            <w:pPr>
              <w:pStyle w:val="16"/>
            </w:pPr>
            <w:r>
              <w:t>1.20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持续加强外事系统政治建设，抓好组织体系建设，加强外事队伍建设，构建统筹有力、协调有效、管理有序、纪律严明的外事工作新机制。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0.30</w:t>
            </w:r>
          </w:p>
        </w:tc>
        <w:tc>
          <w:tcPr>
            <w:tcW w:w="2835" w:type="dxa"/>
            <w:vAlign w:val="center"/>
          </w:tcPr>
          <w:p>
            <w:pPr>
              <w:pStyle w:val="17"/>
            </w:pPr>
            <w:r>
              <w:t>0.60</w:t>
            </w:r>
          </w:p>
        </w:tc>
        <w:tc>
          <w:tcPr>
            <w:tcW w:w="2551" w:type="dxa"/>
            <w:vAlign w:val="center"/>
          </w:tcPr>
          <w:p>
            <w:pPr>
              <w:pStyle w:val="17"/>
            </w:pPr>
            <w:r>
              <w:t>0.90</w:t>
            </w:r>
          </w:p>
        </w:tc>
        <w:tc>
          <w:tcPr>
            <w:tcW w:w="3543" w:type="dxa"/>
            <w:gridSpan w:val="2"/>
            <w:vAlign w:val="center"/>
          </w:tcPr>
          <w:p>
            <w:pPr>
              <w:pStyle w:val="17"/>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1.持续加强外事系统政治建设，抓好组织体系建设，加强外事队伍建设，构建统筹有力、协调有效、管理有序、纪律严明的外事工作新机制。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管理外籍人员个数</w:t>
            </w:r>
          </w:p>
        </w:tc>
        <w:tc>
          <w:tcPr>
            <w:tcW w:w="5386" w:type="dxa"/>
            <w:vAlign w:val="center"/>
          </w:tcPr>
          <w:p>
            <w:pPr>
              <w:pStyle w:val="16"/>
            </w:pPr>
            <w:r>
              <w:t>管理外籍人员个数</w:t>
            </w:r>
          </w:p>
        </w:tc>
        <w:tc>
          <w:tcPr>
            <w:tcW w:w="2268" w:type="dxa"/>
            <w:vAlign w:val="center"/>
          </w:tcPr>
          <w:p>
            <w:pPr>
              <w:pStyle w:val="16"/>
            </w:pPr>
            <w:r>
              <w:t>≥30人</w:t>
            </w:r>
          </w:p>
        </w:tc>
        <w:tc>
          <w:tcPr>
            <w:tcW w:w="1276" w:type="dxa"/>
            <w:vAlign w:val="center"/>
          </w:tcPr>
          <w:p>
            <w:pPr>
              <w:pStyle w:val="16"/>
            </w:pPr>
            <w:r>
              <w:t>在隆外籍人员数量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服务质量提升率</w:t>
            </w:r>
          </w:p>
        </w:tc>
        <w:tc>
          <w:tcPr>
            <w:tcW w:w="5386" w:type="dxa"/>
            <w:vAlign w:val="center"/>
          </w:tcPr>
          <w:p>
            <w:pPr>
              <w:pStyle w:val="16"/>
            </w:pPr>
            <w:r>
              <w:t>提升外籍人员服务质量</w:t>
            </w:r>
          </w:p>
        </w:tc>
        <w:tc>
          <w:tcPr>
            <w:tcW w:w="2268" w:type="dxa"/>
            <w:vAlign w:val="center"/>
          </w:tcPr>
          <w:p>
            <w:pPr>
              <w:pStyle w:val="16"/>
            </w:pPr>
            <w:r>
              <w:t>≥10百分比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工作完成率</w:t>
            </w:r>
          </w:p>
        </w:tc>
        <w:tc>
          <w:tcPr>
            <w:tcW w:w="5386" w:type="dxa"/>
            <w:vAlign w:val="center"/>
          </w:tcPr>
          <w:p>
            <w:pPr>
              <w:pStyle w:val="16"/>
            </w:pPr>
            <w:r>
              <w:t>按时完成摸排在隆人员外籍人员任务</w:t>
            </w:r>
          </w:p>
        </w:tc>
        <w:tc>
          <w:tcPr>
            <w:tcW w:w="2268" w:type="dxa"/>
            <w:vAlign w:val="center"/>
          </w:tcPr>
          <w:p>
            <w:pPr>
              <w:pStyle w:val="16"/>
            </w:pPr>
            <w:r>
              <w:t>≥95百分比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≤1.6万元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涉外管理水平提升率</w:t>
            </w:r>
          </w:p>
        </w:tc>
        <w:tc>
          <w:tcPr>
            <w:tcW w:w="5386" w:type="dxa"/>
            <w:vAlign w:val="center"/>
          </w:tcPr>
          <w:p>
            <w:pPr>
              <w:pStyle w:val="16"/>
            </w:pPr>
            <w:r>
              <w:t>协查“三非”人员签证事宜</w:t>
            </w:r>
          </w:p>
        </w:tc>
        <w:tc>
          <w:tcPr>
            <w:tcW w:w="2268" w:type="dxa"/>
            <w:vAlign w:val="center"/>
          </w:tcPr>
          <w:p>
            <w:pPr>
              <w:pStyle w:val="16"/>
            </w:pPr>
            <w:r>
              <w:t>≥10百分比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群体满意度</w:t>
            </w:r>
          </w:p>
        </w:tc>
        <w:tc>
          <w:tcPr>
            <w:tcW w:w="5386" w:type="dxa"/>
            <w:vAlign w:val="center"/>
          </w:tcPr>
          <w:p>
            <w:pPr>
              <w:pStyle w:val="16"/>
            </w:pPr>
            <w:r>
              <w:t>群体满意度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11、外资外贸专项绩效目标表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13052524P00000210114R</w:t>
            </w:r>
          </w:p>
        </w:tc>
        <w:tc>
          <w:tcPr>
            <w:tcW w:w="2835" w:type="dxa"/>
            <w:vAlign w:val="center"/>
          </w:tcPr>
          <w:p>
            <w:pPr>
              <w:pStyle w:val="14"/>
            </w:pPr>
            <w:r>
              <w:t>项目名称</w:t>
            </w:r>
          </w:p>
        </w:tc>
        <w:tc>
          <w:tcPr>
            <w:tcW w:w="6094" w:type="dxa"/>
            <w:gridSpan w:val="3"/>
            <w:vAlign w:val="center"/>
          </w:tcPr>
          <w:p>
            <w:pPr>
              <w:pStyle w:val="16"/>
            </w:pPr>
            <w:r>
              <w:t>外资外贸专项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w:t>
            </w:r>
          </w:p>
        </w:tc>
        <w:tc>
          <w:tcPr>
            <w:tcW w:w="2835" w:type="dxa"/>
            <w:vAlign w:val="center"/>
          </w:tcPr>
          <w:p>
            <w:pPr>
              <w:pStyle w:val="14"/>
            </w:pPr>
            <w:r>
              <w:t>其中：财政    资金</w:t>
            </w:r>
          </w:p>
        </w:tc>
        <w:tc>
          <w:tcPr>
            <w:tcW w:w="2551" w:type="dxa"/>
            <w:vAlign w:val="center"/>
          </w:tcPr>
          <w:p>
            <w:pPr>
              <w:pStyle w:val="16"/>
            </w:pPr>
            <w:r>
              <w:t>3.20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扶持培育一批主业突出、核心竞争力强的出口龙头企业，拉动全县外贸经济增长。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0.80</w:t>
            </w:r>
          </w:p>
        </w:tc>
        <w:tc>
          <w:tcPr>
            <w:tcW w:w="2835" w:type="dxa"/>
            <w:vAlign w:val="center"/>
          </w:tcPr>
          <w:p>
            <w:pPr>
              <w:pStyle w:val="17"/>
            </w:pPr>
            <w:r>
              <w:t>1.60</w:t>
            </w:r>
          </w:p>
        </w:tc>
        <w:tc>
          <w:tcPr>
            <w:tcW w:w="2551" w:type="dxa"/>
            <w:vAlign w:val="center"/>
          </w:tcPr>
          <w:p>
            <w:pPr>
              <w:pStyle w:val="17"/>
            </w:pPr>
            <w:r>
              <w:t>2.40</w:t>
            </w:r>
          </w:p>
        </w:tc>
        <w:tc>
          <w:tcPr>
            <w:tcW w:w="3543" w:type="dxa"/>
            <w:gridSpan w:val="2"/>
            <w:vAlign w:val="center"/>
          </w:tcPr>
          <w:p>
            <w:pPr>
              <w:pStyle w:val="17"/>
            </w:pPr>
            <w:r>
              <w:t>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1.扶持培育一批主业突出、核心竞争力强的出口龙头企业，拉动全县外贸经济增长。</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重点支持企业个数</w:t>
            </w:r>
          </w:p>
        </w:tc>
        <w:tc>
          <w:tcPr>
            <w:tcW w:w="5386" w:type="dxa"/>
            <w:vAlign w:val="center"/>
          </w:tcPr>
          <w:p>
            <w:pPr>
              <w:pStyle w:val="16"/>
            </w:pPr>
            <w:r>
              <w:t>全年重点支持企业个数</w:t>
            </w:r>
          </w:p>
        </w:tc>
        <w:tc>
          <w:tcPr>
            <w:tcW w:w="2268" w:type="dxa"/>
            <w:vAlign w:val="center"/>
          </w:tcPr>
          <w:p>
            <w:pPr>
              <w:pStyle w:val="16"/>
            </w:pPr>
            <w:r>
              <w:t>≥2个</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外贸企业帮扶率</w:t>
            </w:r>
          </w:p>
        </w:tc>
        <w:tc>
          <w:tcPr>
            <w:tcW w:w="5386" w:type="dxa"/>
            <w:vAlign w:val="center"/>
          </w:tcPr>
          <w:p>
            <w:pPr>
              <w:pStyle w:val="16"/>
            </w:pPr>
            <w:r>
              <w:t>对外贸出口有贡献企业加大扶持</w:t>
            </w:r>
          </w:p>
        </w:tc>
        <w:tc>
          <w:tcPr>
            <w:tcW w:w="2268" w:type="dxa"/>
            <w:vAlign w:val="center"/>
          </w:tcPr>
          <w:p>
            <w:pPr>
              <w:pStyle w:val="16"/>
            </w:pPr>
            <w:r>
              <w:t>≥85百分比</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按时发放率</w:t>
            </w:r>
          </w:p>
        </w:tc>
        <w:tc>
          <w:tcPr>
            <w:tcW w:w="5386" w:type="dxa"/>
            <w:vAlign w:val="center"/>
          </w:tcPr>
          <w:p>
            <w:pPr>
              <w:pStyle w:val="16"/>
            </w:pPr>
            <w:r>
              <w:t>全年按时发放奖励金</w:t>
            </w:r>
          </w:p>
        </w:tc>
        <w:tc>
          <w:tcPr>
            <w:tcW w:w="2268" w:type="dxa"/>
            <w:vAlign w:val="center"/>
          </w:tcPr>
          <w:p>
            <w:pPr>
              <w:pStyle w:val="16"/>
            </w:pPr>
            <w:r>
              <w:t>100百分比</w:t>
            </w:r>
          </w:p>
        </w:tc>
        <w:tc>
          <w:tcPr>
            <w:tcW w:w="1276" w:type="dxa"/>
            <w:vAlign w:val="center"/>
          </w:tcPr>
          <w:p>
            <w:pPr>
              <w:pStyle w:val="16"/>
            </w:pPr>
            <w: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≤3.2万元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外贸进出口额增长率</w:t>
            </w:r>
          </w:p>
        </w:tc>
        <w:tc>
          <w:tcPr>
            <w:tcW w:w="5386" w:type="dxa"/>
            <w:vAlign w:val="center"/>
          </w:tcPr>
          <w:p>
            <w:pPr>
              <w:pStyle w:val="16"/>
            </w:pPr>
            <w:r>
              <w:t>全年外贸进出口增长率</w:t>
            </w:r>
          </w:p>
        </w:tc>
        <w:tc>
          <w:tcPr>
            <w:tcW w:w="2268" w:type="dxa"/>
            <w:vAlign w:val="center"/>
          </w:tcPr>
          <w:p>
            <w:pPr>
              <w:pStyle w:val="16"/>
            </w:pPr>
            <w:r>
              <w:t>≥5百分比</w:t>
            </w:r>
          </w:p>
        </w:tc>
        <w:tc>
          <w:tcPr>
            <w:tcW w:w="1276"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企业评价满意度</w:t>
            </w:r>
          </w:p>
        </w:tc>
        <w:tc>
          <w:tcPr>
            <w:tcW w:w="5386" w:type="dxa"/>
            <w:vAlign w:val="center"/>
          </w:tcPr>
          <w:p>
            <w:pPr>
              <w:pStyle w:val="16"/>
            </w:pPr>
            <w:r>
              <w:t>企业评价满意度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12、再生资源专项绩效目标表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13052524P00000210115D</w:t>
            </w:r>
          </w:p>
        </w:tc>
        <w:tc>
          <w:tcPr>
            <w:tcW w:w="2835" w:type="dxa"/>
            <w:vAlign w:val="center"/>
          </w:tcPr>
          <w:p>
            <w:pPr>
              <w:pStyle w:val="14"/>
            </w:pPr>
            <w:r>
              <w:t>项目名称</w:t>
            </w:r>
          </w:p>
        </w:tc>
        <w:tc>
          <w:tcPr>
            <w:tcW w:w="6094" w:type="dxa"/>
            <w:gridSpan w:val="3"/>
            <w:vAlign w:val="center"/>
          </w:tcPr>
          <w:p>
            <w:pPr>
              <w:pStyle w:val="16"/>
            </w:pPr>
            <w:r>
              <w:t>再生资源专项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w:t>
            </w:r>
          </w:p>
        </w:tc>
        <w:tc>
          <w:tcPr>
            <w:tcW w:w="2835" w:type="dxa"/>
            <w:vAlign w:val="center"/>
          </w:tcPr>
          <w:p>
            <w:pPr>
              <w:pStyle w:val="14"/>
            </w:pPr>
            <w:r>
              <w:t>其中：财政    资金</w:t>
            </w:r>
          </w:p>
        </w:tc>
        <w:tc>
          <w:tcPr>
            <w:tcW w:w="2551" w:type="dxa"/>
            <w:vAlign w:val="center"/>
          </w:tcPr>
          <w:p>
            <w:pPr>
              <w:pStyle w:val="16"/>
            </w:pPr>
            <w:r>
              <w:t>1.60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对再生资源回收站点进行集中摸排，对县城废品收购站提升改造。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0.40</w:t>
            </w:r>
          </w:p>
        </w:tc>
        <w:tc>
          <w:tcPr>
            <w:tcW w:w="2835" w:type="dxa"/>
            <w:vAlign w:val="center"/>
          </w:tcPr>
          <w:p>
            <w:pPr>
              <w:pStyle w:val="17"/>
            </w:pPr>
            <w:r>
              <w:t>0.80</w:t>
            </w:r>
          </w:p>
        </w:tc>
        <w:tc>
          <w:tcPr>
            <w:tcW w:w="2551" w:type="dxa"/>
            <w:vAlign w:val="center"/>
          </w:tcPr>
          <w:p>
            <w:pPr>
              <w:pStyle w:val="17"/>
            </w:pPr>
            <w:r>
              <w:t>1.20</w:t>
            </w:r>
          </w:p>
        </w:tc>
        <w:tc>
          <w:tcPr>
            <w:tcW w:w="3543" w:type="dxa"/>
            <w:gridSpan w:val="2"/>
            <w:vAlign w:val="center"/>
          </w:tcPr>
          <w:p>
            <w:pPr>
              <w:pStyle w:val="17"/>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1.对再生资源回收站点进行集中摸排，对县城废品收购站提升改造。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巡查废品收购站个数</w:t>
            </w:r>
          </w:p>
        </w:tc>
        <w:tc>
          <w:tcPr>
            <w:tcW w:w="5386" w:type="dxa"/>
            <w:vAlign w:val="center"/>
          </w:tcPr>
          <w:p>
            <w:pPr>
              <w:pStyle w:val="16"/>
            </w:pPr>
            <w:r>
              <w:t>巡查废品收购站的个数</w:t>
            </w:r>
          </w:p>
        </w:tc>
        <w:tc>
          <w:tcPr>
            <w:tcW w:w="2268" w:type="dxa"/>
            <w:vAlign w:val="center"/>
          </w:tcPr>
          <w:p>
            <w:pPr>
              <w:pStyle w:val="16"/>
            </w:pPr>
            <w:r>
              <w:t>≥20个</w:t>
            </w:r>
          </w:p>
        </w:tc>
        <w:tc>
          <w:tcPr>
            <w:tcW w:w="1276" w:type="dxa"/>
            <w:vAlign w:val="center"/>
          </w:tcPr>
          <w:p>
            <w:pPr>
              <w:pStyle w:val="16"/>
            </w:pPr>
            <w:r>
              <w:t>县域废品站个数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提升改造率</w:t>
            </w:r>
          </w:p>
        </w:tc>
        <w:tc>
          <w:tcPr>
            <w:tcW w:w="5386" w:type="dxa"/>
            <w:vAlign w:val="center"/>
          </w:tcPr>
          <w:p>
            <w:pPr>
              <w:pStyle w:val="16"/>
            </w:pPr>
            <w:r>
              <w:t>促进废品收购站提升整改</w:t>
            </w:r>
          </w:p>
        </w:tc>
        <w:tc>
          <w:tcPr>
            <w:tcW w:w="2268" w:type="dxa"/>
            <w:vAlign w:val="center"/>
          </w:tcPr>
          <w:p>
            <w:pPr>
              <w:pStyle w:val="16"/>
            </w:pPr>
            <w:r>
              <w:t>≥90百分比</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按期完成改造</w:t>
            </w:r>
          </w:p>
        </w:tc>
        <w:tc>
          <w:tcPr>
            <w:tcW w:w="5386" w:type="dxa"/>
            <w:vAlign w:val="center"/>
          </w:tcPr>
          <w:p>
            <w:pPr>
              <w:pStyle w:val="16"/>
            </w:pPr>
            <w:r>
              <w:t>按期完成改造</w:t>
            </w:r>
          </w:p>
        </w:tc>
        <w:tc>
          <w:tcPr>
            <w:tcW w:w="2268" w:type="dxa"/>
            <w:vAlign w:val="center"/>
          </w:tcPr>
          <w:p>
            <w:pPr>
              <w:pStyle w:val="16"/>
            </w:pPr>
            <w:r>
              <w:t>≥90百分比</w:t>
            </w:r>
          </w:p>
        </w:tc>
        <w:tc>
          <w:tcPr>
            <w:tcW w:w="1276"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5386" w:type="dxa"/>
            <w:vAlign w:val="center"/>
          </w:tcPr>
          <w:p>
            <w:pPr>
              <w:pStyle w:val="16"/>
            </w:pPr>
            <w:r>
              <w:t>项目预算控制数</w:t>
            </w:r>
          </w:p>
        </w:tc>
        <w:tc>
          <w:tcPr>
            <w:tcW w:w="2268" w:type="dxa"/>
            <w:vAlign w:val="center"/>
          </w:tcPr>
          <w:p>
            <w:pPr>
              <w:pStyle w:val="16"/>
            </w:pPr>
            <w:r>
              <w:t>≤1.6万元</w:t>
            </w:r>
          </w:p>
        </w:tc>
        <w:tc>
          <w:tcPr>
            <w:tcW w:w="1276" w:type="dxa"/>
            <w:vAlign w:val="center"/>
          </w:tcPr>
          <w:p>
            <w:pPr>
              <w:pStyle w:val="16"/>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生态效益增长率</w:t>
            </w:r>
          </w:p>
        </w:tc>
        <w:tc>
          <w:tcPr>
            <w:tcW w:w="5386" w:type="dxa"/>
            <w:vAlign w:val="center"/>
          </w:tcPr>
          <w:p>
            <w:pPr>
              <w:pStyle w:val="16"/>
            </w:pPr>
            <w:r>
              <w:t>生态效益增长率</w:t>
            </w:r>
          </w:p>
        </w:tc>
        <w:tc>
          <w:tcPr>
            <w:tcW w:w="2268" w:type="dxa"/>
            <w:vAlign w:val="center"/>
          </w:tcPr>
          <w:p>
            <w:pPr>
              <w:pStyle w:val="16"/>
            </w:pPr>
            <w:r>
              <w:t>≥5百分比</w:t>
            </w:r>
          </w:p>
        </w:tc>
        <w:tc>
          <w:tcPr>
            <w:tcW w:w="1276" w:type="dxa"/>
            <w:vAlign w:val="center"/>
          </w:tcPr>
          <w:p>
            <w:pPr>
              <w:pStyle w:val="16"/>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5386" w:type="dxa"/>
            <w:vAlign w:val="center"/>
          </w:tcPr>
          <w:p>
            <w:pPr>
              <w:pStyle w:val="16"/>
            </w:pPr>
            <w:r>
              <w:t>群众满意度</w:t>
            </w:r>
          </w:p>
        </w:tc>
        <w:tc>
          <w:tcPr>
            <w:tcW w:w="2268" w:type="dxa"/>
            <w:vAlign w:val="center"/>
          </w:tcPr>
          <w:p>
            <w:pPr>
              <w:pStyle w:val="16"/>
            </w:pPr>
            <w:r>
              <w:t>≥90百分比</w:t>
            </w:r>
          </w:p>
        </w:tc>
        <w:tc>
          <w:tcPr>
            <w:tcW w:w="1276"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814001隆尧县商务局本级</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6" w:type="dxa"/>
            <w:gridSpan w:val="7"/>
            <w:vAlign w:val="center"/>
          </w:tcPr>
          <w:p>
            <w:pPr>
              <w:pStyle w:val="14"/>
            </w:pPr>
            <w:r>
              <w:t>政府采购金额（当年部门预算安排资金）</w:t>
            </w:r>
          </w:p>
        </w:tc>
        <w:tc>
          <w:tcPr>
            <w:tcW w:w="964"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隆尧县商务局本级上年末固定资产金额为176.09万元（详见下表）。本年度拟购置固定资产总额为0.00万元，已按要求列入政府采购预算，详见政府采购预算表。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814001隆尧县商务局本级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176.09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1254</w:t>
            </w:r>
          </w:p>
        </w:tc>
        <w:tc>
          <w:tcPr>
            <w:tcW w:w="2835" w:type="dxa"/>
            <w:vAlign w:val="center"/>
          </w:tcPr>
          <w:p>
            <w:pPr>
              <w:pStyle w:val="15"/>
            </w:pPr>
            <w:r>
              <w:t>128.64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二、隆尧县招商服务中心收支预算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814003隆尧县招商服务中心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363.55</w:t>
            </w:r>
          </w:p>
        </w:tc>
        <w:tc>
          <w:tcPr>
            <w:tcW w:w="4535" w:type="dxa"/>
            <w:vAlign w:val="center"/>
          </w:tcPr>
          <w:p>
            <w:pPr>
              <w:pStyle w:val="16"/>
            </w:pPr>
            <w:r>
              <w:t>一、一般公共服务支出</w:t>
            </w:r>
          </w:p>
        </w:tc>
        <w:tc>
          <w:tcPr>
            <w:tcW w:w="2126" w:type="dxa"/>
            <w:vAlign w:val="center"/>
          </w:tcPr>
          <w:p>
            <w:pPr>
              <w:pStyle w:val="15"/>
            </w:pPr>
            <w:r>
              <w:t>349.88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363.55</w:t>
            </w:r>
          </w:p>
        </w:tc>
        <w:tc>
          <w:tcPr>
            <w:tcW w:w="4535" w:type="dxa"/>
            <w:vAlign w:val="center"/>
          </w:tcPr>
          <w:p>
            <w:pPr>
              <w:pStyle w:val="18"/>
            </w:pPr>
            <w:r>
              <w:t>本年支出合计</w:t>
            </w:r>
          </w:p>
        </w:tc>
        <w:tc>
          <w:tcPr>
            <w:tcW w:w="2126" w:type="dxa"/>
            <w:vAlign w:val="center"/>
          </w:tcPr>
          <w:p>
            <w:pPr>
              <w:pStyle w:val="19"/>
            </w:pPr>
            <w:r>
              <w:t>363.55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363.55</w:t>
            </w:r>
          </w:p>
        </w:tc>
        <w:tc>
          <w:tcPr>
            <w:tcW w:w="4535" w:type="dxa"/>
            <w:vAlign w:val="center"/>
          </w:tcPr>
          <w:p>
            <w:pPr>
              <w:pStyle w:val="18"/>
            </w:pPr>
            <w:r>
              <w:t>支出总计</w:t>
            </w:r>
          </w:p>
        </w:tc>
        <w:tc>
          <w:tcPr>
            <w:tcW w:w="2126" w:type="dxa"/>
            <w:vAlign w:val="center"/>
          </w:tcPr>
          <w:p>
            <w:pPr>
              <w:pStyle w:val="19"/>
            </w:pPr>
            <w:r>
              <w:t>363.55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814003隆尧县招商服务中心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363.55</w:t>
            </w:r>
          </w:p>
        </w:tc>
        <w:tc>
          <w:tcPr>
            <w:tcW w:w="1134" w:type="dxa"/>
            <w:vAlign w:val="center"/>
          </w:tcPr>
          <w:p>
            <w:pPr>
              <w:pStyle w:val="19"/>
            </w:pPr>
            <w:r>
              <w:t>363.55</w:t>
            </w:r>
          </w:p>
        </w:tc>
        <w:tc>
          <w:tcPr>
            <w:tcW w:w="1134" w:type="dxa"/>
            <w:vAlign w:val="center"/>
          </w:tcPr>
          <w:p>
            <w:pPr>
              <w:pStyle w:val="19"/>
            </w:pPr>
            <w:r>
              <w:t>363.55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r>
              <w:t>349.88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r>
              <w:t>6.12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r>
              <w:t>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r>
              <w:t>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363.55</w:t>
            </w:r>
          </w:p>
        </w:tc>
        <w:tc>
          <w:tcPr>
            <w:tcW w:w="1361" w:type="dxa"/>
            <w:vAlign w:val="center"/>
          </w:tcPr>
          <w:p>
            <w:pPr>
              <w:pStyle w:val="19"/>
            </w:pPr>
            <w:r>
              <w:t>63.95</w:t>
            </w:r>
          </w:p>
        </w:tc>
        <w:tc>
          <w:tcPr>
            <w:tcW w:w="1361" w:type="dxa"/>
            <w:vAlign w:val="center"/>
          </w:tcPr>
          <w:p>
            <w:pPr>
              <w:pStyle w:val="19"/>
            </w:pPr>
            <w:r>
              <w:t>299.60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349.88</w:t>
            </w:r>
          </w:p>
        </w:tc>
        <w:tc>
          <w:tcPr>
            <w:tcW w:w="1361" w:type="dxa"/>
            <w:vAlign w:val="center"/>
          </w:tcPr>
          <w:p>
            <w:pPr>
              <w:pStyle w:val="15"/>
            </w:pPr>
            <w:r>
              <w:t>50.28</w:t>
            </w:r>
          </w:p>
        </w:tc>
        <w:tc>
          <w:tcPr>
            <w:tcW w:w="1361" w:type="dxa"/>
            <w:vAlign w:val="center"/>
          </w:tcPr>
          <w:p>
            <w:pPr>
              <w:pStyle w:val="15"/>
            </w:pPr>
            <w:r>
              <w:t>299.60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349.88</w:t>
            </w:r>
          </w:p>
        </w:tc>
        <w:tc>
          <w:tcPr>
            <w:tcW w:w="1361" w:type="dxa"/>
            <w:vAlign w:val="center"/>
          </w:tcPr>
          <w:p>
            <w:pPr>
              <w:pStyle w:val="15"/>
            </w:pPr>
            <w:r>
              <w:t>50.28</w:t>
            </w:r>
          </w:p>
        </w:tc>
        <w:tc>
          <w:tcPr>
            <w:tcW w:w="1361" w:type="dxa"/>
            <w:vAlign w:val="center"/>
          </w:tcPr>
          <w:p>
            <w:pPr>
              <w:pStyle w:val="15"/>
            </w:pPr>
            <w:r>
              <w:t>299.60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349.88</w:t>
            </w:r>
          </w:p>
        </w:tc>
        <w:tc>
          <w:tcPr>
            <w:tcW w:w="1361" w:type="dxa"/>
            <w:vAlign w:val="center"/>
          </w:tcPr>
          <w:p>
            <w:pPr>
              <w:pStyle w:val="15"/>
            </w:pPr>
            <w:r>
              <w:t>50.28</w:t>
            </w:r>
          </w:p>
        </w:tc>
        <w:tc>
          <w:tcPr>
            <w:tcW w:w="1361" w:type="dxa"/>
            <w:vAlign w:val="center"/>
          </w:tcPr>
          <w:p>
            <w:pPr>
              <w:pStyle w:val="15"/>
            </w:pPr>
            <w:r>
              <w:t>299.60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6.12</w:t>
            </w:r>
          </w:p>
        </w:tc>
        <w:tc>
          <w:tcPr>
            <w:tcW w:w="1361" w:type="dxa"/>
            <w:vAlign w:val="center"/>
          </w:tcPr>
          <w:p>
            <w:pPr>
              <w:pStyle w:val="15"/>
            </w:pPr>
            <w:r>
              <w:t>6.12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6.12</w:t>
            </w:r>
          </w:p>
        </w:tc>
        <w:tc>
          <w:tcPr>
            <w:tcW w:w="1361" w:type="dxa"/>
            <w:vAlign w:val="center"/>
          </w:tcPr>
          <w:p>
            <w:pPr>
              <w:pStyle w:val="15"/>
            </w:pPr>
            <w:r>
              <w:t>6.12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6.12</w:t>
            </w:r>
          </w:p>
        </w:tc>
        <w:tc>
          <w:tcPr>
            <w:tcW w:w="1361" w:type="dxa"/>
            <w:vAlign w:val="center"/>
          </w:tcPr>
          <w:p>
            <w:pPr>
              <w:pStyle w:val="15"/>
            </w:pPr>
            <w:r>
              <w:t>6.12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2.79</w:t>
            </w:r>
          </w:p>
        </w:tc>
        <w:tc>
          <w:tcPr>
            <w:tcW w:w="1361" w:type="dxa"/>
            <w:vAlign w:val="center"/>
          </w:tcPr>
          <w:p>
            <w:pPr>
              <w:pStyle w:val="15"/>
            </w:pPr>
            <w:r>
              <w:t>2.79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2.79</w:t>
            </w:r>
          </w:p>
        </w:tc>
        <w:tc>
          <w:tcPr>
            <w:tcW w:w="1361" w:type="dxa"/>
            <w:vAlign w:val="center"/>
          </w:tcPr>
          <w:p>
            <w:pPr>
              <w:pStyle w:val="15"/>
            </w:pPr>
            <w:r>
              <w:t>2.79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2.79</w:t>
            </w:r>
          </w:p>
        </w:tc>
        <w:tc>
          <w:tcPr>
            <w:tcW w:w="1361" w:type="dxa"/>
            <w:vAlign w:val="center"/>
          </w:tcPr>
          <w:p>
            <w:pPr>
              <w:pStyle w:val="15"/>
            </w:pPr>
            <w:r>
              <w:t>2.79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4.75</w:t>
            </w:r>
          </w:p>
        </w:tc>
        <w:tc>
          <w:tcPr>
            <w:tcW w:w="1361" w:type="dxa"/>
            <w:vAlign w:val="center"/>
          </w:tcPr>
          <w:p>
            <w:pPr>
              <w:pStyle w:val="15"/>
            </w:pPr>
            <w:r>
              <w:t>4.75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4.75</w:t>
            </w:r>
          </w:p>
        </w:tc>
        <w:tc>
          <w:tcPr>
            <w:tcW w:w="1361" w:type="dxa"/>
            <w:vAlign w:val="center"/>
          </w:tcPr>
          <w:p>
            <w:pPr>
              <w:pStyle w:val="15"/>
            </w:pPr>
            <w:r>
              <w:t>4.75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4.75</w:t>
            </w:r>
          </w:p>
        </w:tc>
        <w:tc>
          <w:tcPr>
            <w:tcW w:w="1361" w:type="dxa"/>
            <w:vAlign w:val="center"/>
          </w:tcPr>
          <w:p>
            <w:pPr>
              <w:pStyle w:val="15"/>
            </w:pPr>
            <w:r>
              <w:t>4.75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363.55</w:t>
            </w:r>
          </w:p>
        </w:tc>
        <w:tc>
          <w:tcPr>
            <w:tcW w:w="3402" w:type="dxa"/>
            <w:vAlign w:val="center"/>
          </w:tcPr>
          <w:p>
            <w:pPr>
              <w:pStyle w:val="16"/>
            </w:pPr>
            <w:r>
              <w:t>一、一般公共服务支出</w:t>
            </w:r>
          </w:p>
        </w:tc>
        <w:tc>
          <w:tcPr>
            <w:tcW w:w="1474" w:type="dxa"/>
            <w:vAlign w:val="center"/>
          </w:tcPr>
          <w:p>
            <w:pPr>
              <w:pStyle w:val="15"/>
            </w:pPr>
            <w:r>
              <w:t>349.88</w:t>
            </w:r>
          </w:p>
        </w:tc>
        <w:tc>
          <w:tcPr>
            <w:tcW w:w="1474" w:type="dxa"/>
            <w:vAlign w:val="center"/>
          </w:tcPr>
          <w:p>
            <w:pPr>
              <w:pStyle w:val="15"/>
            </w:pPr>
            <w:r>
              <w:t>349.88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6.12</w:t>
            </w:r>
          </w:p>
        </w:tc>
        <w:tc>
          <w:tcPr>
            <w:tcW w:w="1474" w:type="dxa"/>
            <w:vAlign w:val="center"/>
          </w:tcPr>
          <w:p>
            <w:pPr>
              <w:pStyle w:val="15"/>
            </w:pPr>
            <w:r>
              <w:t>6.12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2.79</w:t>
            </w:r>
          </w:p>
        </w:tc>
        <w:tc>
          <w:tcPr>
            <w:tcW w:w="1474" w:type="dxa"/>
            <w:vAlign w:val="center"/>
          </w:tcPr>
          <w:p>
            <w:pPr>
              <w:pStyle w:val="15"/>
            </w:pPr>
            <w:r>
              <w:t>2.79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4.75</w:t>
            </w:r>
          </w:p>
        </w:tc>
        <w:tc>
          <w:tcPr>
            <w:tcW w:w="1474" w:type="dxa"/>
            <w:vAlign w:val="center"/>
          </w:tcPr>
          <w:p>
            <w:pPr>
              <w:pStyle w:val="15"/>
            </w:pPr>
            <w:r>
              <w:t>4.75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363.55</w:t>
            </w:r>
          </w:p>
        </w:tc>
        <w:tc>
          <w:tcPr>
            <w:tcW w:w="3402" w:type="dxa"/>
            <w:vAlign w:val="center"/>
          </w:tcPr>
          <w:p>
            <w:pPr>
              <w:pStyle w:val="18"/>
            </w:pPr>
            <w:r>
              <w:t>本年支出合计</w:t>
            </w:r>
          </w:p>
        </w:tc>
        <w:tc>
          <w:tcPr>
            <w:tcW w:w="1474" w:type="dxa"/>
            <w:vAlign w:val="center"/>
          </w:tcPr>
          <w:p>
            <w:pPr>
              <w:pStyle w:val="19"/>
            </w:pPr>
            <w:r>
              <w:t>363.55</w:t>
            </w:r>
          </w:p>
        </w:tc>
        <w:tc>
          <w:tcPr>
            <w:tcW w:w="1474" w:type="dxa"/>
            <w:vAlign w:val="center"/>
          </w:tcPr>
          <w:p>
            <w:pPr>
              <w:pStyle w:val="19"/>
            </w:pPr>
            <w:r>
              <w:t>363.55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363.55</w:t>
            </w:r>
          </w:p>
        </w:tc>
        <w:tc>
          <w:tcPr>
            <w:tcW w:w="3402" w:type="dxa"/>
            <w:vAlign w:val="center"/>
          </w:tcPr>
          <w:p>
            <w:pPr>
              <w:pStyle w:val="18"/>
            </w:pPr>
            <w:r>
              <w:t>支出总计</w:t>
            </w:r>
          </w:p>
        </w:tc>
        <w:tc>
          <w:tcPr>
            <w:tcW w:w="1474" w:type="dxa"/>
            <w:vAlign w:val="center"/>
          </w:tcPr>
          <w:p>
            <w:pPr>
              <w:pStyle w:val="19"/>
            </w:pPr>
            <w:r>
              <w:t>363.55</w:t>
            </w:r>
          </w:p>
        </w:tc>
        <w:tc>
          <w:tcPr>
            <w:tcW w:w="1474" w:type="dxa"/>
            <w:vAlign w:val="center"/>
          </w:tcPr>
          <w:p>
            <w:pPr>
              <w:pStyle w:val="19"/>
            </w:pPr>
            <w:r>
              <w:t>363.55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363.55</w:t>
            </w:r>
          </w:p>
        </w:tc>
        <w:tc>
          <w:tcPr>
            <w:tcW w:w="2551" w:type="dxa"/>
            <w:vAlign w:val="center"/>
          </w:tcPr>
          <w:p>
            <w:pPr>
              <w:pStyle w:val="19"/>
            </w:pPr>
            <w:r>
              <w:t>63.95</w:t>
            </w:r>
          </w:p>
        </w:tc>
        <w:tc>
          <w:tcPr>
            <w:tcW w:w="2551" w:type="dxa"/>
            <w:vAlign w:val="center"/>
          </w:tcPr>
          <w:p>
            <w:pPr>
              <w:pStyle w:val="19"/>
            </w:pPr>
            <w:r>
              <w:t>299.60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349.88</w:t>
            </w:r>
          </w:p>
        </w:tc>
        <w:tc>
          <w:tcPr>
            <w:tcW w:w="2551" w:type="dxa"/>
            <w:vAlign w:val="center"/>
          </w:tcPr>
          <w:p>
            <w:pPr>
              <w:pStyle w:val="15"/>
            </w:pPr>
            <w:r>
              <w:t>50.28</w:t>
            </w:r>
          </w:p>
        </w:tc>
        <w:tc>
          <w:tcPr>
            <w:tcW w:w="2551" w:type="dxa"/>
            <w:vAlign w:val="center"/>
          </w:tcPr>
          <w:p>
            <w:pPr>
              <w:pStyle w:val="15"/>
            </w:pPr>
            <w:r>
              <w:t>299.60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349.88</w:t>
            </w:r>
          </w:p>
        </w:tc>
        <w:tc>
          <w:tcPr>
            <w:tcW w:w="2551" w:type="dxa"/>
            <w:vAlign w:val="center"/>
          </w:tcPr>
          <w:p>
            <w:pPr>
              <w:pStyle w:val="15"/>
            </w:pPr>
            <w:r>
              <w:t>50.28</w:t>
            </w:r>
          </w:p>
        </w:tc>
        <w:tc>
          <w:tcPr>
            <w:tcW w:w="2551" w:type="dxa"/>
            <w:vAlign w:val="center"/>
          </w:tcPr>
          <w:p>
            <w:pPr>
              <w:pStyle w:val="15"/>
            </w:pPr>
            <w:r>
              <w:t>299.60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349.88</w:t>
            </w:r>
          </w:p>
        </w:tc>
        <w:tc>
          <w:tcPr>
            <w:tcW w:w="2551" w:type="dxa"/>
            <w:vAlign w:val="center"/>
          </w:tcPr>
          <w:p>
            <w:pPr>
              <w:pStyle w:val="15"/>
            </w:pPr>
            <w:r>
              <w:t>50.28</w:t>
            </w:r>
          </w:p>
        </w:tc>
        <w:tc>
          <w:tcPr>
            <w:tcW w:w="2551" w:type="dxa"/>
            <w:vAlign w:val="center"/>
          </w:tcPr>
          <w:p>
            <w:pPr>
              <w:pStyle w:val="15"/>
            </w:pPr>
            <w:r>
              <w:t>299.60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6.12</w:t>
            </w:r>
          </w:p>
        </w:tc>
        <w:tc>
          <w:tcPr>
            <w:tcW w:w="2551" w:type="dxa"/>
            <w:vAlign w:val="center"/>
          </w:tcPr>
          <w:p>
            <w:pPr>
              <w:pStyle w:val="15"/>
            </w:pPr>
            <w:r>
              <w:t>6.12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6.12</w:t>
            </w:r>
          </w:p>
        </w:tc>
        <w:tc>
          <w:tcPr>
            <w:tcW w:w="2551" w:type="dxa"/>
            <w:vAlign w:val="center"/>
          </w:tcPr>
          <w:p>
            <w:pPr>
              <w:pStyle w:val="15"/>
            </w:pPr>
            <w:r>
              <w:t>6.12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6.12</w:t>
            </w:r>
          </w:p>
        </w:tc>
        <w:tc>
          <w:tcPr>
            <w:tcW w:w="2551" w:type="dxa"/>
            <w:vAlign w:val="center"/>
          </w:tcPr>
          <w:p>
            <w:pPr>
              <w:pStyle w:val="15"/>
            </w:pPr>
            <w:r>
              <w:t>6.12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2.79</w:t>
            </w:r>
          </w:p>
        </w:tc>
        <w:tc>
          <w:tcPr>
            <w:tcW w:w="2551" w:type="dxa"/>
            <w:vAlign w:val="center"/>
          </w:tcPr>
          <w:p>
            <w:pPr>
              <w:pStyle w:val="15"/>
            </w:pPr>
            <w:r>
              <w:t>2.79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2.79</w:t>
            </w:r>
          </w:p>
        </w:tc>
        <w:tc>
          <w:tcPr>
            <w:tcW w:w="2551" w:type="dxa"/>
            <w:vAlign w:val="center"/>
          </w:tcPr>
          <w:p>
            <w:pPr>
              <w:pStyle w:val="15"/>
            </w:pPr>
            <w:r>
              <w:t>2.79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2.79</w:t>
            </w:r>
          </w:p>
        </w:tc>
        <w:tc>
          <w:tcPr>
            <w:tcW w:w="2551" w:type="dxa"/>
            <w:vAlign w:val="center"/>
          </w:tcPr>
          <w:p>
            <w:pPr>
              <w:pStyle w:val="15"/>
            </w:pPr>
            <w:r>
              <w:t>2.79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4.75</w:t>
            </w:r>
          </w:p>
        </w:tc>
        <w:tc>
          <w:tcPr>
            <w:tcW w:w="2551" w:type="dxa"/>
            <w:vAlign w:val="center"/>
          </w:tcPr>
          <w:p>
            <w:pPr>
              <w:pStyle w:val="15"/>
            </w:pPr>
            <w:r>
              <w:t>4.75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4.75</w:t>
            </w:r>
          </w:p>
        </w:tc>
        <w:tc>
          <w:tcPr>
            <w:tcW w:w="2551" w:type="dxa"/>
            <w:vAlign w:val="center"/>
          </w:tcPr>
          <w:p>
            <w:pPr>
              <w:pStyle w:val="15"/>
            </w:pPr>
            <w:r>
              <w:t>4.75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4.75</w:t>
            </w:r>
          </w:p>
        </w:tc>
        <w:tc>
          <w:tcPr>
            <w:tcW w:w="2551" w:type="dxa"/>
            <w:vAlign w:val="center"/>
          </w:tcPr>
          <w:p>
            <w:pPr>
              <w:pStyle w:val="15"/>
            </w:pPr>
            <w:r>
              <w:t>4.75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63.95</w:t>
            </w:r>
          </w:p>
        </w:tc>
        <w:tc>
          <w:tcPr>
            <w:tcW w:w="2551" w:type="dxa"/>
            <w:vAlign w:val="center"/>
          </w:tcPr>
          <w:p>
            <w:pPr>
              <w:pStyle w:val="19"/>
            </w:pPr>
            <w:r>
              <w:t>57.76</w:t>
            </w:r>
          </w:p>
        </w:tc>
        <w:tc>
          <w:tcPr>
            <w:tcW w:w="2551" w:type="dxa"/>
            <w:vAlign w:val="center"/>
          </w:tcPr>
          <w:p>
            <w:pPr>
              <w:pStyle w:val="19"/>
            </w:pPr>
            <w:r>
              <w:t>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57.76</w:t>
            </w:r>
          </w:p>
        </w:tc>
        <w:tc>
          <w:tcPr>
            <w:tcW w:w="2551" w:type="dxa"/>
            <w:vAlign w:val="center"/>
          </w:tcPr>
          <w:p>
            <w:pPr>
              <w:pStyle w:val="15"/>
            </w:pPr>
            <w:r>
              <w:t>57.76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24.52</w:t>
            </w:r>
          </w:p>
        </w:tc>
        <w:tc>
          <w:tcPr>
            <w:tcW w:w="2551" w:type="dxa"/>
            <w:vAlign w:val="center"/>
          </w:tcPr>
          <w:p>
            <w:pPr>
              <w:pStyle w:val="15"/>
            </w:pPr>
            <w:r>
              <w:t>24.52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0.91</w:t>
            </w:r>
          </w:p>
        </w:tc>
        <w:tc>
          <w:tcPr>
            <w:tcW w:w="2551" w:type="dxa"/>
            <w:vAlign w:val="center"/>
          </w:tcPr>
          <w:p>
            <w:pPr>
              <w:pStyle w:val="15"/>
            </w:pPr>
            <w:r>
              <w:t>0.91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17.85</w:t>
            </w:r>
          </w:p>
        </w:tc>
        <w:tc>
          <w:tcPr>
            <w:tcW w:w="2551" w:type="dxa"/>
            <w:vAlign w:val="center"/>
          </w:tcPr>
          <w:p>
            <w:pPr>
              <w:pStyle w:val="15"/>
            </w:pPr>
            <w:r>
              <w:t>17.85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6.12</w:t>
            </w:r>
          </w:p>
        </w:tc>
        <w:tc>
          <w:tcPr>
            <w:tcW w:w="2551" w:type="dxa"/>
            <w:vAlign w:val="center"/>
          </w:tcPr>
          <w:p>
            <w:pPr>
              <w:pStyle w:val="15"/>
            </w:pPr>
            <w:r>
              <w:t>6.12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2.79</w:t>
            </w:r>
          </w:p>
        </w:tc>
        <w:tc>
          <w:tcPr>
            <w:tcW w:w="2551" w:type="dxa"/>
            <w:vAlign w:val="center"/>
          </w:tcPr>
          <w:p>
            <w:pPr>
              <w:pStyle w:val="15"/>
            </w:pPr>
            <w:r>
              <w:t>2.79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0.82</w:t>
            </w:r>
          </w:p>
        </w:tc>
        <w:tc>
          <w:tcPr>
            <w:tcW w:w="2551" w:type="dxa"/>
            <w:vAlign w:val="center"/>
          </w:tcPr>
          <w:p>
            <w:pPr>
              <w:pStyle w:val="15"/>
            </w:pPr>
            <w:r>
              <w:t>0.82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4.75</w:t>
            </w:r>
          </w:p>
        </w:tc>
        <w:tc>
          <w:tcPr>
            <w:tcW w:w="2551" w:type="dxa"/>
            <w:vAlign w:val="center"/>
          </w:tcPr>
          <w:p>
            <w:pPr>
              <w:pStyle w:val="15"/>
            </w:pPr>
            <w:r>
              <w:t>4.75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6.19</w:t>
            </w:r>
          </w:p>
        </w:tc>
        <w:tc>
          <w:tcPr>
            <w:tcW w:w="2551" w:type="dxa"/>
            <w:vAlign w:val="center"/>
          </w:tcPr>
          <w:p>
            <w:pPr>
              <w:pStyle w:val="15"/>
            </w:pPr>
          </w:p>
        </w:tc>
        <w:tc>
          <w:tcPr>
            <w:tcW w:w="2551" w:type="dxa"/>
            <w:vAlign w:val="center"/>
          </w:tcPr>
          <w:p>
            <w:pPr>
              <w:pStyle w:val="15"/>
            </w:pPr>
            <w:r>
              <w:t>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1.46</w:t>
            </w:r>
          </w:p>
        </w:tc>
        <w:tc>
          <w:tcPr>
            <w:tcW w:w="2551" w:type="dxa"/>
            <w:vAlign w:val="center"/>
          </w:tcPr>
          <w:p>
            <w:pPr>
              <w:pStyle w:val="15"/>
            </w:pPr>
          </w:p>
        </w:tc>
        <w:tc>
          <w:tcPr>
            <w:tcW w:w="2551" w:type="dxa"/>
            <w:vAlign w:val="center"/>
          </w:tcPr>
          <w:p>
            <w:pPr>
              <w:pStyle w:val="15"/>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0.06</w:t>
            </w:r>
          </w:p>
        </w:tc>
        <w:tc>
          <w:tcPr>
            <w:tcW w:w="2551" w:type="dxa"/>
            <w:vAlign w:val="center"/>
          </w:tcPr>
          <w:p>
            <w:pPr>
              <w:pStyle w:val="15"/>
            </w:pPr>
          </w:p>
        </w:tc>
        <w:tc>
          <w:tcPr>
            <w:tcW w:w="2551"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0.06</w:t>
            </w:r>
          </w:p>
        </w:tc>
        <w:tc>
          <w:tcPr>
            <w:tcW w:w="2551" w:type="dxa"/>
            <w:vAlign w:val="center"/>
          </w:tcPr>
          <w:p>
            <w:pPr>
              <w:pStyle w:val="15"/>
            </w:pPr>
          </w:p>
        </w:tc>
        <w:tc>
          <w:tcPr>
            <w:tcW w:w="2551"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0.18</w:t>
            </w:r>
          </w:p>
        </w:tc>
        <w:tc>
          <w:tcPr>
            <w:tcW w:w="2551" w:type="dxa"/>
            <w:vAlign w:val="center"/>
          </w:tcPr>
          <w:p>
            <w:pPr>
              <w:pStyle w:val="15"/>
            </w:pPr>
          </w:p>
        </w:tc>
        <w:tc>
          <w:tcPr>
            <w:tcW w:w="2551" w:type="dxa"/>
            <w:vAlign w:val="center"/>
          </w:tcPr>
          <w:p>
            <w:pPr>
              <w:pStyle w:val="15"/>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0.12</w:t>
            </w:r>
          </w:p>
        </w:tc>
        <w:tc>
          <w:tcPr>
            <w:tcW w:w="2551" w:type="dxa"/>
            <w:vAlign w:val="center"/>
          </w:tcPr>
          <w:p>
            <w:pPr>
              <w:pStyle w:val="15"/>
            </w:pPr>
          </w:p>
        </w:tc>
        <w:tc>
          <w:tcPr>
            <w:tcW w:w="2551" w:type="dxa"/>
            <w:vAlign w:val="center"/>
          </w:tcPr>
          <w:p>
            <w:pPr>
              <w:pStyle w:val="15"/>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0.36</w:t>
            </w:r>
          </w:p>
        </w:tc>
        <w:tc>
          <w:tcPr>
            <w:tcW w:w="2551" w:type="dxa"/>
            <w:vAlign w:val="center"/>
          </w:tcPr>
          <w:p>
            <w:pPr>
              <w:pStyle w:val="15"/>
            </w:pPr>
          </w:p>
        </w:tc>
        <w:tc>
          <w:tcPr>
            <w:tcW w:w="2551" w:type="dxa"/>
            <w:vAlign w:val="center"/>
          </w:tcPr>
          <w:p>
            <w:pPr>
              <w:pStyle w:val="15"/>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3.84</w:t>
            </w:r>
          </w:p>
        </w:tc>
        <w:tc>
          <w:tcPr>
            <w:tcW w:w="2551" w:type="dxa"/>
            <w:vAlign w:val="center"/>
          </w:tcPr>
          <w:p>
            <w:pPr>
              <w:pStyle w:val="15"/>
            </w:pPr>
          </w:p>
        </w:tc>
        <w:tc>
          <w:tcPr>
            <w:tcW w:w="2551" w:type="dxa"/>
            <w:vAlign w:val="center"/>
          </w:tcPr>
          <w:p>
            <w:pPr>
              <w:pStyle w:val="15"/>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0.12</w:t>
            </w:r>
          </w:p>
        </w:tc>
        <w:tc>
          <w:tcPr>
            <w:tcW w:w="2551" w:type="dxa"/>
            <w:vAlign w:val="center"/>
          </w:tcPr>
          <w:p>
            <w:pPr>
              <w:pStyle w:val="15"/>
            </w:pPr>
          </w:p>
        </w:tc>
        <w:tc>
          <w:tcPr>
            <w:tcW w:w="2551" w:type="dxa"/>
            <w:vAlign w:val="center"/>
          </w:tcPr>
          <w:p>
            <w:pPr>
              <w:pStyle w:val="15"/>
            </w:pPr>
            <w:r>
              <w:t>0.12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3</w:t>
            </w:r>
            <w:r>
              <w:rPr>
                <w:rFonts w:hint="eastAsia" w:asciiTheme="minorEastAsia" w:hAnsiTheme="minorEastAsia" w:eastAsiaTheme="minorEastAsia"/>
                <w:lang w:eastAsia="zh-CN"/>
              </w:rPr>
              <w:t>0</w:t>
            </w:r>
            <w:r>
              <w:t>.00</w:t>
            </w:r>
          </w:p>
        </w:tc>
        <w:tc>
          <w:tcPr>
            <w:tcW w:w="2381" w:type="dxa"/>
            <w:vAlign w:val="center"/>
          </w:tcPr>
          <w:p>
            <w:pPr>
              <w:pStyle w:val="19"/>
            </w:pPr>
            <w:r>
              <w:rPr>
                <w:rFonts w:hint="eastAsia" w:asciiTheme="minorEastAsia" w:hAnsiTheme="minorEastAsia" w:eastAsiaTheme="minorEastAsia"/>
                <w:lang w:eastAsia="zh-CN"/>
              </w:rPr>
              <w:t>30</w:t>
            </w:r>
            <w:r>
              <w:t>.00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30.00</w:t>
            </w:r>
          </w:p>
        </w:tc>
        <w:tc>
          <w:tcPr>
            <w:tcW w:w="2381" w:type="dxa"/>
            <w:vAlign w:val="center"/>
          </w:tcPr>
          <w:p>
            <w:pPr>
              <w:pStyle w:val="15"/>
            </w:pPr>
            <w:r>
              <w:t>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30.00</w:t>
            </w:r>
          </w:p>
        </w:tc>
        <w:tc>
          <w:tcPr>
            <w:tcW w:w="2381" w:type="dxa"/>
            <w:vAlign w:val="center"/>
          </w:tcPr>
          <w:p>
            <w:pPr>
              <w:pStyle w:val="15"/>
            </w:pPr>
            <w:r>
              <w:t>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 xml:space="preserve">    其中：省属高校业务性会议费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12</w:t>
            </w:r>
          </w:p>
        </w:tc>
        <w:tc>
          <w:tcPr>
            <w:tcW w:w="3798" w:type="dxa"/>
            <w:vAlign w:val="center"/>
          </w:tcPr>
          <w:p>
            <w:pPr>
              <w:pStyle w:val="16"/>
            </w:pPr>
            <w:r>
              <w:t xml:space="preserve">          其他会议费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13</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隆尧县招商服务中心2024年单位预算信息公开情况说明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按照《中华人民共和国预算法》、《地方预决算公开操作规程》和《关于进一步推进预算公开工作的实施意见》规定，现将隆尧县招商服务中心2024年单位预算公开如下：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1"/>
      </w:pPr>
      <w:r>
        <w:rPr>
          <w:rFonts w:hint="eastAsia"/>
        </w:rPr>
        <w:t>贯彻执行国家、省、市招商引资有关政策法规，参与研究制订全县招商引资工作规划和年度计划，整理、发布招商信息，为招商项目和入驻企业提供帮办服务。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隆尧县招商服务中心</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2"/>
      </w:pPr>
      <w:r>
        <w:t>按照预算管理有关规定，目前我县单位预算的编制实行综合预算管理，即全部收入和支出都反映在预算中。</w:t>
      </w:r>
    </w:p>
    <w:p>
      <w:pPr>
        <w:pStyle w:val="22"/>
      </w:pPr>
    </w:p>
    <w:p>
      <w:pPr>
        <w:pStyle w:val="22"/>
      </w:pPr>
      <w:r>
        <w:t>1、收入说明</w:t>
      </w:r>
    </w:p>
    <w:p>
      <w:pPr>
        <w:pStyle w:val="22"/>
      </w:pPr>
      <w:r>
        <w:t>反映本单位当年全部收入。2024年预算收入363.5514万元，其中：一般公共预算收入363.5514万元，基金预算收入0万元，国有资本经营预算收入0万元，财政专户核拨收入0万元，单位资金收入0万元，上年结转结余0万元。</w:t>
      </w:r>
    </w:p>
    <w:p>
      <w:pPr>
        <w:pStyle w:val="22"/>
      </w:pPr>
      <w:r>
        <w:t>2、支出说明</w:t>
      </w:r>
    </w:p>
    <w:p>
      <w:pPr>
        <w:pStyle w:val="22"/>
      </w:pPr>
      <w:r>
        <w:t>收支预算总表支出栏、基本支出表、项目支出表按经济分类和支出功能分类科目编制，反映隆尧县招商服务中心年度预算中支出预算的总体情况。2024年支出预算363.5514万元，其中基本支出63.9514万元，包括人员经费57.7614万元和日常公用经费6.19万元；项目支出299.6万元，主要为招商局招商经费6万元、重大招商专项经费13.6万元、全县集中招商专项经费280万元。</w:t>
      </w:r>
    </w:p>
    <w:p>
      <w:pPr>
        <w:pStyle w:val="22"/>
      </w:pPr>
      <w:r>
        <w:t>3、比上年增减况</w:t>
      </w:r>
    </w:p>
    <w:p>
      <w:pPr>
        <w:pStyle w:val="22"/>
      </w:pPr>
      <w:r>
        <w:t>2024年预算收支安排363.5514万元，较2023年预算减少132.6353万元，其中：基本支出减少7.7362万元，主要为人员减少，相应减少人员经费支出；项目支出减少124.9万元，主要为全县集中招商专项经费减少。</w:t>
      </w:r>
    </w:p>
    <w:p>
      <w:pPr>
        <w:spacing w:before="10" w:after="10"/>
        <w:ind w:firstLine="640"/>
        <w:outlineLvl w:val="5"/>
      </w:pPr>
      <w:r>
        <w:rPr>
          <w:rFonts w:ascii="黑体" w:hAnsi="黑体" w:eastAsia="黑体" w:cs="黑体"/>
          <w:color w:val="000000"/>
          <w:sz w:val="32"/>
        </w:rPr>
        <w:t>三、机关运行经费安排情况</w:t>
      </w:r>
    </w:p>
    <w:p>
      <w:pPr>
        <w:pStyle w:val="23"/>
      </w:pPr>
      <w:r>
        <w:t>2024年，我单位运行经费共计安排6.19万元，主要用于水费、电费、办公取暖费、党组织活动经费、办公费、公务交通补贴、公用经费、福利费等日常运行支出。。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t>2024年，我单位拨款“三公”经费预算安排30万元，其中因公出国（境）费0万元；公务用车购置及运维费0万元（其中：公务用车购置费为0万元，公务用车运行维护费0万元)；公务接待费30万元；会议费30万元；培训费3万元，与2023年相比减少1万元，主要为招商人员减少，培训人数相应减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color w:val="000000"/>
          <w:sz w:val="28"/>
        </w:rPr>
        <w:t>1、全县集中招商专项经费绩效目标表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13052524P00000210117L</w:t>
            </w:r>
          </w:p>
        </w:tc>
        <w:tc>
          <w:tcPr>
            <w:tcW w:w="2835" w:type="dxa"/>
            <w:vAlign w:val="center"/>
          </w:tcPr>
          <w:p>
            <w:pPr>
              <w:pStyle w:val="14"/>
            </w:pPr>
            <w:r>
              <w:t>项目名称</w:t>
            </w:r>
          </w:p>
        </w:tc>
        <w:tc>
          <w:tcPr>
            <w:tcW w:w="6094" w:type="dxa"/>
            <w:gridSpan w:val="3"/>
            <w:vAlign w:val="center"/>
          </w:tcPr>
          <w:p>
            <w:pPr>
              <w:pStyle w:val="16"/>
            </w:pPr>
            <w:r>
              <w:t>全县集中招商专项经费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280.00</w:t>
            </w:r>
          </w:p>
        </w:tc>
        <w:tc>
          <w:tcPr>
            <w:tcW w:w="2835" w:type="dxa"/>
            <w:vAlign w:val="center"/>
          </w:tcPr>
          <w:p>
            <w:pPr>
              <w:pStyle w:val="14"/>
            </w:pPr>
            <w:r>
              <w:t>其中：财政    资金</w:t>
            </w:r>
          </w:p>
        </w:tc>
        <w:tc>
          <w:tcPr>
            <w:tcW w:w="2551" w:type="dxa"/>
            <w:vAlign w:val="center"/>
          </w:tcPr>
          <w:p>
            <w:pPr>
              <w:pStyle w:val="16"/>
            </w:pPr>
            <w:r>
              <w:t>280.00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组织小组团和分局人员外出招商，邀请企业来隆考察，制作和完善招商资料，组织招商推介活动等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70.00</w:t>
            </w:r>
          </w:p>
        </w:tc>
        <w:tc>
          <w:tcPr>
            <w:tcW w:w="2835" w:type="dxa"/>
            <w:vAlign w:val="center"/>
          </w:tcPr>
          <w:p>
            <w:pPr>
              <w:pStyle w:val="17"/>
            </w:pPr>
            <w:r>
              <w:t>140.00</w:t>
            </w:r>
          </w:p>
        </w:tc>
        <w:tc>
          <w:tcPr>
            <w:tcW w:w="2551" w:type="dxa"/>
            <w:vAlign w:val="center"/>
          </w:tcPr>
          <w:p>
            <w:pPr>
              <w:pStyle w:val="17"/>
            </w:pPr>
            <w:r>
              <w:t>210.00</w:t>
            </w:r>
          </w:p>
        </w:tc>
        <w:tc>
          <w:tcPr>
            <w:tcW w:w="3543" w:type="dxa"/>
            <w:gridSpan w:val="2"/>
            <w:vAlign w:val="center"/>
          </w:tcPr>
          <w:p>
            <w:pPr>
              <w:pStyle w:val="17"/>
            </w:pPr>
            <w:r>
              <w:t>280.00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1.组织小组团和分局人员外出招商，邀请企业来隆考察，制作和完善招商资料，组织招商推介活动等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制作宣传品的数量</w:t>
            </w:r>
          </w:p>
        </w:tc>
        <w:tc>
          <w:tcPr>
            <w:tcW w:w="5386" w:type="dxa"/>
            <w:vAlign w:val="center"/>
          </w:tcPr>
          <w:p>
            <w:pPr>
              <w:pStyle w:val="16"/>
            </w:pPr>
            <w:r>
              <w:t>制作宣传品的数量</w:t>
            </w:r>
          </w:p>
        </w:tc>
        <w:tc>
          <w:tcPr>
            <w:tcW w:w="2268" w:type="dxa"/>
            <w:vAlign w:val="center"/>
          </w:tcPr>
          <w:p>
            <w:pPr>
              <w:pStyle w:val="16"/>
            </w:pPr>
            <w:r>
              <w:t>≥1000册</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招商活动的签约项目个数</w:t>
            </w:r>
          </w:p>
        </w:tc>
        <w:tc>
          <w:tcPr>
            <w:tcW w:w="5386" w:type="dxa"/>
            <w:vAlign w:val="center"/>
          </w:tcPr>
          <w:p>
            <w:pPr>
              <w:pStyle w:val="16"/>
            </w:pPr>
            <w:r>
              <w:t>招商活动的签约项目个数</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完成工作时间</w:t>
            </w:r>
          </w:p>
        </w:tc>
        <w:tc>
          <w:tcPr>
            <w:tcW w:w="5386" w:type="dxa"/>
            <w:vAlign w:val="center"/>
          </w:tcPr>
          <w:p>
            <w:pPr>
              <w:pStyle w:val="16"/>
            </w:pPr>
            <w:r>
              <w:t>完成工作时间</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5386" w:type="dxa"/>
            <w:vAlign w:val="center"/>
          </w:tcPr>
          <w:p>
            <w:pPr>
              <w:pStyle w:val="16"/>
            </w:pPr>
            <w:r>
              <w:t>预算执行率（%）</w:t>
            </w:r>
          </w:p>
        </w:tc>
        <w:tc>
          <w:tcPr>
            <w:tcW w:w="2268" w:type="dxa"/>
            <w:vAlign w:val="center"/>
          </w:tcPr>
          <w:p>
            <w:pPr>
              <w:pStyle w:val="16"/>
            </w:pPr>
            <w:r>
              <w:t>≤100百分率</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对经济发展带来效果</w:t>
            </w:r>
          </w:p>
        </w:tc>
        <w:tc>
          <w:tcPr>
            <w:tcW w:w="5386" w:type="dxa"/>
            <w:vAlign w:val="center"/>
          </w:tcPr>
          <w:p>
            <w:pPr>
              <w:pStyle w:val="16"/>
            </w:pPr>
            <w:r>
              <w:t>招引项目个数</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招商推介会</w:t>
            </w:r>
          </w:p>
        </w:tc>
        <w:tc>
          <w:tcPr>
            <w:tcW w:w="2268" w:type="dxa"/>
            <w:vAlign w:val="center"/>
          </w:tcPr>
          <w:p>
            <w:pPr>
              <w:pStyle w:val="16"/>
            </w:pPr>
            <w:r>
              <w:t>≥3次</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宣传片长期使用性</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参会企业满意度</w:t>
            </w:r>
          </w:p>
        </w:tc>
        <w:tc>
          <w:tcPr>
            <w:tcW w:w="5386" w:type="dxa"/>
            <w:vAlign w:val="center"/>
          </w:tcPr>
          <w:p>
            <w:pPr>
              <w:pStyle w:val="16"/>
            </w:pPr>
            <w:r>
              <w:t>参会企业满意度</w:t>
            </w:r>
          </w:p>
        </w:tc>
        <w:tc>
          <w:tcPr>
            <w:tcW w:w="2268" w:type="dxa"/>
            <w:vAlign w:val="center"/>
          </w:tcPr>
          <w:p>
            <w:pPr>
              <w:pStyle w:val="16"/>
            </w:pPr>
            <w:r>
              <w:t>100百分率</w:t>
            </w:r>
          </w:p>
        </w:tc>
        <w:tc>
          <w:tcPr>
            <w:tcW w:w="1276" w:type="dxa"/>
            <w:vAlign w:val="center"/>
          </w:tcPr>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2、招商局招商经费绩效目标表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13052524P00000210119U</w:t>
            </w:r>
          </w:p>
        </w:tc>
        <w:tc>
          <w:tcPr>
            <w:tcW w:w="2835" w:type="dxa"/>
            <w:vAlign w:val="center"/>
          </w:tcPr>
          <w:p>
            <w:pPr>
              <w:pStyle w:val="14"/>
            </w:pPr>
            <w:r>
              <w:t>项目名称</w:t>
            </w:r>
          </w:p>
        </w:tc>
        <w:tc>
          <w:tcPr>
            <w:tcW w:w="6094" w:type="dxa"/>
            <w:gridSpan w:val="3"/>
            <w:vAlign w:val="center"/>
          </w:tcPr>
          <w:p>
            <w:pPr>
              <w:pStyle w:val="16"/>
            </w:pPr>
            <w:r>
              <w:t>招商局招商经费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w:t>
            </w:r>
          </w:p>
        </w:tc>
        <w:tc>
          <w:tcPr>
            <w:tcW w:w="2835" w:type="dxa"/>
            <w:vAlign w:val="center"/>
          </w:tcPr>
          <w:p>
            <w:pPr>
              <w:pStyle w:val="14"/>
            </w:pPr>
            <w:r>
              <w:t>其中：财政    资金</w:t>
            </w:r>
          </w:p>
        </w:tc>
        <w:tc>
          <w:tcPr>
            <w:tcW w:w="2551" w:type="dxa"/>
            <w:vAlign w:val="center"/>
          </w:tcPr>
          <w:p>
            <w:pPr>
              <w:pStyle w:val="16"/>
            </w:pPr>
            <w:r>
              <w:t>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组织小团体赴外地招商，邀请企业来隆考察，制作和完善宣传资料等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1.50</w:t>
            </w:r>
          </w:p>
        </w:tc>
        <w:tc>
          <w:tcPr>
            <w:tcW w:w="2835" w:type="dxa"/>
            <w:vAlign w:val="center"/>
          </w:tcPr>
          <w:p>
            <w:pPr>
              <w:pStyle w:val="17"/>
            </w:pPr>
            <w:r>
              <w:t>3.00</w:t>
            </w:r>
          </w:p>
        </w:tc>
        <w:tc>
          <w:tcPr>
            <w:tcW w:w="2551" w:type="dxa"/>
            <w:vAlign w:val="center"/>
          </w:tcPr>
          <w:p>
            <w:pPr>
              <w:pStyle w:val="17"/>
            </w:pPr>
            <w:r>
              <w:t>4.50</w:t>
            </w:r>
          </w:p>
        </w:tc>
        <w:tc>
          <w:tcPr>
            <w:tcW w:w="3543" w:type="dxa"/>
            <w:gridSpan w:val="2"/>
            <w:vAlign w:val="center"/>
          </w:tcPr>
          <w:p>
            <w:pPr>
              <w:pStyle w:val="17"/>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1.组织小团体赴外地招商，邀请企业来隆考察，制作和完善宣传资料等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制作宣传品的数量</w:t>
            </w:r>
          </w:p>
        </w:tc>
        <w:tc>
          <w:tcPr>
            <w:tcW w:w="5386" w:type="dxa"/>
            <w:vAlign w:val="center"/>
          </w:tcPr>
          <w:p>
            <w:pPr>
              <w:pStyle w:val="16"/>
            </w:pPr>
            <w:r>
              <w:t>制作宣传品的数量</w:t>
            </w:r>
          </w:p>
        </w:tc>
        <w:tc>
          <w:tcPr>
            <w:tcW w:w="2268" w:type="dxa"/>
            <w:vAlign w:val="center"/>
          </w:tcPr>
          <w:p>
            <w:pPr>
              <w:pStyle w:val="16"/>
            </w:pPr>
            <w:r>
              <w:t>≥1000册</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实际完成签约数</w:t>
            </w:r>
          </w:p>
        </w:tc>
        <w:tc>
          <w:tcPr>
            <w:tcW w:w="5386" w:type="dxa"/>
            <w:vAlign w:val="center"/>
          </w:tcPr>
          <w:p>
            <w:pPr>
              <w:pStyle w:val="16"/>
            </w:pPr>
            <w:r>
              <w:t>实际完成签约数</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完成工作时间</w:t>
            </w:r>
          </w:p>
        </w:tc>
        <w:tc>
          <w:tcPr>
            <w:tcW w:w="5386" w:type="dxa"/>
            <w:vAlign w:val="center"/>
          </w:tcPr>
          <w:p>
            <w:pPr>
              <w:pStyle w:val="16"/>
            </w:pPr>
            <w:r>
              <w:t>完成工作时间</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5386" w:type="dxa"/>
            <w:vAlign w:val="center"/>
          </w:tcPr>
          <w:p>
            <w:pPr>
              <w:pStyle w:val="16"/>
            </w:pPr>
            <w:r>
              <w:t>预算执行率（%）</w:t>
            </w:r>
          </w:p>
        </w:tc>
        <w:tc>
          <w:tcPr>
            <w:tcW w:w="2268" w:type="dxa"/>
            <w:vAlign w:val="center"/>
          </w:tcPr>
          <w:p>
            <w:pPr>
              <w:pStyle w:val="16"/>
            </w:pPr>
            <w:r>
              <w:t>≤100百分率</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 xml:space="preserve">对经济发展带来效果 </w:t>
            </w:r>
          </w:p>
        </w:tc>
        <w:tc>
          <w:tcPr>
            <w:tcW w:w="5386" w:type="dxa"/>
            <w:vAlign w:val="center"/>
          </w:tcPr>
          <w:p>
            <w:pPr>
              <w:pStyle w:val="16"/>
            </w:pPr>
            <w:r>
              <w:t>招引项目个数</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招商推介会次数</w:t>
            </w:r>
          </w:p>
        </w:tc>
        <w:tc>
          <w:tcPr>
            <w:tcW w:w="2268" w:type="dxa"/>
            <w:vAlign w:val="center"/>
          </w:tcPr>
          <w:p>
            <w:pPr>
              <w:pStyle w:val="16"/>
            </w:pPr>
            <w:r>
              <w:t>≥3次</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招商宣传片长期使用性</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参会企业满意度</w:t>
            </w:r>
          </w:p>
        </w:tc>
        <w:tc>
          <w:tcPr>
            <w:tcW w:w="5386" w:type="dxa"/>
            <w:vAlign w:val="center"/>
          </w:tcPr>
          <w:p>
            <w:pPr>
              <w:pStyle w:val="16"/>
            </w:pPr>
            <w:r>
              <w:t>参会企业满意度</w:t>
            </w:r>
          </w:p>
        </w:tc>
        <w:tc>
          <w:tcPr>
            <w:tcW w:w="2268" w:type="dxa"/>
            <w:vAlign w:val="center"/>
          </w:tcPr>
          <w:p>
            <w:pPr>
              <w:pStyle w:val="16"/>
            </w:pPr>
            <w:r>
              <w:t>100百分率</w:t>
            </w:r>
          </w:p>
        </w:tc>
        <w:tc>
          <w:tcPr>
            <w:tcW w:w="1276" w:type="dxa"/>
            <w:vAlign w:val="center"/>
          </w:tcPr>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3、重大招商专项绩效目标表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2" w:type="dxa"/>
            <w:gridSpan w:val="2"/>
            <w:vAlign w:val="center"/>
          </w:tcPr>
          <w:p>
            <w:pPr>
              <w:pStyle w:val="16"/>
            </w:pPr>
            <w:r>
              <w:t>13052524P000002101188</w:t>
            </w:r>
          </w:p>
        </w:tc>
        <w:tc>
          <w:tcPr>
            <w:tcW w:w="2835" w:type="dxa"/>
            <w:vAlign w:val="center"/>
          </w:tcPr>
          <w:p>
            <w:pPr>
              <w:pStyle w:val="14"/>
            </w:pPr>
            <w:r>
              <w:t>项目名称</w:t>
            </w:r>
          </w:p>
        </w:tc>
        <w:tc>
          <w:tcPr>
            <w:tcW w:w="6094" w:type="dxa"/>
            <w:gridSpan w:val="3"/>
            <w:vAlign w:val="center"/>
          </w:tcPr>
          <w:p>
            <w:pPr>
              <w:pStyle w:val="16"/>
            </w:pPr>
            <w:r>
              <w:t>重大招商专项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13.60</w:t>
            </w:r>
          </w:p>
        </w:tc>
        <w:tc>
          <w:tcPr>
            <w:tcW w:w="2835" w:type="dxa"/>
            <w:vAlign w:val="center"/>
          </w:tcPr>
          <w:p>
            <w:pPr>
              <w:pStyle w:val="14"/>
            </w:pPr>
            <w:r>
              <w:t>其中：财政    资金</w:t>
            </w:r>
          </w:p>
        </w:tc>
        <w:tc>
          <w:tcPr>
            <w:tcW w:w="2551" w:type="dxa"/>
            <w:vAlign w:val="center"/>
          </w:tcPr>
          <w:p>
            <w:pPr>
              <w:pStyle w:val="16"/>
            </w:pPr>
            <w:r>
              <w:t>13.60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6"/>
            </w:pPr>
            <w:r>
              <w:t>举办招商引资大型活动，参加大型商展会，完善招商资料，宣传推介我县，增加我县美誉度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r>
              <w:rPr>
                <w:rFonts w:hint="eastAsia"/>
                <w:lang w:eastAsia="zh-CN"/>
              </w:rPr>
              <w:t>（</w:t>
            </w:r>
            <w:r>
              <w:rPr>
                <w:rFonts w:hint="eastAsia"/>
                <w:lang w:val="en-US" w:eastAsia="zh-CN"/>
              </w:rPr>
              <w:t>万元</w:t>
            </w:r>
            <w:r>
              <w:rPr>
                <w:rFonts w:hint="eastAsia"/>
                <w:lang w:eastAsia="zh-CN"/>
              </w:rPr>
              <w:t>）</w:t>
            </w:r>
            <w:bookmarkStart w:id="2" w:name="_GoBack"/>
            <w:bookmarkEnd w:id="2"/>
          </w:p>
        </w:tc>
        <w:tc>
          <w:tcPr>
            <w:tcW w:w="5102"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3"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7"/>
            </w:pPr>
            <w:r>
              <w:t>3.40</w:t>
            </w:r>
          </w:p>
        </w:tc>
        <w:tc>
          <w:tcPr>
            <w:tcW w:w="2835" w:type="dxa"/>
            <w:vAlign w:val="center"/>
          </w:tcPr>
          <w:p>
            <w:pPr>
              <w:pStyle w:val="17"/>
            </w:pPr>
            <w:r>
              <w:t>6.80</w:t>
            </w:r>
          </w:p>
        </w:tc>
        <w:tc>
          <w:tcPr>
            <w:tcW w:w="2551" w:type="dxa"/>
            <w:vAlign w:val="center"/>
          </w:tcPr>
          <w:p>
            <w:pPr>
              <w:pStyle w:val="17"/>
            </w:pPr>
            <w:r>
              <w:t>10.20</w:t>
            </w:r>
          </w:p>
        </w:tc>
        <w:tc>
          <w:tcPr>
            <w:tcW w:w="3543" w:type="dxa"/>
            <w:gridSpan w:val="2"/>
            <w:vAlign w:val="center"/>
          </w:tcPr>
          <w:p>
            <w:pPr>
              <w:pStyle w:val="17"/>
            </w:pPr>
            <w:r>
              <w:t>13.60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1" w:type="dxa"/>
            <w:gridSpan w:val="6"/>
            <w:vAlign w:val="center"/>
          </w:tcPr>
          <w:p>
            <w:pPr>
              <w:pStyle w:val="16"/>
            </w:pPr>
            <w:r>
              <w:t>1.举办招商引资大型活动，参加大型商展会，完善招商资料，宣传推介我县，增加我县美誉度。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制作宣传品数量（份）</w:t>
            </w:r>
          </w:p>
        </w:tc>
        <w:tc>
          <w:tcPr>
            <w:tcW w:w="5386" w:type="dxa"/>
            <w:vAlign w:val="center"/>
          </w:tcPr>
          <w:p>
            <w:pPr>
              <w:pStyle w:val="16"/>
            </w:pPr>
            <w:r>
              <w:t>制作与发放招商宣传品数量（份）</w:t>
            </w:r>
          </w:p>
        </w:tc>
        <w:tc>
          <w:tcPr>
            <w:tcW w:w="2268" w:type="dxa"/>
            <w:vAlign w:val="center"/>
          </w:tcPr>
          <w:p>
            <w:pPr>
              <w:pStyle w:val="16"/>
            </w:pPr>
            <w:r>
              <w:t>≥1000册</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招商活动的签约项目个数</w:t>
            </w:r>
          </w:p>
        </w:tc>
        <w:tc>
          <w:tcPr>
            <w:tcW w:w="5386" w:type="dxa"/>
            <w:vAlign w:val="center"/>
          </w:tcPr>
          <w:p>
            <w:pPr>
              <w:pStyle w:val="16"/>
            </w:pPr>
            <w:r>
              <w:t>招商活动的签约项目个数</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任务完成时间</w:t>
            </w:r>
          </w:p>
        </w:tc>
        <w:tc>
          <w:tcPr>
            <w:tcW w:w="5386" w:type="dxa"/>
            <w:vAlign w:val="center"/>
          </w:tcPr>
          <w:p>
            <w:pPr>
              <w:pStyle w:val="16"/>
            </w:pPr>
            <w:r>
              <w:t>任务完成时间</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5386" w:type="dxa"/>
            <w:vAlign w:val="center"/>
          </w:tcPr>
          <w:p>
            <w:pPr>
              <w:pStyle w:val="16"/>
            </w:pPr>
            <w:r>
              <w:t>预算执行率</w:t>
            </w:r>
          </w:p>
        </w:tc>
        <w:tc>
          <w:tcPr>
            <w:tcW w:w="2268" w:type="dxa"/>
            <w:vAlign w:val="center"/>
          </w:tcPr>
          <w:p>
            <w:pPr>
              <w:pStyle w:val="16"/>
            </w:pPr>
            <w:r>
              <w:t>≤100百分率</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对经济发展带来效果</w:t>
            </w:r>
          </w:p>
        </w:tc>
        <w:tc>
          <w:tcPr>
            <w:tcW w:w="5386" w:type="dxa"/>
            <w:vAlign w:val="center"/>
          </w:tcPr>
          <w:p>
            <w:pPr>
              <w:pStyle w:val="16"/>
            </w:pPr>
            <w:r>
              <w:t>对经济发展带来效果</w:t>
            </w:r>
          </w:p>
        </w:tc>
        <w:tc>
          <w:tcPr>
            <w:tcW w:w="2268" w:type="dxa"/>
            <w:vAlign w:val="center"/>
          </w:tcPr>
          <w:p>
            <w:pPr>
              <w:pStyle w:val="16"/>
            </w:pPr>
            <w:r>
              <w:t>≥40个</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实际开展推介活动场次和内容</w:t>
            </w:r>
          </w:p>
        </w:tc>
        <w:tc>
          <w:tcPr>
            <w:tcW w:w="5386" w:type="dxa"/>
            <w:vAlign w:val="center"/>
          </w:tcPr>
          <w:p>
            <w:pPr>
              <w:pStyle w:val="16"/>
            </w:pPr>
            <w:r>
              <w:t>实际开展推介活动场次和内容</w:t>
            </w:r>
          </w:p>
        </w:tc>
        <w:tc>
          <w:tcPr>
            <w:tcW w:w="2268" w:type="dxa"/>
            <w:vAlign w:val="center"/>
          </w:tcPr>
          <w:p>
            <w:pPr>
              <w:pStyle w:val="16"/>
            </w:pPr>
            <w:r>
              <w:t>≥3次</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5386" w:type="dxa"/>
            <w:vAlign w:val="center"/>
          </w:tcPr>
          <w:p>
            <w:pPr>
              <w:pStyle w:val="16"/>
            </w:pPr>
            <w:r>
              <w:t>招商宣传片使用年限</w:t>
            </w:r>
          </w:p>
        </w:tc>
        <w:tc>
          <w:tcPr>
            <w:tcW w:w="2268" w:type="dxa"/>
            <w:vAlign w:val="center"/>
          </w:tcPr>
          <w:p>
            <w:pPr>
              <w:pStyle w:val="16"/>
            </w:pPr>
            <w:r>
              <w:t>≥1年</w:t>
            </w: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参会企业满意度</w:t>
            </w:r>
          </w:p>
        </w:tc>
        <w:tc>
          <w:tcPr>
            <w:tcW w:w="5386" w:type="dxa"/>
            <w:vAlign w:val="center"/>
          </w:tcPr>
          <w:p>
            <w:pPr>
              <w:pStyle w:val="16"/>
            </w:pPr>
            <w:r>
              <w:t>参会企业满意度</w:t>
            </w:r>
          </w:p>
        </w:tc>
        <w:tc>
          <w:tcPr>
            <w:tcW w:w="2268" w:type="dxa"/>
            <w:vAlign w:val="center"/>
          </w:tcPr>
          <w:p>
            <w:pPr>
              <w:pStyle w:val="16"/>
            </w:pPr>
            <w:r>
              <w:t>100百分率</w:t>
            </w:r>
          </w:p>
        </w:tc>
        <w:tc>
          <w:tcPr>
            <w:tcW w:w="1276"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814003隆尧县招商服务中心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6" w:type="dxa"/>
            <w:gridSpan w:val="7"/>
            <w:vAlign w:val="center"/>
          </w:tcPr>
          <w:p>
            <w:pPr>
              <w:pStyle w:val="14"/>
            </w:pPr>
            <w:r>
              <w:t>政府采购金额（当年部门预算安排资金）</w:t>
            </w:r>
          </w:p>
        </w:tc>
        <w:tc>
          <w:tcPr>
            <w:tcW w:w="964"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隆尧县招商服务中心上年末固定资产金额为26.16万元（详见下表）。本年度拟购置固定资产总额为0.00万元，已按要求列入政府采购预算，详见政府采购预算表。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814003隆尧县招商服务中心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268</w:t>
            </w:r>
          </w:p>
        </w:tc>
        <w:tc>
          <w:tcPr>
            <w:tcW w:w="2835" w:type="dxa"/>
            <w:vAlign w:val="center"/>
          </w:tcPr>
          <w:p>
            <w:pPr>
              <w:pStyle w:val="15"/>
            </w:pPr>
            <w:r>
              <w:t>26.16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00" w:usb3="00000000" w:csb0="00040000" w:csb1="00000000"/>
  </w:font>
  <w:font w:name="方正小标宋_GBK">
    <w:altName w:val="微软雅黑"/>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D33C37"/>
    <w:rsid w:val="00200FD9"/>
    <w:rsid w:val="002372BF"/>
    <w:rsid w:val="002E0435"/>
    <w:rsid w:val="004556E4"/>
    <w:rsid w:val="009013C9"/>
    <w:rsid w:val="009506DE"/>
    <w:rsid w:val="00B84053"/>
    <w:rsid w:val="00D33C37"/>
    <w:rsid w:val="00E76A77"/>
    <w:rsid w:val="0E1C08F6"/>
    <w:rsid w:val="508962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autoRedefin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7"/>
    <w:unhideWhenUsed/>
    <w:uiPriority w:val="99"/>
    <w:pPr>
      <w:tabs>
        <w:tab w:val="center" w:pos="4153"/>
        <w:tab w:val="right" w:pos="8306"/>
      </w:tabs>
      <w:snapToGrid w:val="0"/>
    </w:pPr>
    <w:rPr>
      <w:sz w:val="18"/>
      <w:szCs w:val="18"/>
    </w:rPr>
  </w:style>
  <w:style w:type="paragraph" w:styleId="4">
    <w:name w:val="header"/>
    <w:basedOn w:val="1"/>
    <w:link w:val="26"/>
    <w:autoRedefine/>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单位职责文件"/>
    <w:basedOn w:val="1"/>
    <w:qFormat/>
    <w:uiPriority w:val="0"/>
    <w:pPr>
      <w:spacing w:line="500" w:lineRule="exact"/>
      <w:ind w:firstLine="560"/>
    </w:pPr>
    <w:rPr>
      <w:rFonts w:eastAsia="方正仿宋_GBK"/>
      <w:sz w:val="28"/>
    </w:rPr>
  </w:style>
  <w:style w:type="paragraph" w:customStyle="1" w:styleId="22">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单元格样式23"/>
    <w:basedOn w:val="1"/>
    <w:autoRedefine/>
    <w:qFormat/>
    <w:uiPriority w:val="0"/>
    <w:pPr>
      <w:jc w:val="right"/>
    </w:pPr>
    <w:rPr>
      <w:rFonts w:ascii="方正书宋_GBK" w:hAnsi="方正书宋_GBK" w:eastAsia="方正书宋_GBK" w:cs="方正书宋_GBK"/>
    </w:rPr>
  </w:style>
  <w:style w:type="character" w:customStyle="1" w:styleId="26">
    <w:name w:val="页眉 Char"/>
    <w:basedOn w:val="10"/>
    <w:link w:val="4"/>
    <w:uiPriority w:val="99"/>
    <w:rPr>
      <w:rFonts w:eastAsia="Times New Roman"/>
      <w:sz w:val="18"/>
      <w:szCs w:val="18"/>
      <w:lang w:eastAsia="uk-UA"/>
    </w:rPr>
  </w:style>
  <w:style w:type="character" w:customStyle="1" w:styleId="27">
    <w:name w:val="页脚 Char"/>
    <w:basedOn w:val="10"/>
    <w:link w:val="3"/>
    <w:autoRedefine/>
    <w:uiPriority w:val="99"/>
    <w:rPr>
      <w:rFonts w:eastAsia="Times New Roman"/>
      <w:sz w:val="18"/>
      <w:szCs w:val="18"/>
      <w:lang w:eastAsia="uk-UA"/>
    </w:rPr>
  </w:style>
  <w:style w:type="paragraph" w:customStyle="1" w:styleId="28">
    <w:name w:val="插入文本样式-插入预算公开部门职责文件"/>
    <w:basedOn w:val="1"/>
    <w:qFormat/>
    <w:uiPriority w:val="0"/>
    <w:pPr>
      <w:spacing w:line="500" w:lineRule="exact"/>
      <w:ind w:firstLine="560"/>
    </w:pPr>
    <w:rPr>
      <w:rFonts w:eastAsia="方正仿宋_GBK"/>
      <w:sz w:val="28"/>
    </w:rPr>
  </w:style>
  <w:style w:type="paragraph" w:customStyle="1" w:styleId="2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32">
    <w:name w:val="插入文本样式-插入总体目标文件"/>
    <w:basedOn w:val="1"/>
    <w:autoRedefine/>
    <w:qFormat/>
    <w:uiPriority w:val="0"/>
    <w:pPr>
      <w:spacing w:line="500" w:lineRule="exact"/>
      <w:ind w:firstLine="560"/>
    </w:pPr>
    <w:rPr>
      <w:rFonts w:eastAsia="方正仿宋_GBK"/>
      <w:sz w:val="28"/>
    </w:rPr>
  </w:style>
  <w:style w:type="paragraph" w:customStyle="1" w:styleId="33">
    <w:name w:val="插入文本样式-插入职责分类绩效目标文件"/>
    <w:basedOn w:val="1"/>
    <w:qFormat/>
    <w:uiPriority w:val="0"/>
    <w:pPr>
      <w:spacing w:line="500" w:lineRule="exact"/>
      <w:ind w:firstLine="560"/>
    </w:pPr>
    <w:rPr>
      <w:rFonts w:eastAsia="方正仿宋_GBK"/>
      <w:sz w:val="28"/>
    </w:rPr>
  </w:style>
  <w:style w:type="paragraph" w:customStyle="1" w:styleId="34">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35">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2024-02-01T16:10:22Z</dcterms:created>
  <dcterms:modified xsi:type="dcterms:W3CDTF">2024-02-01T08:10:22Z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2024-02-01T16:10:22Z</dcterms:created>
  <dcterms:modified xsi:type="dcterms:W3CDTF">2024-02-01T08:10:22Z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2024-02-01T16:10:23Z</dcterms:created>
  <dcterms:modified xsi:type="dcterms:W3CDTF">2024-02-01T08:10:23Z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2024-02-01T16:10:25Z</dcterms:created>
  <dcterms:modified xsi:type="dcterms:W3CDTF">2024-02-01T08:10:25Z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2024-02-01T16:10:24Z</dcterms:created>
  <dcterms:modified xsi:type="dcterms:W3CDTF">2024-02-01T08:10:24Z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2024-02-01T16:10:23Z</dcterms:created>
  <dcterms:modified xsi:type="dcterms:W3CDTF">2024-02-01T08:10:23Z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2024-02-01T16:10:21Z</dcterms:created>
  <dcterms:modified xsi:type="dcterms:W3CDTF">2024-02-01T08:10:21Z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2024-02-01T16:10:30Z</dcterms:created>
  <dcterms:modified xsi:type="dcterms:W3CDTF">2024-02-01T08:10:30Z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2024-02-01T16:10:24Z</dcterms:created>
  <dcterms:modified xsi:type="dcterms:W3CDTF">2024-02-01T08:10:24Z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2024-02-01T16:10:22Z</dcterms:created>
  <dcterms:modified xsi:type="dcterms:W3CDTF">2024-02-01T08:10:22Z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2024-02-01T16:10:23Z</dcterms:created>
  <dcterms:modified xsi:type="dcterms:W3CDTF">2024-02-01T08:10:23Z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2024-02-01T16:10:14Z</dcterms:created>
  <dcterms:modified xsi:type="dcterms:W3CDTF">2024-02-01T08:10:14Z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2024-02-01T16:10:18Z</dcterms:created>
  <dcterms:modified xsi:type="dcterms:W3CDTF">2024-02-01T08:10:18Z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2024-02-01T16:10:31Z</dcterms:created>
  <dcterms:modified xsi:type="dcterms:W3CDTF">2024-02-01T08:10:31Z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2024-02-01T16:10:21Z</dcterms:created>
  <dcterms:modified xsi:type="dcterms:W3CDTF">2024-02-01T08:10:21Z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2024-02-01T16:10:24Z</dcterms:created>
  <dcterms:modified xsi:type="dcterms:W3CDTF">2024-02-01T08:10:24Z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2024-02-01T16:10:21Z</dcterms:created>
  <dcterms:modified xsi:type="dcterms:W3CDTF">2024-02-01T08:10:21Z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2024-02-01T16:10:30Z</dcterms:created>
  <dcterms:modified xsi:type="dcterms:W3CDTF">2024-02-01T08:10:29Z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2024-02-01T16:10:29Z</dcterms:created>
  <dcterms:modified xsi:type="dcterms:W3CDTF">2024-02-01T08:10:28Z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2024-02-01T16:10:30Z</dcterms:created>
  <dcterms:modified xsi:type="dcterms:W3CDTF">2024-02-01T08:10:30Z</dcterms:modified>
</cp:coreProperties>
</file>

<file path=customXml/itemProps1.xml><?xml version="1.0" encoding="utf-8"?>
<ds:datastoreItem xmlns:ds="http://schemas.openxmlformats.org/officeDocument/2006/customXml" ds:itemID="{F46B7176-5E48-42ED-B911-1E918A9F3781}">
  <ds:schemaRefs/>
</ds:datastoreItem>
</file>

<file path=customXml/itemProps10.xml><?xml version="1.0" encoding="utf-8"?>
<ds:datastoreItem xmlns:ds="http://schemas.openxmlformats.org/officeDocument/2006/customXml" ds:itemID="{F991EE84-A43E-437B-894B-DCD0077DAE9F}">
  <ds:schemaRefs/>
</ds:datastoreItem>
</file>

<file path=customXml/itemProps11.xml><?xml version="1.0" encoding="utf-8"?>
<ds:datastoreItem xmlns:ds="http://schemas.openxmlformats.org/officeDocument/2006/customXml" ds:itemID="{27CBFD47-EE3B-40DA-9FF4-7D7D125255DF}">
  <ds:schemaRefs/>
</ds:datastoreItem>
</file>

<file path=customXml/itemProps12.xml><?xml version="1.0" encoding="utf-8"?>
<ds:datastoreItem xmlns:ds="http://schemas.openxmlformats.org/officeDocument/2006/customXml" ds:itemID="{7A36AC67-11F6-411E-8734-3E9FD5DCBD89}">
  <ds:schemaRefs/>
</ds:datastoreItem>
</file>

<file path=customXml/itemProps13.xml><?xml version="1.0" encoding="utf-8"?>
<ds:datastoreItem xmlns:ds="http://schemas.openxmlformats.org/officeDocument/2006/customXml" ds:itemID="{60E2157F-08B9-4F17-8680-ABFE48FD33FA}">
  <ds:schemaRefs/>
</ds:datastoreItem>
</file>

<file path=customXml/itemProps14.xml><?xml version="1.0" encoding="utf-8"?>
<ds:datastoreItem xmlns:ds="http://schemas.openxmlformats.org/officeDocument/2006/customXml" ds:itemID="{ED3506A1-C18A-4F1D-B08A-FB66D34F67B3}">
  <ds:schemaRefs/>
</ds:datastoreItem>
</file>

<file path=customXml/itemProps15.xml><?xml version="1.0" encoding="utf-8"?>
<ds:datastoreItem xmlns:ds="http://schemas.openxmlformats.org/officeDocument/2006/customXml" ds:itemID="{E08B989F-6095-4003-A4B5-350730D7ACE7}">
  <ds:schemaRefs/>
</ds:datastoreItem>
</file>

<file path=customXml/itemProps16.xml><?xml version="1.0" encoding="utf-8"?>
<ds:datastoreItem xmlns:ds="http://schemas.openxmlformats.org/officeDocument/2006/customXml" ds:itemID="{53E5FAFF-054E-492D-A7A2-F0E6CCFEB54B}">
  <ds:schemaRefs/>
</ds:datastoreItem>
</file>

<file path=customXml/itemProps17.xml><?xml version="1.0" encoding="utf-8"?>
<ds:datastoreItem xmlns:ds="http://schemas.openxmlformats.org/officeDocument/2006/customXml" ds:itemID="{DBB905D9-6360-4EC9-A839-C4F72E45D8DD}">
  <ds:schemaRefs/>
</ds:datastoreItem>
</file>

<file path=customXml/itemProps18.xml><?xml version="1.0" encoding="utf-8"?>
<ds:datastoreItem xmlns:ds="http://schemas.openxmlformats.org/officeDocument/2006/customXml" ds:itemID="{B5164CB4-35DF-40D3-83D5-AC63ADE33ED4}">
  <ds:schemaRefs/>
</ds:datastoreItem>
</file>

<file path=customXml/itemProps19.xml><?xml version="1.0" encoding="utf-8"?>
<ds:datastoreItem xmlns:ds="http://schemas.openxmlformats.org/officeDocument/2006/customXml" ds:itemID="{B1A93A9E-A34D-4781-A7F8-F15C362407AB}">
  <ds:schemaRefs/>
</ds:datastoreItem>
</file>

<file path=customXml/itemProps2.xml><?xml version="1.0" encoding="utf-8"?>
<ds:datastoreItem xmlns:ds="http://schemas.openxmlformats.org/officeDocument/2006/customXml" ds:itemID="{09F43EEB-B997-4610-804E-1CB142A8BEE6}">
  <ds:schemaRefs/>
</ds:datastoreItem>
</file>

<file path=customXml/itemProps20.xml><?xml version="1.0" encoding="utf-8"?>
<ds:datastoreItem xmlns:ds="http://schemas.openxmlformats.org/officeDocument/2006/customXml" ds:itemID="{5C0C33A6-12D7-462B-9173-704B7FB91E08}">
  <ds:schemaRefs/>
</ds:datastoreItem>
</file>

<file path=customXml/itemProps21.xml><?xml version="1.0" encoding="utf-8"?>
<ds:datastoreItem xmlns:ds="http://schemas.openxmlformats.org/officeDocument/2006/customXml" ds:itemID="{D7A9D8B7-7B46-4FFE-999F-0CC0C0DEE329}">
  <ds:schemaRefs/>
</ds:datastoreItem>
</file>

<file path=customXml/itemProps22.xml><?xml version="1.0" encoding="utf-8"?>
<ds:datastoreItem xmlns:ds="http://schemas.openxmlformats.org/officeDocument/2006/customXml" ds:itemID="{39D8E8EC-0CA9-4EEA-8063-32CD27F040CC}">
  <ds:schemaRefs/>
</ds:datastoreItem>
</file>

<file path=customXml/itemProps23.xml><?xml version="1.0" encoding="utf-8"?>
<ds:datastoreItem xmlns:ds="http://schemas.openxmlformats.org/officeDocument/2006/customXml" ds:itemID="{82B9AB30-645E-4DC0-98C2-6AE6184B6F82}">
  <ds:schemaRefs/>
</ds:datastoreItem>
</file>

<file path=customXml/itemProps24.xml><?xml version="1.0" encoding="utf-8"?>
<ds:datastoreItem xmlns:ds="http://schemas.openxmlformats.org/officeDocument/2006/customXml" ds:itemID="{6E1B59B3-3ADA-4307-B1BC-BB8B96154DA7}">
  <ds:schemaRefs/>
</ds:datastoreItem>
</file>

<file path=customXml/itemProps25.xml><?xml version="1.0" encoding="utf-8"?>
<ds:datastoreItem xmlns:ds="http://schemas.openxmlformats.org/officeDocument/2006/customXml" ds:itemID="{3162A985-5523-4D1B-889A-FA717A9D36ED}">
  <ds:schemaRefs/>
</ds:datastoreItem>
</file>

<file path=customXml/itemProps26.xml><?xml version="1.0" encoding="utf-8"?>
<ds:datastoreItem xmlns:ds="http://schemas.openxmlformats.org/officeDocument/2006/customXml" ds:itemID="{2B358C71-9DCE-41BC-B7DD-05CF9CC16EBE}">
  <ds:schemaRefs/>
</ds:datastoreItem>
</file>

<file path=customXml/itemProps27.xml><?xml version="1.0" encoding="utf-8"?>
<ds:datastoreItem xmlns:ds="http://schemas.openxmlformats.org/officeDocument/2006/customXml" ds:itemID="{D17ADDCC-9249-44D8-B9A4-9C807329C58C}">
  <ds:schemaRefs/>
</ds:datastoreItem>
</file>

<file path=customXml/itemProps28.xml><?xml version="1.0" encoding="utf-8"?>
<ds:datastoreItem xmlns:ds="http://schemas.openxmlformats.org/officeDocument/2006/customXml" ds:itemID="{AE561395-2EF5-4A8D-BD8F-809A55466361}">
  <ds:schemaRefs/>
</ds:datastoreItem>
</file>

<file path=customXml/itemProps29.xml><?xml version="1.0" encoding="utf-8"?>
<ds:datastoreItem xmlns:ds="http://schemas.openxmlformats.org/officeDocument/2006/customXml" ds:itemID="{97B66BBC-F1E0-4173-AFCF-3F0740D02199}">
  <ds:schemaRefs/>
</ds:datastoreItem>
</file>

<file path=customXml/itemProps3.xml><?xml version="1.0" encoding="utf-8"?>
<ds:datastoreItem xmlns:ds="http://schemas.openxmlformats.org/officeDocument/2006/customXml" ds:itemID="{01E217D8-7577-48CC-B95C-E84F3F4C0B73}">
  <ds:schemaRefs/>
</ds:datastoreItem>
</file>

<file path=customXml/itemProps30.xml><?xml version="1.0" encoding="utf-8"?>
<ds:datastoreItem xmlns:ds="http://schemas.openxmlformats.org/officeDocument/2006/customXml" ds:itemID="{FAE64243-85C4-4E4D-940A-2FDE73C0FEAD}">
  <ds:schemaRefs/>
</ds:datastoreItem>
</file>

<file path=customXml/itemProps31.xml><?xml version="1.0" encoding="utf-8"?>
<ds:datastoreItem xmlns:ds="http://schemas.openxmlformats.org/officeDocument/2006/customXml" ds:itemID="{90775BE4-7397-4EF3-803B-811469BEDF97}">
  <ds:schemaRefs/>
</ds:datastoreItem>
</file>

<file path=customXml/itemProps32.xml><?xml version="1.0" encoding="utf-8"?>
<ds:datastoreItem xmlns:ds="http://schemas.openxmlformats.org/officeDocument/2006/customXml" ds:itemID="{9E7CA220-77EB-4E26-9325-EDE35BD5EA51}">
  <ds:schemaRefs/>
</ds:datastoreItem>
</file>

<file path=customXml/itemProps33.xml><?xml version="1.0" encoding="utf-8"?>
<ds:datastoreItem xmlns:ds="http://schemas.openxmlformats.org/officeDocument/2006/customXml" ds:itemID="{067CBFB4-2898-4DE8-9819-0B9F21186132}">
  <ds:schemaRefs/>
</ds:datastoreItem>
</file>

<file path=customXml/itemProps34.xml><?xml version="1.0" encoding="utf-8"?>
<ds:datastoreItem xmlns:ds="http://schemas.openxmlformats.org/officeDocument/2006/customXml" ds:itemID="{4EE5B512-18AD-47B9-B844-1B86B47E47B7}">
  <ds:schemaRefs/>
</ds:datastoreItem>
</file>

<file path=customXml/itemProps35.xml><?xml version="1.0" encoding="utf-8"?>
<ds:datastoreItem xmlns:ds="http://schemas.openxmlformats.org/officeDocument/2006/customXml" ds:itemID="{ADB5B395-B9EA-4F32-BBC0-A20DB631000A}">
  <ds:schemaRefs/>
</ds:datastoreItem>
</file>

<file path=customXml/itemProps36.xml><?xml version="1.0" encoding="utf-8"?>
<ds:datastoreItem xmlns:ds="http://schemas.openxmlformats.org/officeDocument/2006/customXml" ds:itemID="{947EC4B1-5C60-49ED-9FC6-C01300BEAEC1}">
  <ds:schemaRefs/>
</ds:datastoreItem>
</file>

<file path=customXml/itemProps37.xml><?xml version="1.0" encoding="utf-8"?>
<ds:datastoreItem xmlns:ds="http://schemas.openxmlformats.org/officeDocument/2006/customXml" ds:itemID="{360D6E95-50D1-4A93-99FE-A37DC4FB8835}">
  <ds:schemaRefs/>
</ds:datastoreItem>
</file>

<file path=customXml/itemProps38.xml><?xml version="1.0" encoding="utf-8"?>
<ds:datastoreItem xmlns:ds="http://schemas.openxmlformats.org/officeDocument/2006/customXml" ds:itemID="{C45A576E-BC6A-4650-84E7-1239A47678AD}">
  <ds:schemaRefs/>
</ds:datastoreItem>
</file>

<file path=customXml/itemProps39.xml><?xml version="1.0" encoding="utf-8"?>
<ds:datastoreItem xmlns:ds="http://schemas.openxmlformats.org/officeDocument/2006/customXml" ds:itemID="{7185F061-FF94-4F6D-A6C3-2F44CF684F95}">
  <ds:schemaRefs/>
</ds:datastoreItem>
</file>

<file path=customXml/itemProps4.xml><?xml version="1.0" encoding="utf-8"?>
<ds:datastoreItem xmlns:ds="http://schemas.openxmlformats.org/officeDocument/2006/customXml" ds:itemID="{61C6F9D1-8B1A-4647-BCC1-AE3BD247F64D}">
  <ds:schemaRefs/>
</ds:datastoreItem>
</file>

<file path=customXml/itemProps40.xml><?xml version="1.0" encoding="utf-8"?>
<ds:datastoreItem xmlns:ds="http://schemas.openxmlformats.org/officeDocument/2006/customXml" ds:itemID="{50DAC63C-9C19-4D32-9AA9-75C22E351E68}">
  <ds:schemaRefs/>
</ds:datastoreItem>
</file>

<file path=customXml/itemProps5.xml><?xml version="1.0" encoding="utf-8"?>
<ds:datastoreItem xmlns:ds="http://schemas.openxmlformats.org/officeDocument/2006/customXml" ds:itemID="{0971DCC8-B72D-4BD9-B676-9032B90F4ABA}">
  <ds:schemaRefs/>
</ds:datastoreItem>
</file>

<file path=customXml/itemProps6.xml><?xml version="1.0" encoding="utf-8"?>
<ds:datastoreItem xmlns:ds="http://schemas.openxmlformats.org/officeDocument/2006/customXml" ds:itemID="{616682AE-FB50-4979-A465-8DE206B99E88}">
  <ds:schemaRefs/>
</ds:datastoreItem>
</file>

<file path=customXml/itemProps7.xml><?xml version="1.0" encoding="utf-8"?>
<ds:datastoreItem xmlns:ds="http://schemas.openxmlformats.org/officeDocument/2006/customXml" ds:itemID="{D0CE28E6-9054-4971-8866-52EE17626EEE}">
  <ds:schemaRefs/>
</ds:datastoreItem>
</file>

<file path=customXml/itemProps8.xml><?xml version="1.0" encoding="utf-8"?>
<ds:datastoreItem xmlns:ds="http://schemas.openxmlformats.org/officeDocument/2006/customXml" ds:itemID="{49D8A709-D6F1-407F-99D2-ACF85BE3B49A}">
  <ds:schemaRefs/>
</ds:datastoreItem>
</file>

<file path=customXml/itemProps9.xml><?xml version="1.0" encoding="utf-8"?>
<ds:datastoreItem xmlns:ds="http://schemas.openxmlformats.org/officeDocument/2006/customXml" ds:itemID="{DAF9DCAB-E387-49B3-B4EA-5B46F41EF50E}">
  <ds:schemaRefs/>
</ds:datastoreItem>
</file>

<file path=docProps/app.xml><?xml version="1.0" encoding="utf-8"?>
<Properties xmlns="http://schemas.openxmlformats.org/officeDocument/2006/extended-properties" xmlns:vt="http://schemas.openxmlformats.org/officeDocument/2006/docPropsVTypes">
  <Template>Normal</Template>
  <Pages>61</Pages>
  <Words>3855</Words>
  <Characters>21974</Characters>
  <Lines>183</Lines>
  <Paragraphs>51</Paragraphs>
  <TotalTime>0</TotalTime>
  <ScaleCrop>false</ScaleCrop>
  <LinksUpToDate>false</LinksUpToDate>
  <CharactersWithSpaces>25778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2024-02-01T16:10:00Z</dcterms:created>
  <dc:creator>Administrator</dc:creator>
  <cp:lastModifiedBy>－O－</cp:lastModifiedBy>
  <dcterms:modified xsi:type="dcterms:W3CDTF">2024-02-05T09:10:26Z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8586934CBCAA406BB1F5A7257A5D21EB_12</vt:lpwstr>
  </property>
</Properties>
</file>