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国家税务总局隆尧县税务局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inherit" w:hAnsi="inherit" w:eastAsia="微软雅黑" w:cs="宋体"/>
          <w:color w:val="424242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年政府信息公开工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highlight w:val="none"/>
        </w:rPr>
        <w:t>作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lang w:eastAsia="zh-CN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highlight w:val="none"/>
        </w:rPr>
        <w:t>报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告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jc w:val="left"/>
        <w:textAlignment w:val="auto"/>
        <w:rPr>
          <w:rFonts w:hint="eastAsia" w:ascii="黑体" w:hAnsi="黑体" w:eastAsia="黑体" w:cs="黑体"/>
          <w:color w:val="424242"/>
          <w:kern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firstLine="480" w:firstLineChars="200"/>
        <w:jc w:val="left"/>
        <w:textAlignment w:val="auto"/>
        <w:rPr>
          <w:rFonts w:hint="default" w:ascii="黑体" w:hAnsi="黑体" w:eastAsia="黑体" w:cs="黑体"/>
          <w:color w:val="424242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一、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总体情况</w:t>
      </w:r>
      <w:r>
        <w:rPr>
          <w:rFonts w:hint="default" w:ascii="黑体" w:hAnsi="黑体" w:eastAsia="黑体" w:cs="黑体"/>
          <w:color w:val="424242"/>
          <w:kern w:val="0"/>
          <w:sz w:val="24"/>
          <w:szCs w:val="24"/>
          <w:lang w:val="en"/>
        </w:rPr>
        <w:tab/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exact"/>
        <w:ind w:left="0" w:right="0"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</w:rPr>
        <w:t>202</w:t>
      </w: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</w:rPr>
        <w:t>年，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我局严格按照《中华人民共和国政府信息公开条例》及省、市局政府信息公开部署要求，积极推进各项重大决策部署的实施，认真落实信息公开工作要点，紧密结合税收工作实际，不断规范和加大信息公开力度，不断推进行政权权力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公开透明运行，保障人民群众对税收工作的知情权、参与权与监督权。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firstLine="48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24"/>
          <w:szCs w:val="24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4"/>
          <w:szCs w:val="24"/>
          <w:lang w:eastAsia="zh-CN"/>
        </w:rPr>
        <w:t>（一）主动公开情况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紧紧围绕税收中心工作，不断拓展政务公开的深度、广度，围绕重点信息，以公开促落实，按照政府信息公开要求，做到应公开尽公开，确保信息公开的及时性。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截止到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2023年12月31日，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依托市局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门户网站主动公开信息，其中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我局处理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行政许可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485件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，行政处罚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433件。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="楷体_GB2312" w:hAnsi="楷体_GB2312" w:eastAsia="楷体_GB2312" w:cs="楷体_GB2312"/>
          <w:sz w:val="24"/>
          <w:szCs w:val="24"/>
          <w:lang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eastAsia="zh-CN"/>
        </w:rPr>
        <w:t>（二）依申请公开情况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left="638" w:leftChars="304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2023年，我局未收到依申请公开事项。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left="638" w:leftChars="304" w:firstLine="0" w:firstLineChars="0"/>
        <w:jc w:val="left"/>
        <w:textAlignment w:val="auto"/>
        <w:rPr>
          <w:rFonts w:hint="eastAsia" w:ascii="楷体_GB2312" w:hAnsi="楷体_GB2312" w:eastAsia="楷体_GB2312" w:cs="楷体_GB2312"/>
          <w:sz w:val="24"/>
          <w:szCs w:val="24"/>
          <w:lang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eastAsia="zh-CN"/>
        </w:rPr>
        <w:t>（三）政府信息管理情况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严格按照信息公开保密审查流程要求，遵循“先审查，后公开”、“一事一审”原则。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做到发布前审核、发布后更新的有效性管理，确保公开信息依法、及时、全面、准确。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结合我局实际情况，建立健全信息公开保密审查机制，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确保数据内容准确、更新及时和公众查询便利，修订完善信息公开发布、审查制度并严格落实，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对外公开的信息，需按经办人确认、股室审核、办公室审签、分管局领导审签、主要负责人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eastAsia="zh-CN"/>
        </w:rPr>
        <w:t>审签再公开的流程进行，确保政府信息公开规范管理。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="方正楷体_GBK" w:hAnsi="方正楷体_GBK" w:eastAsia="方正楷体_GBK" w:cs="方正楷体_GBK"/>
          <w:kern w:val="0"/>
          <w:sz w:val="24"/>
          <w:szCs w:val="24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（四）政府信息公开平台建设情况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eastAsia="zh-CN"/>
        </w:rPr>
        <w:t>按照统一规范，加强政府信息公开专栏管理维护，持续优化网站栏目，对政府信息公开指南、政府信息公开制度、法定主动公开内容栏目，按照上级要求及时进行整改更新。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积极以纳税人需求为导向，全面推进政府信息公开平台建设。完善线上公开平台建设，做好网站政务公开工作，及时更新调整领导简介、政府采购等栏目，方便纳税人、缴费人查询。加强媒体宣传建设，推进整体协同、响应迅速的媒体矩阵体系建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（五）监督保障情况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val="en-US" w:eastAsia="zh-CN"/>
        </w:rPr>
        <w:t>全面落实监督岗位责任，加强业务指导与监督考核，严格按照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/>
        </w:rPr>
        <w:t>政府信息公开绩效考核标准和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市局工作要求及相关管理规定，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val="en-US" w:eastAsia="zh-CN"/>
        </w:rPr>
        <w:t>细化完善县局考评办法，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对公开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内容及时更新并定期审查,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与地方政府有关部门积极对接,做到更新同步、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数据同源、形式统一。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val="en-US" w:eastAsia="zh-CN"/>
        </w:rPr>
        <w:t>加强日常指导和督促检查，确保政府信息公开工作落实到位。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二、主动公开政府信息情况</w:t>
      </w:r>
    </w:p>
    <w:tbl>
      <w:tblPr>
        <w:tblStyle w:val="3"/>
        <w:tblW w:w="973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现行有效件数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规章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行政规范性文件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color w:val="auto"/>
                <w:kern w:val="0"/>
                <w:sz w:val="24"/>
                <w:szCs w:val="24"/>
                <w:lang w:val="en-US" w:eastAsia="zh-CN"/>
              </w:rPr>
              <w:t>485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color w:val="auto"/>
                <w:kern w:val="0"/>
                <w:sz w:val="24"/>
                <w:szCs w:val="24"/>
                <w:lang w:val="en-US" w:eastAsia="zh-CN"/>
              </w:rPr>
              <w:t>433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三、收到和处理政府信息公开申请情况</w:t>
      </w:r>
    </w:p>
    <w:tbl>
      <w:tblPr>
        <w:tblStyle w:val="3"/>
        <w:tblW w:w="975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70"/>
        <w:gridCol w:w="957"/>
        <w:gridCol w:w="3176"/>
        <w:gridCol w:w="692"/>
        <w:gridCol w:w="692"/>
        <w:gridCol w:w="692"/>
        <w:gridCol w:w="692"/>
        <w:gridCol w:w="693"/>
        <w:gridCol w:w="693"/>
        <w:gridCol w:w="69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4847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申请人情况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自然人</w:t>
            </w:r>
          </w:p>
        </w:tc>
        <w:tc>
          <w:tcPr>
            <w:tcW w:w="34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法人或其他组织</w:t>
            </w:r>
          </w:p>
        </w:tc>
        <w:tc>
          <w:tcPr>
            <w:tcW w:w="69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商业</w:t>
            </w:r>
          </w:p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企业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科研</w:t>
            </w:r>
          </w:p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机构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社会公益组织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法律服务机构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7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三、本年度办理结果</w:t>
            </w: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（一）予以公开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（三）不予公开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1.属于国家秘密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2.其他法律行政法规禁止公开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3.危及“三安全一稳定”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4.保护第三方合法权益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5.属于三类内部事务信息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6.属于四类过程性信息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7.属于行政执法案卷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8.属于行政查询事项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（四）无法提供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1.本机关不掌握相关政府信息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2.没有现成信息需要另行制作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3.补正后申请内容仍不明确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（五）不予处理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1.信访举报投诉类申请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2.重复申请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3.要求提供公开出版物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4.无正当理由大量反复申请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（六）其他处理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1.申请人无正当理由逾期不补正、行政机关不再处理其政府信息公开申请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720" w:lineRule="auto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2.申请人逾期未按收费通知要求缴纳费用、行政机关不再处理其政府信息公开申请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720" w:lineRule="auto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3.其他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（七）总计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四、结转下年度继续办理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四、政府信息公开行政复议、行政诉讼情况</w:t>
      </w:r>
    </w:p>
    <w:tbl>
      <w:tblPr>
        <w:tblStyle w:val="3"/>
        <w:tblW w:w="975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行政复议</w:t>
            </w:r>
          </w:p>
        </w:tc>
        <w:tc>
          <w:tcPr>
            <w:tcW w:w="650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行政诉讼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结果维持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复议后起诉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维持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维持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  <w:jc w:val="center"/>
        </w:trPr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textAlignment w:val="auto"/>
        <w:rPr>
          <w:rFonts w:hint="default" w:ascii="Calibri" w:hAnsi="Calibri" w:cs="Calibri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五、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存在的主要问题及改进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2023年，政府信息公开整体水平上取得一些进步，但也存在一些问题：一是政府信息公开流程不够规范。下一步我局将压实责任，安排专人做好管理工作，规范信息发布，加强数据内容核对校验，确保信息准确严谨，政府信息公开流程规范。二是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信息公开的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精准性和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及时性有待提高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。下一步我局将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明确责任分工，提高信息公开质效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按照税收管理领域基层政务公开标准目录，细化分解任务，明确承接部门，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确保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信息公开的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color="auto" w:fill="FFFFFF"/>
          <w:lang w:eastAsia="zh-CN"/>
        </w:rPr>
        <w:t>精准性和及时性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0" w:firstLineChars="200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六、其他需要报告的事项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424242"/>
          <w:ker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424242"/>
          <w:kern w:val="0"/>
          <w:sz w:val="24"/>
          <w:szCs w:val="24"/>
          <w:lang w:val="en-US" w:eastAsia="zh-CN"/>
        </w:rPr>
        <w:t>2023年我局未收取政府信息公开费用。</w:t>
      </w:r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inherit">
    <w:altName w:val="仿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DE2722"/>
    <w:rsid w:val="13DE2722"/>
    <w:rsid w:val="587D4E40"/>
    <w:rsid w:val="6FFD3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2024-01-29T16:21:00Z</dcterms:created>
  <dc:creator>Administrator</dc:creator>
  <cp:lastModifiedBy>work</cp:lastModifiedBy>
  <dcterms:modified xsi:type="dcterms:W3CDTF">2024-02-01T16:12:59Z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E6D4ED51932B52048B52BB65C5FDBFA7</vt:lpwstr>
  </property>
</Properties>
</file>