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18" w:name="_GoBack"/>
      <w:bookmarkEnd w:id="18"/>
    </w:p>
    <w:p>
      <w:pPr>
        <w:jc w:val="center"/>
        <w:outlineLvl w:val="0"/>
      </w:pPr>
      <w:r>
        <w:rPr>
          <w:rFonts w:ascii="黑体" w:hAnsi="黑体" w:eastAsia="黑体" w:cs="黑体"/>
          <w:b/>
          <w:color w:val="000000"/>
          <w:sz w:val="44"/>
        </w:rPr>
        <w:t>2023年部门预算信息公开目录</w:t>
      </w:r>
    </w:p>
    <w:p>
      <w:pPr>
        <w:jc w:val="center"/>
        <w:rPr>
          <w:rFonts w:ascii="黑体" w:hAnsi="黑体" w:eastAsia="黑体" w:cs="黑体"/>
          <w:b/>
          <w:color w:val="000000"/>
          <w:sz w:val="30"/>
        </w:rPr>
      </w:pPr>
    </w:p>
    <w:p>
      <w:pPr>
        <w:jc w:val="center"/>
      </w:pPr>
      <w:r>
        <w:rPr>
          <w:rFonts w:ascii="黑体" w:hAnsi="黑体" w:eastAsia="黑体" w:cs="黑体"/>
          <w:b/>
          <w:color w:val="000000"/>
          <w:sz w:val="30"/>
        </w:rPr>
        <w:t xml:space="preserve">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3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11</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13</w:t>
      </w:r>
      <w:r>
        <w:rPr>
          <w:rFonts w:hint="eastAsia"/>
          <w:lang w:eastAsia="zh-CN"/>
        </w:rPr>
        <w:t>0</w:t>
      </w:r>
      <w:r>
        <w:fldChar w:fldCharType="end"/>
      </w:r>
      <w:r>
        <w:fldChar w:fldCharType="end"/>
      </w:r>
    </w:p>
    <w:p>
      <w:r>
        <w:fldChar w:fldCharType="end"/>
      </w:r>
    </w:p>
    <w:p>
      <w:pPr>
        <w:outlineLvl w:val="0"/>
        <w:rPr>
          <w:rFonts w:eastAsiaTheme="minorEastAsia"/>
          <w:lang w:eastAsia="zh-CN"/>
        </w:rPr>
      </w:pPr>
    </w:p>
    <w:p>
      <w:pPr>
        <w:outlineLvl w:val="0"/>
        <w:rPr>
          <w:rFonts w:eastAsiaTheme="minorEastAsia"/>
          <w:lang w:eastAsia="zh-CN"/>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361隆尧县卫生健康局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11589.16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10738.61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11589.16</w:t>
            </w:r>
          </w:p>
        </w:tc>
        <w:tc>
          <w:tcPr>
            <w:tcW w:w="4535" w:type="dxa"/>
            <w:vAlign w:val="center"/>
          </w:tcPr>
          <w:p>
            <w:pPr>
              <w:pStyle w:val="15"/>
            </w:pPr>
            <w:r>
              <w:t>本年支出合计</w:t>
            </w:r>
          </w:p>
        </w:tc>
        <w:tc>
          <w:tcPr>
            <w:tcW w:w="2126" w:type="dxa"/>
            <w:vAlign w:val="center"/>
          </w:tcPr>
          <w:p>
            <w:pPr>
              <w:pStyle w:val="16"/>
            </w:pPr>
            <w:r>
              <w:t>11632.19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r>
              <w:t>43.02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11632.19</w:t>
            </w:r>
          </w:p>
        </w:tc>
        <w:tc>
          <w:tcPr>
            <w:tcW w:w="4535" w:type="dxa"/>
            <w:vAlign w:val="center"/>
          </w:tcPr>
          <w:p>
            <w:pPr>
              <w:pStyle w:val="15"/>
            </w:pPr>
            <w:r>
              <w:t>支出总计</w:t>
            </w:r>
          </w:p>
        </w:tc>
        <w:tc>
          <w:tcPr>
            <w:tcW w:w="2126" w:type="dxa"/>
            <w:vAlign w:val="center"/>
          </w:tcPr>
          <w:p>
            <w:pPr>
              <w:pStyle w:val="16"/>
            </w:pPr>
            <w:r>
              <w:t>11632.19</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11632.19</w:t>
            </w:r>
          </w:p>
        </w:tc>
        <w:tc>
          <w:tcPr>
            <w:tcW w:w="1134" w:type="dxa"/>
            <w:vAlign w:val="center"/>
          </w:tcPr>
          <w:p>
            <w:pPr>
              <w:pStyle w:val="16"/>
            </w:pPr>
            <w:r>
              <w:t>11589.16</w:t>
            </w:r>
          </w:p>
        </w:tc>
        <w:tc>
          <w:tcPr>
            <w:tcW w:w="1134" w:type="dxa"/>
            <w:vAlign w:val="center"/>
          </w:tcPr>
          <w:p>
            <w:pPr>
              <w:pStyle w:val="16"/>
            </w:pPr>
            <w:r>
              <w:t>11589.16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10738.61</w:t>
            </w:r>
          </w:p>
        </w:tc>
        <w:tc>
          <w:tcPr>
            <w:tcW w:w="1134" w:type="dxa"/>
            <w:vAlign w:val="center"/>
          </w:tcPr>
          <w:p>
            <w:pPr>
              <w:pStyle w:val="12"/>
            </w:pPr>
            <w:r>
              <w:t>10695.59</w:t>
            </w:r>
          </w:p>
        </w:tc>
        <w:tc>
          <w:tcPr>
            <w:tcW w:w="1134" w:type="dxa"/>
            <w:vAlign w:val="center"/>
          </w:tcPr>
          <w:p>
            <w:pPr>
              <w:pStyle w:val="12"/>
            </w:pPr>
            <w:r>
              <w:t>10695.59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5502.24</w:t>
            </w:r>
          </w:p>
        </w:tc>
        <w:tc>
          <w:tcPr>
            <w:tcW w:w="1134" w:type="dxa"/>
            <w:vAlign w:val="center"/>
          </w:tcPr>
          <w:p>
            <w:pPr>
              <w:pStyle w:val="12"/>
            </w:pPr>
            <w:r>
              <w:t>5459.81</w:t>
            </w:r>
          </w:p>
        </w:tc>
        <w:tc>
          <w:tcPr>
            <w:tcW w:w="1134" w:type="dxa"/>
            <w:vAlign w:val="center"/>
          </w:tcPr>
          <w:p>
            <w:pPr>
              <w:pStyle w:val="12"/>
            </w:pPr>
            <w:r>
              <w:t>5459.81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3850.19</w:t>
            </w:r>
          </w:p>
        </w:tc>
        <w:tc>
          <w:tcPr>
            <w:tcW w:w="1134" w:type="dxa"/>
            <w:vAlign w:val="center"/>
          </w:tcPr>
          <w:p>
            <w:pPr>
              <w:pStyle w:val="12"/>
            </w:pPr>
            <w:r>
              <w:t>3845.82</w:t>
            </w:r>
          </w:p>
        </w:tc>
        <w:tc>
          <w:tcPr>
            <w:tcW w:w="1134" w:type="dxa"/>
            <w:vAlign w:val="center"/>
          </w:tcPr>
          <w:p>
            <w:pPr>
              <w:pStyle w:val="12"/>
            </w:pPr>
            <w:r>
              <w:t>3845.82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89.26</w:t>
            </w:r>
          </w:p>
        </w:tc>
        <w:tc>
          <w:tcPr>
            <w:tcW w:w="1134" w:type="dxa"/>
            <w:vAlign w:val="center"/>
          </w:tcPr>
          <w:p>
            <w:pPr>
              <w:pStyle w:val="12"/>
            </w:pPr>
            <w:r>
              <w:t>57.69</w:t>
            </w:r>
          </w:p>
        </w:tc>
        <w:tc>
          <w:tcPr>
            <w:tcW w:w="1134" w:type="dxa"/>
            <w:vAlign w:val="center"/>
          </w:tcPr>
          <w:p>
            <w:pPr>
              <w:pStyle w:val="12"/>
            </w:pPr>
            <w:r>
              <w:t>57.69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313.84</w:t>
            </w:r>
          </w:p>
        </w:tc>
        <w:tc>
          <w:tcPr>
            <w:tcW w:w="1134" w:type="dxa"/>
            <w:vAlign w:val="center"/>
          </w:tcPr>
          <w:p>
            <w:pPr>
              <w:pStyle w:val="12"/>
            </w:pPr>
            <w:r>
              <w:t>307.34</w:t>
            </w:r>
          </w:p>
        </w:tc>
        <w:tc>
          <w:tcPr>
            <w:tcW w:w="1134" w:type="dxa"/>
            <w:vAlign w:val="center"/>
          </w:tcPr>
          <w:p>
            <w:pPr>
              <w:pStyle w:val="12"/>
            </w:pPr>
            <w:r>
              <w:t>307.34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21305</w:t>
            </w:r>
          </w:p>
        </w:tc>
        <w:tc>
          <w:tcPr>
            <w:tcW w:w="1559" w:type="dxa"/>
            <w:vAlign w:val="center"/>
          </w:tcPr>
          <w:p>
            <w:pPr>
              <w:pStyle w:val="13"/>
            </w:pPr>
            <w:r>
              <w:rPr>
                <w:rFonts w:hint="eastAsia"/>
                <w:lang w:eastAsia="zh-CN"/>
              </w:rPr>
              <w:t>巩固拓展脱贫攻坚成果</w:t>
            </w:r>
            <w:r>
              <w:t>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11632.19</w:t>
            </w:r>
          </w:p>
        </w:tc>
        <w:tc>
          <w:tcPr>
            <w:tcW w:w="1361" w:type="dxa"/>
            <w:vAlign w:val="center"/>
          </w:tcPr>
          <w:p>
            <w:pPr>
              <w:pStyle w:val="16"/>
            </w:pPr>
            <w:r>
              <w:t>1706.44</w:t>
            </w:r>
          </w:p>
        </w:tc>
        <w:tc>
          <w:tcPr>
            <w:tcW w:w="1361" w:type="dxa"/>
            <w:vAlign w:val="center"/>
          </w:tcPr>
          <w:p>
            <w:pPr>
              <w:pStyle w:val="16"/>
            </w:pPr>
            <w:r>
              <w:t>9925.75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134.78</w:t>
            </w:r>
          </w:p>
        </w:tc>
        <w:tc>
          <w:tcPr>
            <w:tcW w:w="1361" w:type="dxa"/>
            <w:vAlign w:val="center"/>
          </w:tcPr>
          <w:p>
            <w:pPr>
              <w:pStyle w:val="12"/>
            </w:pPr>
            <w:r>
              <w:t>131.58</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6"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6"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10738.61</w:t>
            </w:r>
          </w:p>
        </w:tc>
        <w:tc>
          <w:tcPr>
            <w:tcW w:w="1361" w:type="dxa"/>
            <w:vAlign w:val="center"/>
          </w:tcPr>
          <w:p>
            <w:pPr>
              <w:pStyle w:val="12"/>
            </w:pPr>
            <w:r>
              <w:t>1466.12</w:t>
            </w:r>
          </w:p>
        </w:tc>
        <w:tc>
          <w:tcPr>
            <w:tcW w:w="1361" w:type="dxa"/>
            <w:vAlign w:val="center"/>
          </w:tcPr>
          <w:p>
            <w:pPr>
              <w:pStyle w:val="12"/>
            </w:pPr>
            <w:r>
              <w:t>9272.50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6"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6"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6"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21002</w:t>
            </w:r>
          </w:p>
        </w:tc>
        <w:tc>
          <w:tcPr>
            <w:tcW w:w="4536" w:type="dxa"/>
            <w:vAlign w:val="center"/>
          </w:tcPr>
          <w:p>
            <w:pPr>
              <w:pStyle w:val="13"/>
            </w:pPr>
            <w:r>
              <w:t>公立医院</w:t>
            </w: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2100201</w:t>
            </w:r>
          </w:p>
        </w:tc>
        <w:tc>
          <w:tcPr>
            <w:tcW w:w="4536"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2100202</w:t>
            </w:r>
          </w:p>
        </w:tc>
        <w:tc>
          <w:tcPr>
            <w:tcW w:w="4536"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2100299</w:t>
            </w:r>
          </w:p>
        </w:tc>
        <w:tc>
          <w:tcPr>
            <w:tcW w:w="4536"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21003</w:t>
            </w:r>
          </w:p>
        </w:tc>
        <w:tc>
          <w:tcPr>
            <w:tcW w:w="4536" w:type="dxa"/>
            <w:vAlign w:val="center"/>
          </w:tcPr>
          <w:p>
            <w:pPr>
              <w:pStyle w:val="13"/>
            </w:pPr>
            <w:r>
              <w:t>基层医疗卫生机构</w:t>
            </w:r>
          </w:p>
        </w:tc>
        <w:tc>
          <w:tcPr>
            <w:tcW w:w="1361" w:type="dxa"/>
            <w:vAlign w:val="center"/>
          </w:tcPr>
          <w:p>
            <w:pPr>
              <w:pStyle w:val="12"/>
            </w:pPr>
            <w:r>
              <w:t>2680.54</w:t>
            </w:r>
          </w:p>
        </w:tc>
        <w:tc>
          <w:tcPr>
            <w:tcW w:w="1361" w:type="dxa"/>
            <w:vAlign w:val="center"/>
          </w:tcPr>
          <w:p>
            <w:pPr>
              <w:pStyle w:val="12"/>
            </w:pPr>
            <w:r>
              <w:t>158.88</w:t>
            </w:r>
          </w:p>
        </w:tc>
        <w:tc>
          <w:tcPr>
            <w:tcW w:w="1361" w:type="dxa"/>
            <w:vAlign w:val="center"/>
          </w:tcPr>
          <w:p>
            <w:pPr>
              <w:pStyle w:val="12"/>
            </w:pPr>
            <w:r>
              <w:t>2521.66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2100301</w:t>
            </w:r>
          </w:p>
        </w:tc>
        <w:tc>
          <w:tcPr>
            <w:tcW w:w="4536"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2100302</w:t>
            </w:r>
          </w:p>
        </w:tc>
        <w:tc>
          <w:tcPr>
            <w:tcW w:w="4536"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2100399</w:t>
            </w:r>
          </w:p>
        </w:tc>
        <w:tc>
          <w:tcPr>
            <w:tcW w:w="4536" w:type="dxa"/>
            <w:vAlign w:val="center"/>
          </w:tcPr>
          <w:p>
            <w:pPr>
              <w:pStyle w:val="13"/>
            </w:pPr>
            <w:r>
              <w:t>其他基层医疗卫生机构支出</w:t>
            </w: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21004</w:t>
            </w:r>
          </w:p>
        </w:tc>
        <w:tc>
          <w:tcPr>
            <w:tcW w:w="4536" w:type="dxa"/>
            <w:vAlign w:val="center"/>
          </w:tcPr>
          <w:p>
            <w:pPr>
              <w:pStyle w:val="13"/>
            </w:pPr>
            <w:r>
              <w:t>公共卫生</w:t>
            </w:r>
          </w:p>
        </w:tc>
        <w:tc>
          <w:tcPr>
            <w:tcW w:w="1361" w:type="dxa"/>
            <w:vAlign w:val="center"/>
          </w:tcPr>
          <w:p>
            <w:pPr>
              <w:pStyle w:val="12"/>
            </w:pPr>
            <w:r>
              <w:t>5502.24</w:t>
            </w:r>
          </w:p>
        </w:tc>
        <w:tc>
          <w:tcPr>
            <w:tcW w:w="1361" w:type="dxa"/>
            <w:vAlign w:val="center"/>
          </w:tcPr>
          <w:p>
            <w:pPr>
              <w:pStyle w:val="12"/>
            </w:pPr>
            <w:r>
              <w:t>577.15</w:t>
            </w:r>
          </w:p>
        </w:tc>
        <w:tc>
          <w:tcPr>
            <w:tcW w:w="1361" w:type="dxa"/>
            <w:vAlign w:val="center"/>
          </w:tcPr>
          <w:p>
            <w:pPr>
              <w:pStyle w:val="12"/>
            </w:pPr>
            <w:r>
              <w:t>4925.09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2100401</w:t>
            </w:r>
          </w:p>
        </w:tc>
        <w:tc>
          <w:tcPr>
            <w:tcW w:w="4536"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2100402</w:t>
            </w:r>
          </w:p>
        </w:tc>
        <w:tc>
          <w:tcPr>
            <w:tcW w:w="4536"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2100403</w:t>
            </w:r>
          </w:p>
        </w:tc>
        <w:tc>
          <w:tcPr>
            <w:tcW w:w="4536"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2100408</w:t>
            </w:r>
          </w:p>
        </w:tc>
        <w:tc>
          <w:tcPr>
            <w:tcW w:w="4536" w:type="dxa"/>
            <w:vAlign w:val="center"/>
          </w:tcPr>
          <w:p>
            <w:pPr>
              <w:pStyle w:val="13"/>
            </w:pPr>
            <w:r>
              <w:t>基本公共卫生服务</w:t>
            </w: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2100409</w:t>
            </w:r>
          </w:p>
        </w:tc>
        <w:tc>
          <w:tcPr>
            <w:tcW w:w="4536" w:type="dxa"/>
            <w:vAlign w:val="center"/>
          </w:tcPr>
          <w:p>
            <w:pPr>
              <w:pStyle w:val="13"/>
            </w:pPr>
            <w:r>
              <w:t>重大公共卫生服务</w:t>
            </w: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2100410</w:t>
            </w:r>
          </w:p>
        </w:tc>
        <w:tc>
          <w:tcPr>
            <w:tcW w:w="4536"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2100499</w:t>
            </w:r>
          </w:p>
        </w:tc>
        <w:tc>
          <w:tcPr>
            <w:tcW w:w="4536" w:type="dxa"/>
            <w:vAlign w:val="center"/>
          </w:tcPr>
          <w:p>
            <w:pPr>
              <w:pStyle w:val="13"/>
            </w:pPr>
            <w:r>
              <w:t>其他公共卫生支出</w:t>
            </w: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21006</w:t>
            </w:r>
          </w:p>
        </w:tc>
        <w:tc>
          <w:tcPr>
            <w:tcW w:w="4536" w:type="dxa"/>
            <w:vAlign w:val="center"/>
          </w:tcPr>
          <w:p>
            <w:pPr>
              <w:pStyle w:val="13"/>
            </w:pPr>
            <w:r>
              <w:t>中医药</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2100699</w:t>
            </w:r>
          </w:p>
        </w:tc>
        <w:tc>
          <w:tcPr>
            <w:tcW w:w="4536" w:type="dxa"/>
            <w:vAlign w:val="center"/>
          </w:tcPr>
          <w:p>
            <w:pPr>
              <w:pStyle w:val="13"/>
            </w:pPr>
            <w:r>
              <w:t>其他中医药支出</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21007</w:t>
            </w:r>
          </w:p>
        </w:tc>
        <w:tc>
          <w:tcPr>
            <w:tcW w:w="4536"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2100717</w:t>
            </w:r>
          </w:p>
        </w:tc>
        <w:tc>
          <w:tcPr>
            <w:tcW w:w="4536"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2100799</w:t>
            </w:r>
          </w:p>
        </w:tc>
        <w:tc>
          <w:tcPr>
            <w:tcW w:w="4536"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60.52</w:t>
            </w:r>
          </w:p>
        </w:tc>
        <w:tc>
          <w:tcPr>
            <w:tcW w:w="1361" w:type="dxa"/>
            <w:vAlign w:val="center"/>
          </w:tcPr>
          <w:p>
            <w:pPr>
              <w:pStyle w:val="12"/>
            </w:pPr>
            <w:r>
              <w:t>60.52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6" w:type="dxa"/>
            <w:vAlign w:val="center"/>
          </w:tcPr>
          <w:p>
            <w:pPr>
              <w:pStyle w:val="13"/>
            </w:pPr>
            <w:r>
              <w:t>事业单位医疗</w:t>
            </w:r>
          </w:p>
        </w:tc>
        <w:tc>
          <w:tcPr>
            <w:tcW w:w="1361" w:type="dxa"/>
            <w:vAlign w:val="center"/>
          </w:tcPr>
          <w:p>
            <w:pPr>
              <w:pStyle w:val="12"/>
            </w:pPr>
            <w:r>
              <w:t>37.06</w:t>
            </w:r>
          </w:p>
        </w:tc>
        <w:tc>
          <w:tcPr>
            <w:tcW w:w="1361" w:type="dxa"/>
            <w:vAlign w:val="center"/>
          </w:tcPr>
          <w:p>
            <w:pPr>
              <w:pStyle w:val="12"/>
            </w:pPr>
            <w:r>
              <w:t>37.06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21015</w:t>
            </w:r>
          </w:p>
        </w:tc>
        <w:tc>
          <w:tcPr>
            <w:tcW w:w="4536"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2101504</w:t>
            </w:r>
          </w:p>
        </w:tc>
        <w:tc>
          <w:tcPr>
            <w:tcW w:w="4536"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w:t>
            </w:r>
          </w:p>
        </w:tc>
        <w:tc>
          <w:tcPr>
            <w:tcW w:w="4536"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21305</w:t>
            </w:r>
          </w:p>
        </w:tc>
        <w:tc>
          <w:tcPr>
            <w:tcW w:w="4536" w:type="dxa"/>
            <w:vAlign w:val="center"/>
          </w:tcPr>
          <w:p>
            <w:pPr>
              <w:pStyle w:val="13"/>
            </w:pPr>
            <w:r>
              <w:rPr>
                <w:rFonts w:hint="eastAsia"/>
                <w:lang w:eastAsia="zh-CN"/>
              </w:rPr>
              <w:t>巩固拓展脱贫攻坚成果</w:t>
            </w:r>
            <w:r>
              <w:t>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2130504</w:t>
            </w:r>
          </w:p>
        </w:tc>
        <w:tc>
          <w:tcPr>
            <w:tcW w:w="4536"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11589.16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134.78</w:t>
            </w:r>
          </w:p>
        </w:tc>
        <w:tc>
          <w:tcPr>
            <w:tcW w:w="1474" w:type="dxa"/>
            <w:vAlign w:val="center"/>
          </w:tcPr>
          <w:p>
            <w:pPr>
              <w:pStyle w:val="12"/>
            </w:pPr>
            <w:r>
              <w:t>134.78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10738.61</w:t>
            </w:r>
          </w:p>
        </w:tc>
        <w:tc>
          <w:tcPr>
            <w:tcW w:w="1474" w:type="dxa"/>
            <w:vAlign w:val="center"/>
          </w:tcPr>
          <w:p>
            <w:pPr>
              <w:pStyle w:val="12"/>
            </w:pPr>
            <w:r>
              <w:t>10738.61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108.74</w:t>
            </w:r>
          </w:p>
        </w:tc>
        <w:tc>
          <w:tcPr>
            <w:tcW w:w="1474" w:type="dxa"/>
            <w:vAlign w:val="center"/>
          </w:tcPr>
          <w:p>
            <w:pPr>
              <w:pStyle w:val="12"/>
            </w:pPr>
            <w:r>
              <w:t>108.74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11589.16</w:t>
            </w:r>
          </w:p>
        </w:tc>
        <w:tc>
          <w:tcPr>
            <w:tcW w:w="3402" w:type="dxa"/>
            <w:vAlign w:val="center"/>
          </w:tcPr>
          <w:p>
            <w:pPr>
              <w:pStyle w:val="15"/>
            </w:pPr>
            <w:r>
              <w:t>本年支出合计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43.02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43.02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11632.19</w:t>
            </w:r>
          </w:p>
        </w:tc>
        <w:tc>
          <w:tcPr>
            <w:tcW w:w="3402" w:type="dxa"/>
            <w:vAlign w:val="center"/>
          </w:tcPr>
          <w:p>
            <w:pPr>
              <w:pStyle w:val="15"/>
            </w:pPr>
            <w:r>
              <w:t>支出总计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11632.19</w:t>
            </w:r>
          </w:p>
        </w:tc>
        <w:tc>
          <w:tcPr>
            <w:tcW w:w="2551" w:type="dxa"/>
            <w:vAlign w:val="center"/>
          </w:tcPr>
          <w:p>
            <w:pPr>
              <w:pStyle w:val="16"/>
            </w:pPr>
            <w:r>
              <w:t>1706.44</w:t>
            </w:r>
          </w:p>
        </w:tc>
        <w:tc>
          <w:tcPr>
            <w:tcW w:w="2551" w:type="dxa"/>
            <w:vAlign w:val="center"/>
          </w:tcPr>
          <w:p>
            <w:pPr>
              <w:pStyle w:val="16"/>
            </w:pPr>
            <w:r>
              <w:t>9925.75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134.78</w:t>
            </w:r>
          </w:p>
        </w:tc>
        <w:tc>
          <w:tcPr>
            <w:tcW w:w="2551" w:type="dxa"/>
            <w:vAlign w:val="center"/>
          </w:tcPr>
          <w:p>
            <w:pPr>
              <w:pStyle w:val="12"/>
            </w:pPr>
            <w:r>
              <w:t>131.58</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10738.61</w:t>
            </w:r>
          </w:p>
        </w:tc>
        <w:tc>
          <w:tcPr>
            <w:tcW w:w="2551" w:type="dxa"/>
            <w:vAlign w:val="center"/>
          </w:tcPr>
          <w:p>
            <w:pPr>
              <w:pStyle w:val="12"/>
            </w:pPr>
            <w:r>
              <w:t>1466.12</w:t>
            </w:r>
          </w:p>
        </w:tc>
        <w:tc>
          <w:tcPr>
            <w:tcW w:w="2551" w:type="dxa"/>
            <w:vAlign w:val="center"/>
          </w:tcPr>
          <w:p>
            <w:pPr>
              <w:pStyle w:val="12"/>
            </w:pPr>
            <w:r>
              <w:t>9272.50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1286.62</w:t>
            </w:r>
          </w:p>
        </w:tc>
        <w:tc>
          <w:tcPr>
            <w:tcW w:w="2551" w:type="dxa"/>
            <w:vAlign w:val="center"/>
          </w:tcPr>
          <w:p>
            <w:pPr>
              <w:pStyle w:val="12"/>
            </w:pPr>
          </w:p>
        </w:tc>
        <w:tc>
          <w:tcPr>
            <w:tcW w:w="2551" w:type="dxa"/>
            <w:vAlign w:val="center"/>
          </w:tcPr>
          <w:p>
            <w:pPr>
              <w:pStyle w:val="12"/>
            </w:pPr>
            <w:r>
              <w:t>1286.62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2680.54</w:t>
            </w:r>
          </w:p>
        </w:tc>
        <w:tc>
          <w:tcPr>
            <w:tcW w:w="2551" w:type="dxa"/>
            <w:vAlign w:val="center"/>
          </w:tcPr>
          <w:p>
            <w:pPr>
              <w:pStyle w:val="12"/>
            </w:pPr>
            <w:r>
              <w:t>158.88</w:t>
            </w:r>
          </w:p>
        </w:tc>
        <w:tc>
          <w:tcPr>
            <w:tcW w:w="2551" w:type="dxa"/>
            <w:vAlign w:val="center"/>
          </w:tcPr>
          <w:p>
            <w:pPr>
              <w:pStyle w:val="12"/>
            </w:pPr>
            <w:r>
              <w:t>2521.66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1410.66</w:t>
            </w:r>
          </w:p>
        </w:tc>
        <w:tc>
          <w:tcPr>
            <w:tcW w:w="2551" w:type="dxa"/>
            <w:vAlign w:val="center"/>
          </w:tcPr>
          <w:p>
            <w:pPr>
              <w:pStyle w:val="12"/>
            </w:pPr>
          </w:p>
        </w:tc>
        <w:tc>
          <w:tcPr>
            <w:tcW w:w="2551" w:type="dxa"/>
            <w:vAlign w:val="center"/>
          </w:tcPr>
          <w:p>
            <w:pPr>
              <w:pStyle w:val="12"/>
            </w:pPr>
            <w:r>
              <w:t>1410.66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5502.24</w:t>
            </w:r>
          </w:p>
        </w:tc>
        <w:tc>
          <w:tcPr>
            <w:tcW w:w="2551" w:type="dxa"/>
            <w:vAlign w:val="center"/>
          </w:tcPr>
          <w:p>
            <w:pPr>
              <w:pStyle w:val="12"/>
            </w:pPr>
            <w:r>
              <w:t>577.15</w:t>
            </w:r>
          </w:p>
        </w:tc>
        <w:tc>
          <w:tcPr>
            <w:tcW w:w="2551" w:type="dxa"/>
            <w:vAlign w:val="center"/>
          </w:tcPr>
          <w:p>
            <w:pPr>
              <w:pStyle w:val="12"/>
            </w:pPr>
            <w:r>
              <w:t>4925.09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3850.19</w:t>
            </w:r>
          </w:p>
        </w:tc>
        <w:tc>
          <w:tcPr>
            <w:tcW w:w="2551" w:type="dxa"/>
            <w:vAlign w:val="center"/>
          </w:tcPr>
          <w:p>
            <w:pPr>
              <w:pStyle w:val="12"/>
            </w:pPr>
          </w:p>
        </w:tc>
        <w:tc>
          <w:tcPr>
            <w:tcW w:w="2551" w:type="dxa"/>
            <w:vAlign w:val="center"/>
          </w:tcPr>
          <w:p>
            <w:pPr>
              <w:pStyle w:val="12"/>
            </w:pPr>
            <w:r>
              <w:t>3850.19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89.26</w:t>
            </w:r>
          </w:p>
        </w:tc>
        <w:tc>
          <w:tcPr>
            <w:tcW w:w="2551" w:type="dxa"/>
            <w:vAlign w:val="center"/>
          </w:tcPr>
          <w:p>
            <w:pPr>
              <w:pStyle w:val="12"/>
            </w:pPr>
          </w:p>
        </w:tc>
        <w:tc>
          <w:tcPr>
            <w:tcW w:w="2551" w:type="dxa"/>
            <w:vAlign w:val="center"/>
          </w:tcPr>
          <w:p>
            <w:pPr>
              <w:pStyle w:val="12"/>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313.84</w:t>
            </w:r>
          </w:p>
        </w:tc>
        <w:tc>
          <w:tcPr>
            <w:tcW w:w="2551" w:type="dxa"/>
            <w:vAlign w:val="center"/>
          </w:tcPr>
          <w:p>
            <w:pPr>
              <w:pStyle w:val="12"/>
            </w:pPr>
          </w:p>
        </w:tc>
        <w:tc>
          <w:tcPr>
            <w:tcW w:w="2551" w:type="dxa"/>
            <w:vAlign w:val="center"/>
          </w:tcPr>
          <w:p>
            <w:pPr>
              <w:pStyle w:val="12"/>
            </w:pPr>
            <w:r>
              <w:t>313.84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37.06</w:t>
            </w:r>
          </w:p>
        </w:tc>
        <w:tc>
          <w:tcPr>
            <w:tcW w:w="2551" w:type="dxa"/>
            <w:vAlign w:val="center"/>
          </w:tcPr>
          <w:p>
            <w:pPr>
              <w:pStyle w:val="12"/>
            </w:pPr>
            <w:r>
              <w:t>37.06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21305</w:t>
            </w:r>
          </w:p>
        </w:tc>
        <w:tc>
          <w:tcPr>
            <w:tcW w:w="4535" w:type="dxa"/>
            <w:vAlign w:val="center"/>
          </w:tcPr>
          <w:p>
            <w:pPr>
              <w:pStyle w:val="13"/>
            </w:pPr>
            <w:r>
              <w:rPr>
                <w:rFonts w:hint="eastAsia"/>
                <w:lang w:eastAsia="zh-CN"/>
              </w:rPr>
              <w:t>巩固拓展脱贫攻坚成果</w:t>
            </w:r>
            <w:r>
              <w:t>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1706.44</w:t>
            </w:r>
          </w:p>
        </w:tc>
        <w:tc>
          <w:tcPr>
            <w:tcW w:w="2551" w:type="dxa"/>
            <w:vAlign w:val="center"/>
          </w:tcPr>
          <w:p>
            <w:pPr>
              <w:pStyle w:val="16"/>
            </w:pPr>
            <w:r>
              <w:t>1623.48</w:t>
            </w:r>
          </w:p>
        </w:tc>
        <w:tc>
          <w:tcPr>
            <w:tcW w:w="2552" w:type="dxa"/>
            <w:vAlign w:val="center"/>
          </w:tcPr>
          <w:p>
            <w:pPr>
              <w:pStyle w:val="16"/>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1370.35</w:t>
            </w:r>
          </w:p>
        </w:tc>
        <w:tc>
          <w:tcPr>
            <w:tcW w:w="2551" w:type="dxa"/>
            <w:vAlign w:val="center"/>
          </w:tcPr>
          <w:p>
            <w:pPr>
              <w:pStyle w:val="12"/>
            </w:pPr>
            <w:r>
              <w:t>1370.35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578.26</w:t>
            </w:r>
          </w:p>
        </w:tc>
        <w:tc>
          <w:tcPr>
            <w:tcW w:w="2551" w:type="dxa"/>
            <w:vAlign w:val="center"/>
          </w:tcPr>
          <w:p>
            <w:pPr>
              <w:pStyle w:val="12"/>
            </w:pPr>
            <w:r>
              <w:t>578.26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68.20</w:t>
            </w:r>
          </w:p>
        </w:tc>
        <w:tc>
          <w:tcPr>
            <w:tcW w:w="2551" w:type="dxa"/>
            <w:vAlign w:val="center"/>
          </w:tcPr>
          <w:p>
            <w:pPr>
              <w:pStyle w:val="12"/>
            </w:pPr>
            <w:r>
              <w:t>68.20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306.72</w:t>
            </w:r>
          </w:p>
        </w:tc>
        <w:tc>
          <w:tcPr>
            <w:tcW w:w="2551" w:type="dxa"/>
            <w:vAlign w:val="center"/>
          </w:tcPr>
          <w:p>
            <w:pPr>
              <w:pStyle w:val="12"/>
            </w:pPr>
            <w:r>
              <w:t>306.72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112.87</w:t>
            </w:r>
          </w:p>
        </w:tc>
        <w:tc>
          <w:tcPr>
            <w:tcW w:w="2551" w:type="dxa"/>
            <w:vAlign w:val="center"/>
          </w:tcPr>
          <w:p>
            <w:pPr>
              <w:pStyle w:val="12"/>
            </w:pPr>
            <w:r>
              <w:t>112.87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131.58</w:t>
            </w:r>
          </w:p>
        </w:tc>
        <w:tc>
          <w:tcPr>
            <w:tcW w:w="2551" w:type="dxa"/>
            <w:vAlign w:val="center"/>
          </w:tcPr>
          <w:p>
            <w:pPr>
              <w:pStyle w:val="12"/>
            </w:pPr>
            <w:r>
              <w:t>131.58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60.52</w:t>
            </w:r>
          </w:p>
        </w:tc>
        <w:tc>
          <w:tcPr>
            <w:tcW w:w="2551" w:type="dxa"/>
            <w:vAlign w:val="center"/>
          </w:tcPr>
          <w:p>
            <w:pPr>
              <w:pStyle w:val="12"/>
            </w:pPr>
            <w:r>
              <w:t>60.52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3.45</w:t>
            </w:r>
          </w:p>
        </w:tc>
        <w:tc>
          <w:tcPr>
            <w:tcW w:w="2551" w:type="dxa"/>
            <w:vAlign w:val="center"/>
          </w:tcPr>
          <w:p>
            <w:pPr>
              <w:pStyle w:val="12"/>
            </w:pPr>
            <w:r>
              <w:t>3.45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82.96</w:t>
            </w:r>
          </w:p>
        </w:tc>
        <w:tc>
          <w:tcPr>
            <w:tcW w:w="2551" w:type="dxa"/>
            <w:vAlign w:val="center"/>
          </w:tcPr>
          <w:p>
            <w:pPr>
              <w:pStyle w:val="12"/>
            </w:pPr>
          </w:p>
        </w:tc>
        <w:tc>
          <w:tcPr>
            <w:tcW w:w="2552" w:type="dxa"/>
            <w:vAlign w:val="center"/>
          </w:tcPr>
          <w:p>
            <w:pPr>
              <w:pStyle w:val="12"/>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9.87</w:t>
            </w:r>
          </w:p>
        </w:tc>
        <w:tc>
          <w:tcPr>
            <w:tcW w:w="2551" w:type="dxa"/>
            <w:vAlign w:val="center"/>
          </w:tcPr>
          <w:p>
            <w:pPr>
              <w:pStyle w:val="12"/>
            </w:pPr>
          </w:p>
        </w:tc>
        <w:tc>
          <w:tcPr>
            <w:tcW w:w="2552" w:type="dxa"/>
            <w:vAlign w:val="center"/>
          </w:tcPr>
          <w:p>
            <w:pPr>
              <w:pStyle w:val="12"/>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3.70</w:t>
            </w:r>
          </w:p>
        </w:tc>
        <w:tc>
          <w:tcPr>
            <w:tcW w:w="2551" w:type="dxa"/>
            <w:vAlign w:val="center"/>
          </w:tcPr>
          <w:p>
            <w:pPr>
              <w:pStyle w:val="12"/>
            </w:pPr>
          </w:p>
        </w:tc>
        <w:tc>
          <w:tcPr>
            <w:tcW w:w="2552"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1.90</w:t>
            </w:r>
          </w:p>
        </w:tc>
        <w:tc>
          <w:tcPr>
            <w:tcW w:w="2551" w:type="dxa"/>
            <w:vAlign w:val="center"/>
          </w:tcPr>
          <w:p>
            <w:pPr>
              <w:pStyle w:val="12"/>
            </w:pPr>
          </w:p>
        </w:tc>
        <w:tc>
          <w:tcPr>
            <w:tcW w:w="2552"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2"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5.10</w:t>
            </w:r>
          </w:p>
        </w:tc>
        <w:tc>
          <w:tcPr>
            <w:tcW w:w="2551" w:type="dxa"/>
            <w:vAlign w:val="center"/>
          </w:tcPr>
          <w:p>
            <w:pPr>
              <w:pStyle w:val="12"/>
            </w:pPr>
          </w:p>
        </w:tc>
        <w:tc>
          <w:tcPr>
            <w:tcW w:w="2552" w:type="dxa"/>
            <w:vAlign w:val="center"/>
          </w:tcPr>
          <w:p>
            <w:pPr>
              <w:pStyle w:val="12"/>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6.97</w:t>
            </w:r>
          </w:p>
        </w:tc>
        <w:tc>
          <w:tcPr>
            <w:tcW w:w="2551" w:type="dxa"/>
            <w:vAlign w:val="center"/>
          </w:tcPr>
          <w:p>
            <w:pPr>
              <w:pStyle w:val="12"/>
            </w:pPr>
          </w:p>
        </w:tc>
        <w:tc>
          <w:tcPr>
            <w:tcW w:w="2552"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5.00</w:t>
            </w:r>
          </w:p>
        </w:tc>
        <w:tc>
          <w:tcPr>
            <w:tcW w:w="2551" w:type="dxa"/>
            <w:vAlign w:val="center"/>
          </w:tcPr>
          <w:p>
            <w:pPr>
              <w:pStyle w:val="12"/>
            </w:pPr>
          </w:p>
        </w:tc>
        <w:tc>
          <w:tcPr>
            <w:tcW w:w="2552"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2"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2.86</w:t>
            </w:r>
          </w:p>
        </w:tc>
        <w:tc>
          <w:tcPr>
            <w:tcW w:w="2551" w:type="dxa"/>
            <w:vAlign w:val="center"/>
          </w:tcPr>
          <w:p>
            <w:pPr>
              <w:pStyle w:val="12"/>
            </w:pPr>
          </w:p>
        </w:tc>
        <w:tc>
          <w:tcPr>
            <w:tcW w:w="2552" w:type="dxa"/>
            <w:vAlign w:val="center"/>
          </w:tcPr>
          <w:p>
            <w:pPr>
              <w:pStyle w:val="12"/>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2.68</w:t>
            </w:r>
          </w:p>
        </w:tc>
        <w:tc>
          <w:tcPr>
            <w:tcW w:w="2551" w:type="dxa"/>
            <w:vAlign w:val="center"/>
          </w:tcPr>
          <w:p>
            <w:pPr>
              <w:pStyle w:val="12"/>
            </w:pPr>
          </w:p>
        </w:tc>
        <w:tc>
          <w:tcPr>
            <w:tcW w:w="2552" w:type="dxa"/>
            <w:vAlign w:val="center"/>
          </w:tcPr>
          <w:p>
            <w:pPr>
              <w:pStyle w:val="12"/>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2"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2"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3.40</w:t>
            </w:r>
          </w:p>
        </w:tc>
        <w:tc>
          <w:tcPr>
            <w:tcW w:w="2551" w:type="dxa"/>
            <w:vAlign w:val="center"/>
          </w:tcPr>
          <w:p>
            <w:pPr>
              <w:pStyle w:val="12"/>
            </w:pPr>
          </w:p>
        </w:tc>
        <w:tc>
          <w:tcPr>
            <w:tcW w:w="2552"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253.13</w:t>
            </w:r>
          </w:p>
        </w:tc>
        <w:tc>
          <w:tcPr>
            <w:tcW w:w="2551" w:type="dxa"/>
            <w:vAlign w:val="center"/>
          </w:tcPr>
          <w:p>
            <w:pPr>
              <w:pStyle w:val="12"/>
            </w:pPr>
            <w:r>
              <w:t>253.13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226.81</w:t>
            </w:r>
          </w:p>
        </w:tc>
        <w:tc>
          <w:tcPr>
            <w:tcW w:w="2551" w:type="dxa"/>
            <w:vAlign w:val="center"/>
          </w:tcPr>
          <w:p>
            <w:pPr>
              <w:pStyle w:val="12"/>
            </w:pPr>
            <w:r>
              <w:t>226.81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8.03</w:t>
            </w:r>
          </w:p>
        </w:tc>
        <w:tc>
          <w:tcPr>
            <w:tcW w:w="2551" w:type="dxa"/>
            <w:vAlign w:val="center"/>
          </w:tcPr>
          <w:p>
            <w:pPr>
              <w:pStyle w:val="12"/>
            </w:pPr>
            <w:r>
              <w:t>8.03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18.29</w:t>
            </w:r>
          </w:p>
        </w:tc>
        <w:tc>
          <w:tcPr>
            <w:tcW w:w="2551" w:type="dxa"/>
            <w:vAlign w:val="center"/>
          </w:tcPr>
          <w:p>
            <w:pPr>
              <w:pStyle w:val="12"/>
            </w:pPr>
            <w:r>
              <w:t>18.29</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44.17</w:t>
            </w:r>
          </w:p>
        </w:tc>
        <w:tc>
          <w:tcPr>
            <w:tcW w:w="2381" w:type="dxa"/>
            <w:vAlign w:val="center"/>
          </w:tcPr>
          <w:p>
            <w:pPr>
              <w:pStyle w:val="16"/>
            </w:pPr>
            <w:r>
              <w:t>44.17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r>
              <w:t>14.52</w:t>
            </w:r>
          </w:p>
        </w:tc>
        <w:tc>
          <w:tcPr>
            <w:tcW w:w="2381" w:type="dxa"/>
            <w:vAlign w:val="center"/>
          </w:tcPr>
          <w:p>
            <w:pPr>
              <w:pStyle w:val="12"/>
            </w:pPr>
            <w:r>
              <w:t>14.52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2"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2" w:type="dxa"/>
            <w:vAlign w:val="center"/>
          </w:tcPr>
          <w:p>
            <w:pPr>
              <w:pStyle w:val="12"/>
            </w:pPr>
            <w:r>
              <w:t>28.65</w:t>
            </w:r>
          </w:p>
        </w:tc>
        <w:tc>
          <w:tcPr>
            <w:tcW w:w="2381" w:type="dxa"/>
            <w:vAlign w:val="center"/>
          </w:tcPr>
          <w:p>
            <w:pPr>
              <w:pStyle w:val="12"/>
            </w:pPr>
            <w:r>
              <w:t>28.65</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隆尧县卫生健康局2023年部门预算信息公开情况说明</w:t>
      </w:r>
    </w:p>
    <w:p>
      <w:pPr>
        <w:jc w:val="center"/>
      </w:pPr>
      <w:r>
        <w:rPr>
          <w:rFonts w:ascii="方正小标宋_GBK" w:hAnsi="方正小标宋_GBK" w:eastAsia="方正小标宋_GBK" w:cs="方正小标宋_GBK"/>
          <w:color w:val="000000"/>
          <w:sz w:val="44"/>
        </w:rPr>
        <w:t>隆尧县卫生健康局2023年部门预算信息公开情况说明</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按照《预算法》、《地方预决算公开操作规程》和《关于进一步推进预算公开工作的实施意见》规定，现将隆尧县卫生健康局2023年部门预算公开如下：</w:t>
      </w:r>
    </w:p>
    <w:p>
      <w:pPr>
        <w:spacing w:before="10" w:after="10" w:line="360" w:lineRule="auto"/>
        <w:ind w:firstLine="643" w:firstLineChars="200"/>
        <w:outlineLvl w:val="2"/>
        <w:rPr>
          <w:rFonts w:ascii="仿宋" w:hAnsi="仿宋" w:eastAsia="仿宋" w:cs="仿宋"/>
          <w:b/>
          <w:bCs/>
          <w:sz w:val="32"/>
          <w:szCs w:val="32"/>
        </w:rPr>
      </w:pPr>
      <w:bookmarkStart w:id="9" w:name="_Toc_3_3_0000000010"/>
      <w:r>
        <w:rPr>
          <w:rFonts w:hint="eastAsia" w:ascii="仿宋" w:hAnsi="仿宋" w:eastAsia="仿宋" w:cs="仿宋"/>
          <w:b/>
          <w:bCs/>
          <w:color w:val="000000"/>
          <w:sz w:val="32"/>
          <w:szCs w:val="32"/>
        </w:rPr>
        <w:t>一、部门职责及机构设置情况</w:t>
      </w:r>
      <w:bookmarkEnd w:id="9"/>
    </w:p>
    <w:p>
      <w:pPr>
        <w:spacing w:line="360" w:lineRule="auto"/>
        <w:ind w:firstLine="643" w:firstLineChars="200"/>
        <w:rPr>
          <w:rFonts w:ascii="仿宋" w:hAnsi="仿宋" w:eastAsia="仿宋" w:cs="仿宋"/>
          <w:sz w:val="32"/>
          <w:szCs w:val="32"/>
        </w:rPr>
      </w:pPr>
      <w:r>
        <w:rPr>
          <w:rFonts w:hint="eastAsia" w:ascii="仿宋" w:hAnsi="仿宋" w:eastAsia="仿宋" w:cs="仿宋"/>
          <w:b/>
          <w:color w:val="000000"/>
          <w:sz w:val="32"/>
          <w:szCs w:val="32"/>
        </w:rPr>
        <w:t>部门职责：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负责起草卫生和计划生育、中医药事业发展的的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（三）负责职责范围内的职业卫生、放射卫生、环境卫生、学校卫生、公共场所和饮用水的卫生安全监督管理，组织开展相关监测、调查、评估和监督，负责传染病防治监督。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（六）负责组织推进公立医院改革，建立公益性为导向的绩效考核和评价运行机制，建设和谐医患关系，提出医疗服务和药品价格政策的建议。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（十）制定流动人口计划生育服务管理制度并组织落实，负责流动人口计划生育区域协作，推动建立流动人口卫生和计划生育信息共享和公共服务工作机制。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（十一）组织拟订全县卫生和计划生育人才发展规划，指导卫生和计划生育人才队伍建设，加强全科医生等急需紧缺专业人才培养和培训。</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（十二）组织拟订全县卫生和计划生育科技发展规划，组织实施卫生和计划生育相关科研项目。会同有关部门制定医学教育发展规划和计划生育教育，组织实施毕业后医学教育和继续医学教育。</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（十三）指导卫生和计划生育工作，完善综合监督执法体系，规范执法行为，监督检查法律法规和政策措施的落实，组织查处重大违法行为。坚持计划生育目标管理责任制，监督落实计划生育一票否决制。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（十四）负责卫生和计划生育宣传、健康教育、健康促进和信息化建设等工作，依法组织实施统计调查，参与人口基础信息库建设。组织指导国际交流合作与援外工作，开展与港澳台的交流与合作。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（十五）拟定中医药中长期发展规划，并纳入卫生和计划生育事业发展总体规划和战略目标。</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（十六）负责县保健对象的医疗保健工作；负责重要会议与重大活动的医疗卫生保障工作。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（十七）承担爱国卫生运动委员会、县深化医药卫生体制改革领导小组、县艾滋病防治工作委员会和县计划生育日常工作。领导小组的</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（十八）承办县政府交办的其他事项。</w:t>
      </w:r>
    </w:p>
    <w:p>
      <w:pPr>
        <w:spacing w:line="360" w:lineRule="auto"/>
        <w:ind w:firstLine="643" w:firstLineChars="200"/>
        <w:rPr>
          <w:rFonts w:ascii="仿宋" w:hAnsi="仿宋" w:eastAsia="仿宋" w:cs="仿宋"/>
          <w:b/>
          <w:color w:val="000000"/>
          <w:sz w:val="32"/>
          <w:szCs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隆尧县隆尧镇卫生院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隆尧县魏家庄镇中心卫生院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隆尧县北楼乡卫生院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隆尧县东良镇中心卫生院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隆尧县双碑乡卫生院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隆尧县山口镇卫生院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隆尧县尹村镇中心卫生院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隆尧县固城镇中心卫生院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隆尧县大张家庄乡卫生院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隆尧县千户营乡中心卫生院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隆尧县牛家桥乡中心卫生院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隆尧县莲子镇镇卫生院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outlineLvl w:val="2"/>
        <w:rPr>
          <w:rFonts w:ascii="黑体" w:hAnsi="黑体" w:eastAsia="黑体" w:cs="黑体"/>
          <w:b/>
          <w:bCs/>
          <w:color w:val="000000"/>
          <w:sz w:val="32"/>
          <w:lang w:eastAsia="zh-CN"/>
        </w:rPr>
      </w:pPr>
      <w:bookmarkStart w:id="10" w:name="_Toc_3_3_0000000011"/>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二、部门预算安排的总体情况</w:t>
      </w:r>
      <w:bookmarkEnd w:id="10"/>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按照预算管理有关规定，目前我部门预算的编制实行综合预算管理，即全部收入和支出都反映在预算中。隆尧县卫生健康局机关及所属事业单位的收支包含在部门预算中。</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pStyle w:val="19"/>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反映本部门所有预算单位当年的全部收入。2023年预算收入11632.19万元,其中一般公共预算收入</w:t>
      </w:r>
      <w:r>
        <w:rPr>
          <w:rFonts w:hint="eastAsia" w:ascii="仿宋" w:hAnsi="仿宋" w:eastAsia="仿宋" w:cs="仿宋"/>
          <w:sz w:val="32"/>
          <w:szCs w:val="32"/>
          <w:lang w:eastAsia="zh-CN"/>
        </w:rPr>
        <w:t>11589.16</w:t>
      </w:r>
      <w:r>
        <w:rPr>
          <w:rFonts w:hint="eastAsia" w:ascii="仿宋" w:hAnsi="仿宋" w:eastAsia="仿宋" w:cs="仿宋"/>
          <w:sz w:val="32"/>
          <w:szCs w:val="32"/>
        </w:rPr>
        <w:t>万元，政府性基金</w:t>
      </w:r>
      <w:r>
        <w:rPr>
          <w:rFonts w:hint="eastAsia" w:ascii="仿宋" w:hAnsi="仿宋" w:eastAsia="仿宋" w:cs="仿宋"/>
          <w:sz w:val="32"/>
          <w:szCs w:val="32"/>
          <w:lang w:eastAsia="zh-CN"/>
        </w:rPr>
        <w:t>预算收入</w:t>
      </w:r>
      <w:r>
        <w:rPr>
          <w:rFonts w:hint="eastAsia" w:ascii="仿宋" w:hAnsi="仿宋" w:eastAsia="仿宋" w:cs="仿宋"/>
          <w:sz w:val="32"/>
          <w:szCs w:val="32"/>
        </w:rPr>
        <w:t>0万元，</w:t>
      </w:r>
      <w:r>
        <w:rPr>
          <w:rFonts w:hint="eastAsia" w:ascii="仿宋" w:hAnsi="仿宋" w:eastAsia="仿宋" w:cs="仿宋"/>
          <w:sz w:val="32"/>
          <w:szCs w:val="32"/>
          <w:lang w:eastAsia="zh-CN"/>
        </w:rPr>
        <w:t>国有资本经营预算收入0万元，</w:t>
      </w:r>
      <w:r>
        <w:rPr>
          <w:rFonts w:hint="eastAsia" w:ascii="仿宋" w:hAnsi="仿宋" w:eastAsia="仿宋" w:cs="仿宋"/>
          <w:sz w:val="32"/>
          <w:szCs w:val="32"/>
        </w:rPr>
        <w:t>财政专户核拨收入0万元，</w:t>
      </w:r>
      <w:r>
        <w:rPr>
          <w:rFonts w:hint="eastAsia" w:ascii="仿宋" w:hAnsi="仿宋" w:eastAsia="仿宋" w:cs="仿宋"/>
          <w:sz w:val="32"/>
          <w:szCs w:val="32"/>
          <w:lang w:eastAsia="zh-CN"/>
        </w:rPr>
        <w:t>单位资金收入</w:t>
      </w:r>
      <w:r>
        <w:rPr>
          <w:rFonts w:hint="eastAsia" w:ascii="仿宋" w:hAnsi="仿宋" w:eastAsia="仿宋" w:cs="仿宋"/>
          <w:sz w:val="32"/>
          <w:szCs w:val="32"/>
        </w:rPr>
        <w:t>0万元</w:t>
      </w:r>
      <w:r>
        <w:rPr>
          <w:rFonts w:hint="eastAsia" w:ascii="仿宋" w:hAnsi="仿宋" w:eastAsia="仿宋" w:cs="仿宋"/>
          <w:sz w:val="32"/>
          <w:szCs w:val="32"/>
          <w:lang w:eastAsia="zh-CN"/>
        </w:rPr>
        <w:t>，上年结转结余43.02万元。</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收支预算总表支出栏、基本支出表、项目支出表按经济分类和支出功能分类科目编制，反映隆尧县卫健局部门</w:t>
      </w:r>
      <w:r>
        <w:rPr>
          <w:rFonts w:hint="eastAsia" w:ascii="仿宋" w:hAnsi="仿宋" w:eastAsia="仿宋" w:cs="仿宋"/>
          <w:sz w:val="32"/>
          <w:szCs w:val="32"/>
          <w:lang w:eastAsia="zh-CN"/>
        </w:rPr>
        <w:t>本</w:t>
      </w:r>
      <w:r>
        <w:rPr>
          <w:rFonts w:hint="eastAsia" w:ascii="仿宋" w:hAnsi="仿宋" w:eastAsia="仿宋" w:cs="仿宋"/>
          <w:sz w:val="32"/>
          <w:szCs w:val="32"/>
        </w:rPr>
        <w:t>年度预算中支出预算的总体情况。2023年支出预算11632.19万元，其中基本支出1706.44万元，</w:t>
      </w:r>
      <w:r>
        <w:rPr>
          <w:rFonts w:hint="eastAsia" w:ascii="仿宋" w:hAnsi="仿宋" w:eastAsia="仿宋" w:cs="仿宋"/>
          <w:sz w:val="32"/>
          <w:szCs w:val="32"/>
          <w:lang w:eastAsia="zh-CN"/>
        </w:rPr>
        <w:t>包括人员经费1623.48万元和日常公用经费82.96万元；</w:t>
      </w:r>
      <w:r>
        <w:rPr>
          <w:rFonts w:hint="eastAsia" w:ascii="仿宋" w:hAnsi="仿宋" w:eastAsia="仿宋" w:cs="仿宋"/>
          <w:sz w:val="32"/>
          <w:szCs w:val="32"/>
        </w:rPr>
        <w:t>项目支出9925.75万元，主要</w:t>
      </w:r>
      <w:r>
        <w:rPr>
          <w:rFonts w:hint="eastAsia" w:ascii="仿宋" w:hAnsi="仿宋" w:eastAsia="仿宋" w:cs="仿宋"/>
          <w:sz w:val="32"/>
          <w:szCs w:val="32"/>
          <w:lang w:eastAsia="zh-CN"/>
        </w:rPr>
        <w:t>为</w:t>
      </w:r>
      <w:r>
        <w:rPr>
          <w:rFonts w:hint="eastAsia" w:ascii="仿宋" w:hAnsi="仿宋" w:eastAsia="仿宋" w:cs="仿宋"/>
          <w:sz w:val="32"/>
          <w:szCs w:val="32"/>
        </w:rPr>
        <w:t>卫生健康管理事务公立医院、综合医院、中医（民族）医院、其他公立医院、基层医疗卫生机构、其他基层医疗卫生结构、乡镇卫生院、公共卫生、疾病预防控制机构、卫生监督机构、妇幼保健机构、基本公共卫生、重大公共卫生项目、突发公共卫生事件应急处理、其他公共卫生支出、中医药、计划生育事务等</w:t>
      </w:r>
      <w:r>
        <w:rPr>
          <w:rFonts w:hint="eastAsia" w:ascii="仿宋" w:hAnsi="仿宋" w:eastAsia="仿宋" w:cs="仿宋"/>
          <w:sz w:val="32"/>
          <w:szCs w:val="32"/>
          <w:lang w:eastAsia="zh-CN"/>
        </w:rPr>
        <w:t>项目资金</w:t>
      </w:r>
      <w:r>
        <w:rPr>
          <w:rFonts w:hint="eastAsia" w:ascii="仿宋" w:hAnsi="仿宋" w:eastAsia="仿宋" w:cs="仿宋"/>
          <w:sz w:val="32"/>
          <w:szCs w:val="32"/>
        </w:rPr>
        <w:t>。</w:t>
      </w:r>
    </w:p>
    <w:p>
      <w:pPr>
        <w:pStyle w:val="19"/>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3、比上年增减情况</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部门预算收支安排11632.19万元，较2022年增加472.96万元，其中：基本支出减少1018.15万元，主要为减少人员及公用支出；项目支出增加1491.11万元，主要为增加卫生健康支出、原基本公共卫生服务项目资金、突发公共卫生事件应急处理、其他公共卫生支出、中医药、计划生育事务等项目经费。</w:t>
      </w:r>
    </w:p>
    <w:p>
      <w:pPr>
        <w:spacing w:before="10" w:after="10" w:line="360" w:lineRule="auto"/>
        <w:ind w:firstLine="643" w:firstLineChars="200"/>
        <w:outlineLvl w:val="2"/>
        <w:rPr>
          <w:rFonts w:ascii="仿宋" w:hAnsi="仿宋" w:eastAsia="仿宋" w:cs="仿宋"/>
          <w:b/>
          <w:bCs/>
          <w:color w:val="000000"/>
          <w:sz w:val="32"/>
          <w:szCs w:val="32"/>
          <w:lang w:eastAsia="zh-CN"/>
        </w:rPr>
      </w:pPr>
      <w:bookmarkStart w:id="11" w:name="_Toc_3_3_0000000012"/>
      <w:r>
        <w:rPr>
          <w:rFonts w:hint="eastAsia" w:ascii="仿宋" w:hAnsi="仿宋" w:eastAsia="仿宋" w:cs="仿宋"/>
          <w:b/>
          <w:bCs/>
          <w:color w:val="000000"/>
          <w:sz w:val="32"/>
          <w:szCs w:val="32"/>
        </w:rPr>
        <w:t>三、机关运行经费安排情况</w:t>
      </w:r>
      <w:bookmarkEnd w:id="11"/>
    </w:p>
    <w:p>
      <w:pPr>
        <w:spacing w:before="10" w:after="10" w:line="360" w:lineRule="auto"/>
        <w:ind w:firstLine="640" w:firstLineChars="200"/>
        <w:outlineLvl w:val="2"/>
        <w:rPr>
          <w:rFonts w:ascii="仿宋" w:hAnsi="仿宋" w:eastAsia="仿宋" w:cs="仿宋"/>
          <w:sz w:val="32"/>
          <w:szCs w:val="32"/>
        </w:rPr>
      </w:pPr>
      <w:r>
        <w:rPr>
          <w:rFonts w:hint="eastAsia" w:ascii="仿宋" w:hAnsi="仿宋" w:eastAsia="仿宋" w:cs="仿宋"/>
          <w:sz w:val="32"/>
          <w:szCs w:val="32"/>
          <w:lang w:eastAsia="zh-CN"/>
        </w:rPr>
        <w:t>2023年,我部门运行经费共计安排70.96万元, 主要用于日常维修、办公用房水电费、办公用房取暖费、</w:t>
      </w:r>
      <w:r>
        <w:rPr>
          <w:rFonts w:hint="eastAsia" w:ascii="仿宋" w:hAnsi="仿宋" w:eastAsia="仿宋" w:cs="仿宋"/>
          <w:sz w:val="32"/>
          <w:szCs w:val="32"/>
        </w:rPr>
        <w:t>日常办公、耗材、书报杂志</w:t>
      </w:r>
      <w:r>
        <w:rPr>
          <w:rFonts w:hint="eastAsia" w:ascii="仿宋" w:hAnsi="仿宋" w:eastAsia="仿宋" w:cs="仿宋"/>
          <w:sz w:val="32"/>
          <w:szCs w:val="32"/>
          <w:lang w:eastAsia="zh-CN"/>
        </w:rPr>
        <w:t>，</w:t>
      </w:r>
      <w:r>
        <w:rPr>
          <w:rFonts w:hint="eastAsia" w:ascii="仿宋" w:hAnsi="仿宋" w:eastAsia="仿宋" w:cs="仿宋"/>
          <w:sz w:val="32"/>
          <w:szCs w:val="32"/>
        </w:rPr>
        <w:t>公共卫生网络费（光纤）</w:t>
      </w:r>
      <w:r>
        <w:rPr>
          <w:rFonts w:hint="eastAsia" w:ascii="仿宋" w:hAnsi="仿宋" w:eastAsia="仿宋" w:cs="仿宋"/>
          <w:sz w:val="32"/>
          <w:szCs w:val="32"/>
          <w:lang w:eastAsia="zh-CN"/>
        </w:rPr>
        <w:t>、</w:t>
      </w:r>
      <w:r>
        <w:rPr>
          <w:rFonts w:hint="eastAsia" w:ascii="仿宋" w:hAnsi="仿宋" w:eastAsia="仿宋" w:cs="仿宋"/>
          <w:sz w:val="32"/>
          <w:szCs w:val="32"/>
        </w:rPr>
        <w:t>电话费</w:t>
      </w:r>
      <w:r>
        <w:rPr>
          <w:rFonts w:hint="eastAsia" w:ascii="仿宋" w:hAnsi="仿宋" w:eastAsia="仿宋" w:cs="仿宋"/>
          <w:sz w:val="32"/>
          <w:szCs w:val="32"/>
          <w:lang w:eastAsia="zh-CN"/>
        </w:rPr>
        <w:t>、</w:t>
      </w:r>
      <w:r>
        <w:rPr>
          <w:rFonts w:hint="eastAsia" w:ascii="仿宋" w:hAnsi="仿宋" w:eastAsia="仿宋" w:cs="仿宋"/>
          <w:sz w:val="32"/>
          <w:szCs w:val="32"/>
        </w:rPr>
        <w:t>文件资料、档案袋等印刷</w:t>
      </w:r>
      <w:r>
        <w:rPr>
          <w:rFonts w:hint="eastAsia" w:ascii="仿宋" w:hAnsi="仿宋" w:eastAsia="仿宋" w:cs="仿宋"/>
          <w:sz w:val="32"/>
          <w:szCs w:val="32"/>
          <w:lang w:eastAsia="zh-CN"/>
        </w:rPr>
        <w:t>，</w:t>
      </w:r>
      <w:r>
        <w:rPr>
          <w:rFonts w:hint="eastAsia" w:ascii="仿宋" w:hAnsi="仿宋" w:eastAsia="仿宋" w:cs="仿宋"/>
          <w:sz w:val="32"/>
          <w:szCs w:val="32"/>
        </w:rPr>
        <w:t>本单位委托外单位办理业务</w:t>
      </w:r>
      <w:r>
        <w:rPr>
          <w:rFonts w:hint="eastAsia" w:ascii="仿宋" w:hAnsi="仿宋" w:eastAsia="仿宋" w:cs="仿宋"/>
          <w:sz w:val="32"/>
          <w:szCs w:val="32"/>
          <w:lang w:eastAsia="zh-CN"/>
        </w:rPr>
        <w:t>费用、</w:t>
      </w:r>
      <w:r>
        <w:rPr>
          <w:rFonts w:hint="eastAsia" w:ascii="仿宋" w:hAnsi="仿宋" w:eastAsia="仿宋" w:cs="仿宋"/>
          <w:sz w:val="32"/>
          <w:szCs w:val="32"/>
        </w:rPr>
        <w:t>传真机、单位职工的教育和工会活动</w:t>
      </w:r>
      <w:r>
        <w:rPr>
          <w:rFonts w:hint="eastAsia" w:ascii="仿宋" w:hAnsi="仿宋" w:eastAsia="仿宋" w:cs="仿宋"/>
          <w:sz w:val="32"/>
          <w:szCs w:val="32"/>
          <w:lang w:eastAsia="zh-CN"/>
        </w:rPr>
        <w:t>经费、</w:t>
      </w:r>
      <w:r>
        <w:rPr>
          <w:rFonts w:hint="eastAsia" w:ascii="仿宋" w:hAnsi="仿宋" w:eastAsia="仿宋" w:cs="仿宋"/>
          <w:sz w:val="32"/>
          <w:szCs w:val="32"/>
        </w:rPr>
        <w:t>打印机、复印机、计算机等办公设备购置费用</w:t>
      </w:r>
      <w:r>
        <w:rPr>
          <w:rFonts w:hint="eastAsia" w:ascii="仿宋" w:hAnsi="仿宋" w:eastAsia="仿宋" w:cs="仿宋"/>
          <w:sz w:val="32"/>
          <w:szCs w:val="32"/>
          <w:lang w:eastAsia="zh-CN"/>
        </w:rPr>
        <w:t>等</w:t>
      </w:r>
      <w:r>
        <w:rPr>
          <w:rFonts w:hint="eastAsia" w:ascii="仿宋" w:hAnsi="仿宋" w:eastAsia="仿宋" w:cs="仿宋"/>
          <w:sz w:val="32"/>
          <w:szCs w:val="32"/>
        </w:rPr>
        <w:t>费用</w:t>
      </w:r>
      <w:r>
        <w:rPr>
          <w:rFonts w:hint="eastAsia" w:ascii="仿宋" w:hAnsi="仿宋" w:eastAsia="仿宋" w:cs="仿宋"/>
          <w:sz w:val="32"/>
          <w:szCs w:val="32"/>
          <w:lang w:eastAsia="zh-CN"/>
        </w:rPr>
        <w:t>。</w:t>
      </w:r>
    </w:p>
    <w:p>
      <w:pPr>
        <w:spacing w:before="10" w:after="10" w:line="360" w:lineRule="auto"/>
        <w:ind w:firstLine="640" w:firstLineChars="200"/>
        <w:outlineLvl w:val="2"/>
        <w:rPr>
          <w:rFonts w:ascii="仿宋" w:hAnsi="仿宋" w:eastAsia="仿宋" w:cs="仿宋"/>
          <w:color w:val="000000"/>
          <w:sz w:val="32"/>
          <w:szCs w:val="32"/>
        </w:rPr>
      </w:pPr>
      <w:bookmarkStart w:id="12" w:name="_Toc_3_3_0000000013"/>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四、财政拨款“三公”经费预算情况及增减变化原因</w:t>
      </w:r>
      <w:bookmarkEnd w:id="12"/>
    </w:p>
    <w:p>
      <w:pPr>
        <w:pStyle w:val="21"/>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2023年，我部门财政拨款“三公”经费预算14.52万元，其中：因公出国（境）费0万元；公务用车购置及运维费12.52万元（其中：公务用车购置费为0万元，公务用车运维费12.52万元），与2022年相比增加6.02万元；增加</w:t>
      </w:r>
      <w:r>
        <w:rPr>
          <w:rFonts w:hint="eastAsia" w:ascii="仿宋" w:hAnsi="仿宋" w:eastAsia="仿宋" w:cs="仿宋"/>
          <w:sz w:val="32"/>
          <w:szCs w:val="32"/>
          <w:lang w:eastAsia="zh-CN"/>
        </w:rPr>
        <w:t>的主</w:t>
      </w:r>
      <w:r>
        <w:rPr>
          <w:rFonts w:hint="eastAsia" w:ascii="仿宋" w:hAnsi="仿宋" w:eastAsia="仿宋" w:cs="仿宋"/>
          <w:sz w:val="32"/>
          <w:szCs w:val="32"/>
        </w:rPr>
        <w:t>要原因是：因疫情工作繁重，根据公车运行实际情况增加公务用车运维费预算；公务接待费2.8万元,与2022年相比减少0.8万元，减少的主要原因是：落实党的政策，厉行节约，减少不必要的开支。</w:t>
      </w:r>
    </w:p>
    <w:p>
      <w:pPr>
        <w:spacing w:before="10" w:after="10" w:line="360" w:lineRule="auto"/>
        <w:ind w:firstLine="643" w:firstLineChars="200"/>
        <w:outlineLvl w:val="2"/>
        <w:rPr>
          <w:rFonts w:ascii="仿宋" w:hAnsi="仿宋" w:eastAsia="仿宋" w:cs="仿宋"/>
          <w:b/>
          <w:bCs/>
          <w:sz w:val="32"/>
          <w:szCs w:val="32"/>
        </w:rPr>
      </w:pPr>
      <w:bookmarkStart w:id="13" w:name="_Toc_3_3_0000000014"/>
      <w:r>
        <w:rPr>
          <w:rFonts w:hint="eastAsia" w:ascii="仿宋" w:hAnsi="仿宋" w:eastAsia="仿宋" w:cs="仿宋"/>
          <w:b/>
          <w:bCs/>
          <w:color w:val="000000"/>
          <w:sz w:val="32"/>
          <w:szCs w:val="32"/>
        </w:rPr>
        <w:t>五、预算绩效信息</w:t>
      </w:r>
      <w:bookmarkEnd w:id="13"/>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（一）总体绩效目标</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将2023年项目分为基本公共卫生服务项目、重大公共卫生服务项目、医疗保障与服务能力提升项目、基本药物制度补助项目、计划生育服务项目、新冠肺炎疫情防控专项、卫生扶贫救助项目、基本建设项目等8大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1、加强领导，落实责任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领导重视，成立了项目领导小组制定了项目管理方案，牢固绩效理念，强化支出责任。将年度工作任务细化分解到各个基层项目实施单位，各部门及乡镇通力协作，确保工作任务的有效落实。</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2、强化专项资金制度建设</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完善《财务管理制度》，健全《专项资金管理暂行办法》。资金拨付程序规范，其原定用途与预算批复用途相符，符合财经法规和财务管理制度，专账核算，不存在截留、挤占、挪用、虚列支出等现象。</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3、提升项目资金监管能力</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定期开展督查，及时掌握项目进行中的困难和问题，并制定解决方案。每年迎接</w:t>
      </w:r>
      <w:r>
        <w:rPr>
          <w:rFonts w:hint="eastAsia" w:ascii="仿宋" w:hAnsi="仿宋" w:eastAsia="仿宋" w:cs="仿宋"/>
          <w:sz w:val="32"/>
          <w:szCs w:val="32"/>
          <w:lang w:eastAsia="zh-CN"/>
        </w:rPr>
        <w:t>县</w:t>
      </w:r>
      <w:r>
        <w:rPr>
          <w:rFonts w:hint="eastAsia" w:ascii="仿宋" w:hAnsi="仿宋" w:eastAsia="仿宋" w:cs="仿宋"/>
          <w:sz w:val="32"/>
          <w:szCs w:val="32"/>
        </w:rPr>
        <w:t>审计局的专项经费督查，对发现的问题及时整改到位，确保资金使用安全有效。</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（二）分项绩效目标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1：落实计划生育特殊扶助政策，城市和农村计划生育家庭奖励金、计划生育特殊扶助家庭一次性抚恤资金、独生子女保健费及时拨付到位，为计生特殊对象购买城居养老保险，保障计划生育家庭的合法权益；</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目标2：公共卫生服务项目电子健康档案， 健康教育，预防接种，儿童、 孕产妇、老年人、高血压患者、糖尿病患者、重精患者和肺结核患者等7类重点人群健康管理服务，中医药健康管理服务，家医签约服务等12个二级指标达到要求；</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目标3：基本药物制度补助项目药品采购目录与国家基本药物使用占比达标，药品网上采购及零差率管理到位，常见疾病用药合理；</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目标4：做好60岁以上失独家庭家政服务、老年意外保险及活动；</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目标5：老年乡村医生生活困难补助按时、足额发放到位；孕产妇免费产前筛查、新生儿疾病筛查、严重精神障碍患者救治救助达到民生实事指标；重性精神疾病监护奖励达到社会心理工作及综治维稳指标；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目标6：病媒生物防治和各项爱卫工作；</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目标7：保证本年度全区计生管理员人员经费全部到位。</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（三）工作保障措施</w:t>
      </w:r>
    </w:p>
    <w:p>
      <w:pPr>
        <w:pStyle w:val="24"/>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2023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pPr>
        <w:ind w:firstLine="643" w:firstLineChars="200"/>
        <w:rPr>
          <w:rFonts w:ascii="仿宋" w:hAnsi="仿宋" w:eastAsia="仿宋" w:cs="仿宋"/>
          <w:b/>
          <w:color w:val="000000"/>
          <w:sz w:val="32"/>
          <w:szCs w:val="32"/>
          <w:lang w:eastAsia="zh-CN"/>
        </w:rPr>
      </w:pPr>
    </w:p>
    <w:p>
      <w:pPr>
        <w:numPr>
          <w:ilvl w:val="0"/>
          <w:numId w:val="1"/>
        </w:numPr>
        <w:ind w:firstLine="643" w:firstLineChars="200"/>
        <w:rPr>
          <w:rFonts w:hint="eastAsia" w:ascii="仿宋" w:hAnsi="仿宋" w:eastAsia="仿宋" w:cs="仿宋"/>
          <w:b/>
          <w:color w:val="000000"/>
          <w:sz w:val="32"/>
          <w:szCs w:val="32"/>
        </w:rPr>
      </w:pPr>
      <w:r>
        <w:rPr>
          <w:rFonts w:hint="eastAsia" w:ascii="仿宋" w:hAnsi="仿宋" w:eastAsia="仿宋" w:cs="仿宋"/>
          <w:b/>
          <w:color w:val="000000"/>
          <w:sz w:val="32"/>
          <w:szCs w:val="32"/>
        </w:rPr>
        <w:t xml:space="preserve"> 专项资金绩效目标</w:t>
      </w:r>
    </w:p>
    <w:p>
      <w:pPr>
        <w:numPr>
          <w:ilvl w:val="0"/>
          <w:numId w:val="0"/>
        </w:numPr>
        <w:ind w:firstLine="643" w:firstLineChars="200"/>
        <w:rPr>
          <w:rFonts w:hint="eastAsia" w:ascii="仿宋" w:hAnsi="仿宋" w:eastAsia="仿宋" w:cs="仿宋"/>
          <w:b/>
          <w:color w:val="000000"/>
          <w:sz w:val="32"/>
          <w:szCs w:val="32"/>
          <w:lang w:eastAsia="zh-CN"/>
        </w:rPr>
      </w:pPr>
    </w:p>
    <w:p>
      <w:pPr>
        <w:numPr>
          <w:ilvl w:val="0"/>
          <w:numId w:val="0"/>
        </w:numPr>
        <w:ind w:firstLine="643" w:firstLineChars="200"/>
        <w:rPr>
          <w:rFonts w:hint="eastAsia" w:ascii="仿宋" w:hAnsi="仿宋" w:eastAsia="仿宋" w:cs="仿宋"/>
          <w:b/>
          <w:color w:val="000000"/>
          <w:sz w:val="32"/>
          <w:szCs w:val="32"/>
          <w:lang w:eastAsia="zh-CN"/>
        </w:rPr>
      </w:pPr>
      <w:r>
        <w:rPr>
          <w:rFonts w:hint="eastAsia" w:ascii="仿宋" w:hAnsi="仿宋" w:eastAsia="仿宋" w:cs="仿宋"/>
          <w:b/>
          <w:color w:val="000000"/>
          <w:sz w:val="32"/>
          <w:szCs w:val="32"/>
          <w:lang w:eastAsia="zh-CN"/>
        </w:rPr>
        <w:t>本年无专项资金。</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sz w:val="32"/>
          <w:szCs w:val="32"/>
          <w:lang w:eastAsia="zh-CN"/>
        </w:rPr>
        <w:sectPr>
          <w:pgSz w:w="16840" w:h="11900" w:orient="landscape"/>
          <w:pgMar w:top="1361" w:right="1020" w:bottom="1134" w:left="1020" w:header="720" w:footer="720" w:gutter="0"/>
          <w:cols w:space="720" w:num="1"/>
        </w:sectPr>
      </w:pPr>
      <w:r>
        <w:rPr>
          <w:rFonts w:hint="eastAsia" w:ascii="仿宋" w:hAnsi="仿宋" w:eastAsia="仿宋" w:cs="仿宋"/>
          <w:b/>
          <w:color w:val="000000"/>
          <w:sz w:val="32"/>
          <w:szCs w:val="32"/>
        </w:rPr>
        <w:t>第三部分  预算项目绩效目标</w:t>
      </w: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实际完成工程量占计划完成工程的比列</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Pr>
        <w:ind w:firstLine="640"/>
        <w:rPr>
          <w:rFonts w:hint="eastAsia" w:ascii="方正楷体_GBK" w:hAnsi="方正楷体_GBK" w:cs="方正楷体_GBK" w:eastAsiaTheme="minorEastAsia"/>
          <w:b/>
          <w:color w:val="000000"/>
          <w:sz w:val="32"/>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ind w:firstLine="560"/>
      </w:pPr>
      <w:r>
        <w:rPr>
          <w:rFonts w:hint="eastAsia" w:ascii="方正仿宋_GBK" w:hAnsi="方正仿宋_GBK" w:cs="方正仿宋_GBK" w:eastAsiaTheme="minorEastAsia"/>
          <w:b/>
          <w:sz w:val="28"/>
          <w:lang w:eastAsia="zh-CN"/>
        </w:rPr>
        <w:t>48</w:t>
      </w:r>
      <w:r>
        <w:rPr>
          <w:rFonts w:ascii="方正仿宋_GBK" w:hAnsi="方正仿宋_GBK" w:eastAsia="方正仿宋_GBK" w:cs="方正仿宋_GBK"/>
          <w:b/>
          <w:sz w:val="28"/>
        </w:rPr>
        <w:t>、2023年“双随机、一公开”工作检测项目绩效目标表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49</w:t>
      </w:r>
      <w:r>
        <w:rPr>
          <w:rFonts w:ascii="方正仿宋_GBK" w:hAnsi="方正仿宋_GBK" w:eastAsia="方正仿宋_GBK" w:cs="方正仿宋_GBK"/>
          <w:b/>
          <w:sz w:val="28"/>
        </w:rPr>
        <w:t>、办案补助/卫生罚没收入绩效目标表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hint="eastAsia" w:ascii="方正仿宋_GBK" w:hAnsi="方正仿宋_GBK" w:cs="方正仿宋_GBK" w:eastAsiaTheme="minorEastAsia"/>
          <w:b/>
          <w:color w:val="000000" w:themeColor="text1"/>
          <w:sz w:val="28"/>
          <w:lang w:eastAsia="zh-CN"/>
        </w:rPr>
        <w:t>50</w:t>
      </w:r>
      <w:r>
        <w:rPr>
          <w:rFonts w:ascii="方正仿宋_GBK" w:hAnsi="方正仿宋_GBK" w:eastAsia="方正仿宋_GBK" w:cs="方正仿宋_GBK"/>
          <w:b/>
          <w:color w:val="000000" w:themeColor="text1"/>
          <w:sz w:val="28"/>
        </w:rPr>
        <w:t>、卫生计生执法办公经费绩效目标表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60</w:t>
      </w:r>
      <w:r>
        <w:rPr>
          <w:rFonts w:ascii="方正仿宋_GBK" w:hAnsi="方正仿宋_GBK" w:eastAsia="方正仿宋_GBK" w:cs="方正仿宋_GBK"/>
          <w:b/>
          <w:color w:val="000000"/>
          <w:sz w:val="28"/>
        </w:rPr>
        <w:t>、水质检测绩效目标表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63</w:t>
      </w:r>
      <w:r>
        <w:rPr>
          <w:rFonts w:ascii="方正仿宋_GBK" w:hAnsi="方正仿宋_GBK" w:eastAsia="方正仿宋_GBK" w:cs="方正仿宋_GBK"/>
          <w:b/>
          <w:color w:val="000000"/>
          <w:sz w:val="28"/>
        </w:rPr>
        <w:t>、预防性体检绩效目标表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64</w:t>
      </w:r>
      <w:r>
        <w:rPr>
          <w:rFonts w:ascii="方正仿宋_GBK" w:hAnsi="方正仿宋_GBK" w:eastAsia="方正仿宋_GBK" w:cs="方正仿宋_GBK"/>
          <w:b/>
          <w:color w:val="000000"/>
          <w:sz w:val="28"/>
        </w:rPr>
        <w:t>、妇女病免费检查公益项目绩效目标表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65</w:t>
      </w:r>
      <w:r>
        <w:rPr>
          <w:rFonts w:ascii="方正仿宋_GBK" w:hAnsi="方正仿宋_GBK" w:eastAsia="方正仿宋_GBK" w:cs="方正仿宋_GBK"/>
          <w:b/>
          <w:color w:val="000000"/>
          <w:sz w:val="28"/>
        </w:rPr>
        <w:t>、婚前医学检查项目绩效目标表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66</w:t>
      </w:r>
      <w:r>
        <w:rPr>
          <w:rFonts w:ascii="方正仿宋_GBK" w:hAnsi="方正仿宋_GBK" w:eastAsia="方正仿宋_GBK" w:cs="方正仿宋_GBK"/>
          <w:b/>
          <w:color w:val="000000"/>
          <w:sz w:val="28"/>
        </w:rPr>
        <w:t>、冀财社【2022】188号/省级提前下达2023年公共卫生服务其他资金/耳聋基因产前筛查绩效目标表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67</w:t>
      </w:r>
      <w:r>
        <w:rPr>
          <w:rFonts w:ascii="方正仿宋_GBK" w:hAnsi="方正仿宋_GBK" w:eastAsia="方正仿宋_GBK" w:cs="方正仿宋_GBK"/>
          <w:b/>
          <w:color w:val="000000"/>
          <w:sz w:val="28"/>
        </w:rPr>
        <w:t>、冀财社【2022】188号/省级提前下达2023年公共卫生服务其他资金/健康扶贫项目资金（两癌）绩效目标表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68</w:t>
      </w:r>
      <w:r>
        <w:rPr>
          <w:rFonts w:ascii="方正仿宋_GBK" w:hAnsi="方正仿宋_GBK" w:eastAsia="方正仿宋_GBK" w:cs="方正仿宋_GBK"/>
          <w:b/>
          <w:color w:val="000000"/>
          <w:sz w:val="28"/>
        </w:rPr>
        <w:t>、冀财社【2022】188号/省级提前下达2023年公共卫生服务其他资金/无创产前基因筛查（含唐筛）绩效目标表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cs="方正仿宋_GBK" w:eastAsiaTheme="minorEastAsia"/>
          <w:b/>
          <w:color w:val="000000"/>
          <w:sz w:val="28"/>
          <w:lang w:eastAsia="zh-CN"/>
        </w:rPr>
        <w:t>9</w:t>
      </w:r>
      <w:r>
        <w:rPr>
          <w:rFonts w:ascii="方正仿宋_GBK" w:hAnsi="方正仿宋_GBK" w:eastAsia="方正仿宋_GBK" w:cs="方正仿宋_GBK"/>
          <w:b/>
          <w:color w:val="000000"/>
          <w:sz w:val="28"/>
        </w:rPr>
        <w:t>、冀财社【2022】188号/省级提前下达2023年基本公共卫生服务/两癌检查绩效目标表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、冀财社【2022】188号/省级提前下达2023年基本公共卫生服务/免费孕前优生健康检查绩效目标表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71</w:t>
      </w:r>
      <w:r>
        <w:rPr>
          <w:rFonts w:ascii="方正仿宋_GBK" w:hAnsi="方正仿宋_GBK" w:eastAsia="方正仿宋_GBK" w:cs="方正仿宋_GBK"/>
          <w:b/>
          <w:color w:val="000000"/>
          <w:sz w:val="28"/>
        </w:rPr>
        <w:t>、冀财社【2022】195号/中央提前下达2023年重大传染病防控经费/艾滋病防治（妇幼类）绩效目标表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72</w:t>
      </w:r>
      <w:r>
        <w:rPr>
          <w:rFonts w:ascii="方正仿宋_GBK" w:hAnsi="方正仿宋_GBK" w:eastAsia="方正仿宋_GBK" w:cs="方正仿宋_GBK"/>
          <w:b/>
          <w:color w:val="000000"/>
          <w:sz w:val="28"/>
        </w:rPr>
        <w:t>、药品零差率补助项目绩效目标表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73</w:t>
      </w:r>
      <w:r>
        <w:rPr>
          <w:rFonts w:ascii="方正仿宋_GBK" w:hAnsi="方正仿宋_GBK" w:eastAsia="方正仿宋_GBK" w:cs="方正仿宋_GBK"/>
          <w:b/>
          <w:color w:val="000000"/>
          <w:sz w:val="28"/>
        </w:rPr>
        <w:t>、孕妇产前耳聋基因筛查项目绩效目标表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74</w:t>
      </w:r>
      <w:r>
        <w:rPr>
          <w:rFonts w:ascii="方正仿宋_GBK" w:hAnsi="方正仿宋_GBK" w:eastAsia="方正仿宋_GBK" w:cs="方正仿宋_GBK"/>
          <w:b/>
          <w:color w:val="000000"/>
          <w:sz w:val="28"/>
        </w:rPr>
        <w:t>、孕妇产前无创基因筛查项目绩效目标表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75</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76</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77</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78</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79</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80</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81</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hint="eastAsia" w:ascii="方正仿宋_GBK" w:hAnsi="方正仿宋_GBK" w:cs="方正仿宋_GBK" w:eastAsiaTheme="minorEastAsia"/>
          <w:b/>
          <w:sz w:val="28"/>
          <w:lang w:eastAsia="zh-CN"/>
        </w:rPr>
        <w:t>2</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83</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ind w:firstLine="562" w:firstLineChars="200"/>
      </w:pPr>
      <w:bookmarkStart w:id="14" w:name="_Toc_3_3_0000000015"/>
      <w:r>
        <w:rPr>
          <w:rFonts w:hint="eastAsia" w:ascii="方正仿宋_GBK" w:hAnsi="方正仿宋_GBK" w:cs="方正仿宋_GBK" w:eastAsiaTheme="minorEastAsia"/>
          <w:b/>
          <w:color w:val="000000"/>
          <w:sz w:val="28"/>
          <w:lang w:eastAsia="zh-CN"/>
        </w:rPr>
        <w:t>84</w:t>
      </w:r>
      <w:r>
        <w:rPr>
          <w:rFonts w:ascii="方正仿宋_GBK" w:hAnsi="方正仿宋_GBK" w:eastAsia="方正仿宋_GBK" w:cs="方正仿宋_GBK"/>
          <w:b/>
          <w:color w:val="000000"/>
          <w:sz w:val="28"/>
        </w:rPr>
        <w:t>、定额补助项目绩效目标表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85</w:t>
      </w:r>
      <w:r>
        <w:rPr>
          <w:rFonts w:ascii="方正仿宋_GBK" w:hAnsi="方正仿宋_GBK" w:eastAsia="方正仿宋_GBK" w:cs="方正仿宋_GBK"/>
          <w:b/>
          <w:color w:val="000000"/>
          <w:sz w:val="28"/>
        </w:rPr>
        <w:t>、药品零差率补助项目绩效目标表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pPr>
        <w:ind w:firstLine="562" w:firstLineChars="200"/>
      </w:pPr>
      <w:r>
        <w:rPr>
          <w:rFonts w:hint="eastAsia" w:ascii="方正仿宋_GBK" w:hAnsi="方正仿宋_GBK" w:cs="方正仿宋_GBK" w:eastAsiaTheme="minorEastAsia"/>
          <w:b/>
          <w:color w:val="000000"/>
          <w:sz w:val="28"/>
          <w:lang w:eastAsia="zh-CN"/>
        </w:rPr>
        <w:t>86</w:t>
      </w:r>
      <w:r>
        <w:rPr>
          <w:rFonts w:ascii="方正仿宋_GBK" w:hAnsi="方正仿宋_GBK" w:eastAsia="方正仿宋_GBK" w:cs="方正仿宋_GBK"/>
          <w:b/>
          <w:color w:val="000000"/>
          <w:sz w:val="28"/>
        </w:rPr>
        <w:t>、支持申报医院等级升级绩效目标表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87</w:t>
      </w:r>
      <w:r>
        <w:rPr>
          <w:rFonts w:ascii="方正仿宋_GBK" w:hAnsi="方正仿宋_GBK" w:eastAsia="方正仿宋_GBK" w:cs="方正仿宋_GBK"/>
          <w:b/>
          <w:color w:val="000000"/>
          <w:sz w:val="28"/>
        </w:rPr>
        <w:t>、中医药服务能力提升项目绩效目标表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r>
        <w:rPr>
          <w:rFonts w:hint="eastAsia" w:eastAsiaTheme="minorEastAsia"/>
          <w:lang w:eastAsia="zh-CN"/>
        </w:rPr>
        <w:t>*</w:t>
      </w: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2023年，隆尧县卫生健康局</w:t>
      </w:r>
      <w:r>
        <w:rPr>
          <w:rFonts w:hint="eastAsia" w:eastAsia="方正仿宋_GBK"/>
          <w:color w:val="000000"/>
          <w:sz w:val="28"/>
          <w:lang w:eastAsia="zh-CN"/>
        </w:rPr>
        <w:t>(含所属单位)</w:t>
      </w:r>
      <w:r>
        <w:rPr>
          <w:rFonts w:eastAsia="方正仿宋_GBK"/>
          <w:color w:val="000000"/>
          <w:sz w:val="28"/>
        </w:rPr>
        <w:t>安排政府采购预算1538.81万元。具体内容见下表。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361隆尧县卫生健康局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1538.81</w:t>
            </w:r>
          </w:p>
        </w:tc>
        <w:tc>
          <w:tcPr>
            <w:tcW w:w="964" w:type="dxa"/>
            <w:vAlign w:val="center"/>
          </w:tcPr>
          <w:p>
            <w:pPr>
              <w:pStyle w:val="16"/>
            </w:pPr>
            <w:r>
              <w:t>1538.81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隆尧县卫生健康局（含所属单位）上年末固定资产金额为4313.06万元（详见下表）。本年度拟购置固定资产总额为</w:t>
      </w:r>
      <w:r>
        <w:rPr>
          <w:rFonts w:hint="eastAsia" w:eastAsia="方正仿宋_GBK"/>
          <w:color w:val="000000"/>
          <w:sz w:val="28"/>
          <w:lang w:eastAsia="zh-CN"/>
        </w:rPr>
        <w:t>1538.81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361隆尧县卫生健康局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49775.43</w:t>
            </w:r>
          </w:p>
        </w:tc>
        <w:tc>
          <w:tcPr>
            <w:tcW w:w="2835" w:type="dxa"/>
            <w:vAlign w:val="center"/>
          </w:tcPr>
          <w:p>
            <w:pPr>
              <w:pStyle w:val="12"/>
            </w:pPr>
            <w:r>
              <w:t>8477.12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6866</w:t>
            </w:r>
          </w:p>
        </w:tc>
        <w:tc>
          <w:tcPr>
            <w:tcW w:w="2835" w:type="dxa"/>
            <w:vAlign w:val="center"/>
          </w:tcPr>
          <w:p>
            <w:pPr>
              <w:pStyle w:val="12"/>
            </w:pPr>
            <w:r>
              <w:t>724.96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35</w:t>
            </w:r>
          </w:p>
        </w:tc>
        <w:tc>
          <w:tcPr>
            <w:tcW w:w="2835" w:type="dxa"/>
            <w:vAlign w:val="center"/>
          </w:tcPr>
          <w:p>
            <w:pPr>
              <w:pStyle w:val="12"/>
            </w:pPr>
            <w:r>
              <w:t>815.02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190</w:t>
            </w:r>
          </w:p>
        </w:tc>
        <w:tc>
          <w:tcPr>
            <w:tcW w:w="2835" w:type="dxa"/>
            <w:vAlign w:val="center"/>
          </w:tcPr>
          <w:p>
            <w:pPr>
              <w:pStyle w:val="12"/>
            </w:pPr>
            <w:r>
              <w:t>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9526</w:t>
            </w:r>
          </w:p>
        </w:tc>
        <w:tc>
          <w:tcPr>
            <w:tcW w:w="2835" w:type="dxa"/>
            <w:vAlign w:val="center"/>
          </w:tcPr>
          <w:p>
            <w:pPr>
              <w:pStyle w:val="12"/>
            </w:pPr>
            <w:r>
              <w:t>7509.03</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360" w:lineRule="auto"/>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360" w:lineRule="auto"/>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360" w:lineRule="auto"/>
        <w:outlineLvl w:val="2"/>
      </w:pPr>
      <w:bookmarkStart w:id="17" w:name="_Toc_3_3_0000000018"/>
      <w:r>
        <w:rPr>
          <w:rFonts w:ascii="黑体" w:hAnsi="黑体" w:eastAsia="黑体" w:cs="黑体"/>
          <w:color w:val="000000"/>
          <w:sz w:val="32"/>
        </w:rPr>
        <w:t>九、其他需要说明的事项</w:t>
      </w:r>
      <w:bookmarkEnd w:id="17"/>
    </w:p>
    <w:p>
      <w:pPr>
        <w:spacing w:line="360" w:lineRule="auto"/>
        <w:ind w:firstLine="560"/>
        <w:rPr>
          <w:rFonts w:eastAsia="方正仿宋_GBK"/>
          <w:color w:val="000000"/>
          <w:sz w:val="28"/>
        </w:rPr>
      </w:pPr>
      <w:r>
        <w:rPr>
          <w:rFonts w:eastAsia="方正仿宋_GBK"/>
          <w:color w:val="000000"/>
          <w:sz w:val="28"/>
        </w:rPr>
        <w:t>我部门无其他需要说明的事项。</w:t>
      </w:r>
    </w:p>
    <w:p>
      <w:pPr>
        <w:spacing w:line="360" w:lineRule="auto"/>
        <w:ind w:firstLine="560"/>
        <w:rPr>
          <w:rFonts w:eastAsia="方正仿宋_GBK"/>
          <w:color w:val="000000"/>
          <w:sz w:val="28"/>
        </w:rPr>
      </w:pPr>
    </w:p>
    <w:p>
      <w:pPr>
        <w:spacing w:line="360" w:lineRule="auto"/>
        <w:ind w:firstLine="560"/>
        <w:rPr>
          <w:rFonts w:eastAsia="方正仿宋_GBK"/>
          <w:color w:val="000000"/>
          <w:sz w:val="28"/>
        </w:rPr>
      </w:pPr>
    </w:p>
    <w:p>
      <w:pPr>
        <w:spacing w:line="360" w:lineRule="auto"/>
        <w:ind w:firstLine="560"/>
        <w:rPr>
          <w:rFonts w:eastAsia="方正仿宋_GBK"/>
          <w:color w:val="000000"/>
          <w:sz w:val="28"/>
        </w:rPr>
      </w:pPr>
    </w:p>
    <w:p>
      <w:pPr>
        <w:spacing w:line="360" w:lineRule="auto"/>
        <w:ind w:firstLine="560"/>
        <w:rPr>
          <w:rFonts w:eastAsia="方正仿宋_GBK"/>
          <w:color w:val="000000"/>
          <w:sz w:val="28"/>
        </w:rPr>
      </w:pPr>
    </w:p>
    <w:p>
      <w:pPr>
        <w:spacing w:line="360" w:lineRule="auto"/>
        <w:ind w:firstLine="560"/>
        <w:rPr>
          <w:rFonts w:eastAsia="方正仿宋_GBK"/>
          <w:color w:val="000000"/>
          <w:sz w:val="28"/>
        </w:rPr>
      </w:pPr>
    </w:p>
    <w:p>
      <w:pPr>
        <w:spacing w:line="360" w:lineRule="auto"/>
        <w:ind w:firstLine="560"/>
        <w:rPr>
          <w:rFonts w:eastAsia="方正仿宋_GBK"/>
          <w:color w:val="000000"/>
          <w:sz w:val="28"/>
        </w:rPr>
      </w:pPr>
    </w:p>
    <w:p>
      <w:pPr>
        <w:jc w:val="both"/>
        <w:rPr>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318304"/>
    <w:multiLevelType w:val="singleLevel"/>
    <w:tmpl w:val="D131830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hjNmNjYjg1ZmUwYjI5MGUwOGJkYzBjNTMyYjBhMjMifQ=="/>
    <w:docVar w:name="KSO_WPS_MARK_KEY" w:val="08c93ed1-0dd0-48d1-af48-8a212cf6372d"/>
  </w:docVars>
  <w:rsids>
    <w:rsidRoot w:val="005E5871"/>
    <w:rsid w:val="000321F3"/>
    <w:rsid w:val="00036EB5"/>
    <w:rsid w:val="00050AEF"/>
    <w:rsid w:val="000630F4"/>
    <w:rsid w:val="00066670"/>
    <w:rsid w:val="00080042"/>
    <w:rsid w:val="00090EEE"/>
    <w:rsid w:val="00094002"/>
    <w:rsid w:val="000C487F"/>
    <w:rsid w:val="000E4F0E"/>
    <w:rsid w:val="000F28D1"/>
    <w:rsid w:val="00143FC8"/>
    <w:rsid w:val="001672AD"/>
    <w:rsid w:val="001716FE"/>
    <w:rsid w:val="00181C10"/>
    <w:rsid w:val="0018798D"/>
    <w:rsid w:val="00191E52"/>
    <w:rsid w:val="00192B4A"/>
    <w:rsid w:val="00195590"/>
    <w:rsid w:val="001A461B"/>
    <w:rsid w:val="001D7B71"/>
    <w:rsid w:val="001E3941"/>
    <w:rsid w:val="001E55F6"/>
    <w:rsid w:val="00226D48"/>
    <w:rsid w:val="00235C0C"/>
    <w:rsid w:val="002636E3"/>
    <w:rsid w:val="00310082"/>
    <w:rsid w:val="003166B9"/>
    <w:rsid w:val="00323DE8"/>
    <w:rsid w:val="00352C6C"/>
    <w:rsid w:val="003670BB"/>
    <w:rsid w:val="00371C22"/>
    <w:rsid w:val="00375E2A"/>
    <w:rsid w:val="00395F0A"/>
    <w:rsid w:val="003A109C"/>
    <w:rsid w:val="003B0421"/>
    <w:rsid w:val="003C5A51"/>
    <w:rsid w:val="003D0BF9"/>
    <w:rsid w:val="003D6775"/>
    <w:rsid w:val="00410B7A"/>
    <w:rsid w:val="0041122F"/>
    <w:rsid w:val="00414919"/>
    <w:rsid w:val="00415592"/>
    <w:rsid w:val="00482484"/>
    <w:rsid w:val="0049323B"/>
    <w:rsid w:val="0049602C"/>
    <w:rsid w:val="004E6046"/>
    <w:rsid w:val="00504A1B"/>
    <w:rsid w:val="005077B1"/>
    <w:rsid w:val="00515C7F"/>
    <w:rsid w:val="005246F8"/>
    <w:rsid w:val="00544B03"/>
    <w:rsid w:val="00554EE3"/>
    <w:rsid w:val="005A730E"/>
    <w:rsid w:val="005C5567"/>
    <w:rsid w:val="005E5871"/>
    <w:rsid w:val="00612B29"/>
    <w:rsid w:val="0065648A"/>
    <w:rsid w:val="00660D34"/>
    <w:rsid w:val="00662016"/>
    <w:rsid w:val="0066781E"/>
    <w:rsid w:val="006D1472"/>
    <w:rsid w:val="006E18E9"/>
    <w:rsid w:val="0070073E"/>
    <w:rsid w:val="007148A5"/>
    <w:rsid w:val="00724061"/>
    <w:rsid w:val="00731122"/>
    <w:rsid w:val="007632FC"/>
    <w:rsid w:val="00773EB6"/>
    <w:rsid w:val="007B4EC7"/>
    <w:rsid w:val="00813D13"/>
    <w:rsid w:val="008637FF"/>
    <w:rsid w:val="008657C1"/>
    <w:rsid w:val="008A604C"/>
    <w:rsid w:val="008C20D0"/>
    <w:rsid w:val="008C583C"/>
    <w:rsid w:val="008E1D84"/>
    <w:rsid w:val="008F1AAE"/>
    <w:rsid w:val="008F4FC5"/>
    <w:rsid w:val="00957DA6"/>
    <w:rsid w:val="00971CE1"/>
    <w:rsid w:val="009802A9"/>
    <w:rsid w:val="0098794F"/>
    <w:rsid w:val="009949F4"/>
    <w:rsid w:val="009973B3"/>
    <w:rsid w:val="009A3463"/>
    <w:rsid w:val="009A48F6"/>
    <w:rsid w:val="009F1135"/>
    <w:rsid w:val="009F26D2"/>
    <w:rsid w:val="00A157D9"/>
    <w:rsid w:val="00A300A8"/>
    <w:rsid w:val="00A40C35"/>
    <w:rsid w:val="00A9243D"/>
    <w:rsid w:val="00AA1694"/>
    <w:rsid w:val="00AA6819"/>
    <w:rsid w:val="00AD1A0F"/>
    <w:rsid w:val="00AE46A2"/>
    <w:rsid w:val="00AF702E"/>
    <w:rsid w:val="00AF7A33"/>
    <w:rsid w:val="00B002CC"/>
    <w:rsid w:val="00B007C9"/>
    <w:rsid w:val="00B1669B"/>
    <w:rsid w:val="00B22D15"/>
    <w:rsid w:val="00B24371"/>
    <w:rsid w:val="00BB0D21"/>
    <w:rsid w:val="00BB40FD"/>
    <w:rsid w:val="00BC7226"/>
    <w:rsid w:val="00BF5098"/>
    <w:rsid w:val="00C1534E"/>
    <w:rsid w:val="00C2799A"/>
    <w:rsid w:val="00C3500A"/>
    <w:rsid w:val="00C47E7B"/>
    <w:rsid w:val="00C56ABD"/>
    <w:rsid w:val="00C70B7A"/>
    <w:rsid w:val="00C9682C"/>
    <w:rsid w:val="00C97F4D"/>
    <w:rsid w:val="00CA1FD3"/>
    <w:rsid w:val="00CA20E8"/>
    <w:rsid w:val="00CA2FF5"/>
    <w:rsid w:val="00CC3563"/>
    <w:rsid w:val="00CF500C"/>
    <w:rsid w:val="00D01E53"/>
    <w:rsid w:val="00D022F1"/>
    <w:rsid w:val="00D3668F"/>
    <w:rsid w:val="00D44DCC"/>
    <w:rsid w:val="00D547F1"/>
    <w:rsid w:val="00D55068"/>
    <w:rsid w:val="00D57A13"/>
    <w:rsid w:val="00D6467B"/>
    <w:rsid w:val="00D7112D"/>
    <w:rsid w:val="00D7740F"/>
    <w:rsid w:val="00D86A07"/>
    <w:rsid w:val="00D97F15"/>
    <w:rsid w:val="00DF62BF"/>
    <w:rsid w:val="00DF6DC4"/>
    <w:rsid w:val="00E11C6A"/>
    <w:rsid w:val="00E2329D"/>
    <w:rsid w:val="00E2567A"/>
    <w:rsid w:val="00E33051"/>
    <w:rsid w:val="00E423E4"/>
    <w:rsid w:val="00E44494"/>
    <w:rsid w:val="00E4542C"/>
    <w:rsid w:val="00E462E2"/>
    <w:rsid w:val="00E61562"/>
    <w:rsid w:val="00E77EE2"/>
    <w:rsid w:val="00EA0336"/>
    <w:rsid w:val="00EB0687"/>
    <w:rsid w:val="00EB14A1"/>
    <w:rsid w:val="00EB7B58"/>
    <w:rsid w:val="00EC29D3"/>
    <w:rsid w:val="00EE4E8C"/>
    <w:rsid w:val="00FA3948"/>
    <w:rsid w:val="00FD496E"/>
    <w:rsid w:val="00FF0CC7"/>
    <w:rsid w:val="00FF74EF"/>
    <w:rsid w:val="01FF4859"/>
    <w:rsid w:val="053F7359"/>
    <w:rsid w:val="069E05BA"/>
    <w:rsid w:val="06A22403"/>
    <w:rsid w:val="09682BD8"/>
    <w:rsid w:val="09AD76FA"/>
    <w:rsid w:val="0AAE275C"/>
    <w:rsid w:val="0B0E2B4A"/>
    <w:rsid w:val="0BF21A3C"/>
    <w:rsid w:val="0F253A85"/>
    <w:rsid w:val="103E2C65"/>
    <w:rsid w:val="12DE15D3"/>
    <w:rsid w:val="132747FA"/>
    <w:rsid w:val="14865D75"/>
    <w:rsid w:val="14D25411"/>
    <w:rsid w:val="14DF1632"/>
    <w:rsid w:val="17422768"/>
    <w:rsid w:val="18D314AE"/>
    <w:rsid w:val="18EC2157"/>
    <w:rsid w:val="19D96F98"/>
    <w:rsid w:val="1A3972FD"/>
    <w:rsid w:val="1A7901A1"/>
    <w:rsid w:val="1B46719C"/>
    <w:rsid w:val="1C2C2ABF"/>
    <w:rsid w:val="1C5A788F"/>
    <w:rsid w:val="1CD221A8"/>
    <w:rsid w:val="1D556936"/>
    <w:rsid w:val="1EA83C43"/>
    <w:rsid w:val="1EE6388B"/>
    <w:rsid w:val="1EEC0D97"/>
    <w:rsid w:val="1F964C36"/>
    <w:rsid w:val="20153CE5"/>
    <w:rsid w:val="2218030E"/>
    <w:rsid w:val="22376996"/>
    <w:rsid w:val="230E2F39"/>
    <w:rsid w:val="23530B52"/>
    <w:rsid w:val="25B5273A"/>
    <w:rsid w:val="26B24F17"/>
    <w:rsid w:val="27067F5C"/>
    <w:rsid w:val="28266F5E"/>
    <w:rsid w:val="28B9311A"/>
    <w:rsid w:val="298323EF"/>
    <w:rsid w:val="29E42D2E"/>
    <w:rsid w:val="29EB327F"/>
    <w:rsid w:val="2A8C41C4"/>
    <w:rsid w:val="2B2B552F"/>
    <w:rsid w:val="2C7A3950"/>
    <w:rsid w:val="2D1E31CB"/>
    <w:rsid w:val="2EDD6BB1"/>
    <w:rsid w:val="32033C69"/>
    <w:rsid w:val="32103720"/>
    <w:rsid w:val="327B279B"/>
    <w:rsid w:val="32EC5295"/>
    <w:rsid w:val="33273C6E"/>
    <w:rsid w:val="34142C4F"/>
    <w:rsid w:val="36B4163F"/>
    <w:rsid w:val="37A12CFD"/>
    <w:rsid w:val="38965C70"/>
    <w:rsid w:val="3C3C47FF"/>
    <w:rsid w:val="3D5C54EB"/>
    <w:rsid w:val="3D647B80"/>
    <w:rsid w:val="3D735FA6"/>
    <w:rsid w:val="3DAF0A5F"/>
    <w:rsid w:val="3E294B78"/>
    <w:rsid w:val="3E7277C4"/>
    <w:rsid w:val="3FB54248"/>
    <w:rsid w:val="43A335A1"/>
    <w:rsid w:val="45E83B31"/>
    <w:rsid w:val="46C7270D"/>
    <w:rsid w:val="48DF4E51"/>
    <w:rsid w:val="49285098"/>
    <w:rsid w:val="49C66341"/>
    <w:rsid w:val="4B70761E"/>
    <w:rsid w:val="4CA601F1"/>
    <w:rsid w:val="4D7C1024"/>
    <w:rsid w:val="4E21448E"/>
    <w:rsid w:val="4E2A4C05"/>
    <w:rsid w:val="4EBB3691"/>
    <w:rsid w:val="4EDB0442"/>
    <w:rsid w:val="4F8242E7"/>
    <w:rsid w:val="51C54F66"/>
    <w:rsid w:val="51EE01FE"/>
    <w:rsid w:val="52C718AE"/>
    <w:rsid w:val="53B631BE"/>
    <w:rsid w:val="54CE1958"/>
    <w:rsid w:val="5513742F"/>
    <w:rsid w:val="59E31454"/>
    <w:rsid w:val="5ABF7961"/>
    <w:rsid w:val="5B694D7F"/>
    <w:rsid w:val="5D2B16AB"/>
    <w:rsid w:val="5D977424"/>
    <w:rsid w:val="5DE33AAA"/>
    <w:rsid w:val="5E79647D"/>
    <w:rsid w:val="5F2B408B"/>
    <w:rsid w:val="5F3C4A92"/>
    <w:rsid w:val="5F7A5295"/>
    <w:rsid w:val="5F8C2080"/>
    <w:rsid w:val="60854833"/>
    <w:rsid w:val="60D215F9"/>
    <w:rsid w:val="61AB4343"/>
    <w:rsid w:val="61C3343B"/>
    <w:rsid w:val="61D879BB"/>
    <w:rsid w:val="625B6662"/>
    <w:rsid w:val="634C7FE1"/>
    <w:rsid w:val="635C2B78"/>
    <w:rsid w:val="6366165E"/>
    <w:rsid w:val="65B528A2"/>
    <w:rsid w:val="66351BCB"/>
    <w:rsid w:val="66D01A64"/>
    <w:rsid w:val="689568AC"/>
    <w:rsid w:val="695409C2"/>
    <w:rsid w:val="69582D0D"/>
    <w:rsid w:val="6A05729E"/>
    <w:rsid w:val="6A5350CB"/>
    <w:rsid w:val="6A572C54"/>
    <w:rsid w:val="6B95469D"/>
    <w:rsid w:val="6BC229B5"/>
    <w:rsid w:val="6C3B1211"/>
    <w:rsid w:val="6D01588A"/>
    <w:rsid w:val="6D952E28"/>
    <w:rsid w:val="6E8C6E35"/>
    <w:rsid w:val="70145034"/>
    <w:rsid w:val="70D67535"/>
    <w:rsid w:val="72AE2CA5"/>
    <w:rsid w:val="72FB2495"/>
    <w:rsid w:val="7405011D"/>
    <w:rsid w:val="769B7B47"/>
    <w:rsid w:val="76DB691B"/>
    <w:rsid w:val="77377FE1"/>
    <w:rsid w:val="78074248"/>
    <w:rsid w:val="78DE1C66"/>
    <w:rsid w:val="79826487"/>
    <w:rsid w:val="79A5781A"/>
    <w:rsid w:val="79C45B4A"/>
    <w:rsid w:val="7BBE5614"/>
    <w:rsid w:val="7BF828BA"/>
    <w:rsid w:val="7C462A9E"/>
    <w:rsid w:val="7CC50028"/>
    <w:rsid w:val="7DBB5B3D"/>
    <w:rsid w:val="7E7F793A"/>
    <w:rsid w:val="7F016222"/>
    <w:rsid w:val="7F6E13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40"/>
    <w:semiHidden/>
    <w:unhideWhenUsed/>
    <w:qFormat/>
    <w:uiPriority w:val="99"/>
    <w:rPr>
      <w:sz w:val="18"/>
      <w:szCs w:val="18"/>
    </w:rPr>
  </w:style>
  <w:style w:type="paragraph" w:styleId="3">
    <w:name w:val="footer"/>
    <w:basedOn w:val="1"/>
    <w:link w:val="35"/>
    <w:unhideWhenUsed/>
    <w:qFormat/>
    <w:uiPriority w:val="0"/>
    <w:pPr>
      <w:tabs>
        <w:tab w:val="center" w:pos="4153"/>
        <w:tab w:val="right" w:pos="8306"/>
      </w:tabs>
      <w:snapToGrid w:val="0"/>
    </w:pPr>
    <w:rPr>
      <w:sz w:val="18"/>
      <w:szCs w:val="18"/>
    </w:rPr>
  </w:style>
  <w:style w:type="paragraph" w:styleId="4">
    <w:name w:val="header"/>
    <w:basedOn w:val="1"/>
    <w:link w:val="34"/>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qFormat/>
    <w:uiPriority w:val="0"/>
    <w:rPr>
      <w:rFonts w:eastAsia="Times New Roman"/>
      <w:sz w:val="18"/>
      <w:szCs w:val="18"/>
      <w:lang w:eastAsia="uk-UA"/>
    </w:rPr>
  </w:style>
  <w:style w:type="character" w:customStyle="1" w:styleId="35">
    <w:name w:val="页脚 Char"/>
    <w:basedOn w:val="7"/>
    <w:link w:val="3"/>
    <w:qFormat/>
    <w:uiPriority w:val="0"/>
    <w:rPr>
      <w:rFonts w:eastAsia="Times New Roman"/>
      <w:sz w:val="18"/>
      <w:szCs w:val="18"/>
      <w:lang w:eastAsia="uk-UA"/>
    </w:rPr>
  </w:style>
  <w:style w:type="paragraph" w:customStyle="1" w:styleId="36">
    <w:name w:val="目录 21"/>
    <w:basedOn w:val="1"/>
    <w:qFormat/>
    <w:uiPriority w:val="0"/>
    <w:pPr>
      <w:ind w:left="240"/>
    </w:pPr>
  </w:style>
  <w:style w:type="paragraph" w:customStyle="1" w:styleId="37">
    <w:name w:val="目录 31"/>
    <w:basedOn w:val="1"/>
    <w:qFormat/>
    <w:uiPriority w:val="0"/>
    <w:pPr>
      <w:ind w:left="480"/>
    </w:pPr>
  </w:style>
  <w:style w:type="paragraph" w:customStyle="1" w:styleId="38">
    <w:name w:val="目录 41"/>
    <w:basedOn w:val="1"/>
    <w:qFormat/>
    <w:uiPriority w:val="0"/>
    <w:pPr>
      <w:ind w:left="720"/>
    </w:pPr>
  </w:style>
  <w:style w:type="paragraph" w:customStyle="1" w:styleId="39">
    <w:name w:val="目录 11"/>
    <w:basedOn w:val="1"/>
    <w:qFormat/>
    <w:uiPriority w:val="0"/>
    <w:pPr>
      <w:spacing w:before="120"/>
      <w:ind w:firstLine="560"/>
    </w:pPr>
    <w:rPr>
      <w:rFonts w:eastAsia="方正仿宋_GBK"/>
      <w:color w:val="000000"/>
      <w:sz w:val="28"/>
    </w:rPr>
  </w:style>
  <w:style w:type="character" w:customStyle="1" w:styleId="40">
    <w:name w:val="批注框文本 Char"/>
    <w:basedOn w:val="7"/>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360</Pages>
  <Words>23572</Words>
  <Characters>134362</Characters>
  <Lines>1119</Lines>
  <Paragraphs>315</Paragraphs>
  <TotalTime>274</TotalTime>
  <ScaleCrop>false</ScaleCrop>
  <LinksUpToDate>false</LinksUpToDate>
  <CharactersWithSpaces>157619</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2023-02-06T10:49:00Z</dcterms:created>
  <dc:creator>lenovo</dc:creator>
  <cp:lastModifiedBy>work</cp:lastModifiedBy>
  <cp:lastPrinted>2023-02-06T16:08:00Z</cp:lastPrinted>
  <dcterms:modified xsi:type="dcterms:W3CDTF">2024-02-01T11:44:04Z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DFA03709228AAE6C8413BB659DA41D68</vt:lpwstr>
  </property>
</Properties>
</file>