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ind w:firstLine="2860" w:firstLineChars="650"/>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隆尧县应急管理局</w:t>
      </w:r>
    </w:p>
    <w:p>
      <w:pPr>
        <w:spacing w:line="60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2021年部门预算信息公开情况说明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按照《预算法》、《地方预决算公开操作规程》和《河北省省级预算公开办法》规定，现将隆尧县应急管理局2021年部门预算公开如下：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部门职责</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（一）负责应急管理工作，指导各级各部门应对安全生产类、自然灾害类等突发事件和综合防灾减灾救灾工作。负责安全生产综合监督管理和工商贸行业安全生产监督管理工作。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（二）拟订应急管理、安全生产等政策规定，组织编制县应急体系建设、安全生产和综合防灾减灾规划，贯彻执行国家和省、市有关法律，法规、规章、规程和标准。</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指导应急预案体系建设，建立完善事故灾难和自然灾害分级应对制度，组织编制县总体应急预案和安全生产类、自然灾害类专项预案，综合协调应急预案衔接工作，组织开展预案演练，推动应急避难设施建设。</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牵头建立统一的全县应急管理信息系统，负责信息传输渠道的规划和布局，建立监测预警和灾情报告制度，健全自然灾害信息资源获取和共享机制，依法统一发布灾情。</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组织指导协调安全生产类、自然灾害类等突发事件应急救援，承担县应对重大灾害指挥部工作，综合研判突发事件发展态势并提出应对建议，协助县委、县政府指定的负责同志组织重大灾害应急处置工作。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统一协调指挥各类应急专业队伍，建立应急协调联动机制，推进指挥平台对接，衔接解放军和武警部队参与应急救援工作。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统筹应急救援力量建设，负责消防、森林和草原火灾扑救、抗洪抢险、地震和地质灾害救援、生产安全事故救援等专业应急救援力量建设，管理县综合性应急救援队伍，指导各级及社会应急救援力量建设。</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组织协调消防工作，指导各级消防监督、火灾预防、火灾扑救等工作。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九</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指导协调森林和草原火灾、水旱灾害、地质灾害等防治工作，负责自然灾害综合监测预警工作，指导开展自然灾害综合风险评估工作。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组织协调灾害救助工作，组织指导灾情核查、损失评估、救灾捐赠工作，管理、分配县救灾款物并监督使用。</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依法行使县安全生产综合监督管理职权，指导协调、监督检查县有关部门和各镇政府、开发区安全生产工作，组织开展安全生产巡查、考核工作。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依法组织指导生产安全事故调查处理，监督事故查处和责任追究落实情况。组织开展自然灾害类突发事件的调查评估工作。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制定应急物资储备和应急救援装备规划并组织实施，会同县发展和改革局（县粮食和物资储备局）等部门建立健全应急物资信息平台和调拨制度，在救灾时统一调度。</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负责应急管理、安全生产宣传教育和培训工作，组织指导应急管理、安全生产的科学技术研究、推广应用和信息化建设工作。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组织实施煤矿安全监管法规和标准,组织指导煤炭资源的合理开发和煤炭产业结构调整。 承担全县煤矿安全、 煤炭生产监管责任,组织开展对煤矿企业执法检查。</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负责组织指导协调和监督全县安全生产行政执法工作，组织开展对县属企业及驻县中央、省属、市属企业的执法检查，组织开展对安全生产重点企业的执法检查。</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十九</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二十一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负责管理辖区内地震群测群防“三网一员”网络体系，推进地震宏观异常测报、地震灾情速报、防震减灾科普宣传网络体系建设，组织开展社区地震应急和乡镇民居抗震设防指导和培训。</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二十二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组织开展应急管理方面的国际交流与合作。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二十三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完成县委、县政府交办的其他任务。</w:t>
      </w:r>
    </w:p>
    <w:p>
      <w:pPr>
        <w:pStyle w:val="19"/>
        <w:rPr>
          <w:sz w:val="20"/>
          <w:lang w:eastAsia="zh-CN"/>
        </w:rPr>
      </w:pP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机构设置：</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8"/>
        <w:tblW w:w="78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1"/>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2531"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2531"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31"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隆尧县应急管理局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31" w:type="dxa"/>
            <w:vAlign w:val="center"/>
          </w:tcPr>
          <w:p>
            <w:pPr>
              <w:spacing w:line="300" w:lineRule="exact"/>
              <w:jc w:val="left"/>
              <w:rPr>
                <w:rFonts w:ascii="方正书宋_GBK" w:eastAsia="方正书宋_GBK"/>
              </w:rPr>
            </w:pPr>
            <w:r>
              <w:rPr>
                <w:rFonts w:hint="eastAsia" w:ascii="方正书宋_GBK" w:eastAsia="方正书宋_GBK"/>
              </w:rPr>
              <w:t>邢台地震资料陈列馆</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股级</w:t>
            </w:r>
          </w:p>
        </w:tc>
        <w:tc>
          <w:tcPr>
            <w:tcW w:w="2902"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按照预算管理有关规定，目前我省部门预算的编制实行综合预算管理，即全部收入和支出都反映在预算中。隆尧县应急管理局机关及所属事业单位收支包含在部门预算中。</w:t>
      </w: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1、收入说明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反映本部门当年全部收入。2021年预算收入</w:t>
      </w:r>
      <w:bookmarkStart w:id="0" w:name="OLE_LINK1"/>
      <w:bookmarkStart w:id="1" w:name="OLE_LINK3"/>
      <w:bookmarkStart w:id="2" w:name="OLE_LINK2"/>
      <w:r>
        <w:rPr>
          <w:rFonts w:hint="eastAsia" w:ascii="仿宋_GB2312" w:hAnsi="仿宋_GB2312" w:eastAsia="仿宋_GB2312" w:cs="仿宋_GB2312"/>
          <w:sz w:val="32"/>
          <w:szCs w:val="32"/>
        </w:rPr>
        <w:t>17842961</w:t>
      </w:r>
      <w:bookmarkEnd w:id="0"/>
      <w:bookmarkEnd w:id="1"/>
      <w:bookmarkEnd w:id="2"/>
      <w:r>
        <w:rPr>
          <w:rFonts w:hint="eastAsia" w:ascii="仿宋_GB2312" w:hAnsi="仿宋_GB2312" w:eastAsia="仿宋_GB2312" w:cs="仿宋_GB2312"/>
          <w:sz w:val="32"/>
          <w:szCs w:val="32"/>
        </w:rPr>
        <w:t>元，其中：一般公共预算收入5342961元，基金预算收入12500000元，财政专户核拨收入0元，其他来源收入0元。</w:t>
      </w: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2、支出说明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隆尧县应急管理局年度部门预算中支出预算的总体情况。2021年部门支出预算为17842961元，其中基本支出2839931元，包括人员经费2540731元和日常公用经费299200元；项目支出15003030元，主要为安全生产监管监察支出、非煤矿山综合治理支出、防汛支出、地震综合管理支出、自然灾害救灾支出、消防车辆购置支出等。</w:t>
      </w: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3、比上年增减情况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2021年部门预算收支安排17842961元，较2020年减少5246400元，其中：基本支出减少213500元，主要是人员调出、退休经费支出减少；项目支出减少5032900元，主要为石膏矿关闭退出专项奖补资金减少。</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2021年，我部门机关运行经费共计安排299200元，主要用于办公用房物业管理费、水电费、福利费、邮电费等日常运行支出。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2021年，我局财政拨款“三公”经费预算安排0元，其中：公务用车购置及运维费0元（其中：公务用车购置费0元，公务用车运行维护费0元)；公务接待费0元。“三公”经费与上年相比减少15000元，主要原因为公务用车划归县机关事务管理局，无公务用车运行维护费。</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3" w:firstLineChars="200"/>
        <w:jc w:val="left"/>
        <w:rPr>
          <w:rFonts w:ascii="Times New Roman" w:hAnsi="Times New Roman" w:eastAsia="仿宋" w:cs="Times New Roman"/>
          <w:sz w:val="32"/>
          <w:szCs w:val="32"/>
        </w:rPr>
      </w:pPr>
      <w:bookmarkStart w:id="3" w:name="_Toc471398463"/>
      <w:r>
        <w:rPr>
          <w:rFonts w:hint="eastAsia" w:ascii="Times New Roman" w:hAnsi="Times New Roman" w:eastAsia="方正仿宋_GBK" w:cs="Times New Roman"/>
          <w:b/>
          <w:sz w:val="32"/>
          <w:szCs w:val="32"/>
        </w:rPr>
        <w:t>第一部分  部门整体绩效目标</w:t>
      </w: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(一)总体绩效目标：</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2021年，以习近平新时代中国特色社会主义思想为指导，牢固树立红线意识，强化底线思维；坚持生命至上、安全第一的发展理念，坚持以防为主、防抗救相结合，坚持常态减灾和非常态救灾相统一,加快应急管理基层基础能力、核心应急救援能力、综合应急保障能力建设。以有效防范安全生产类、自然灾害类等突发事件和综合防灾减灾救灾工作为重点，坚持应急管理和安全生产监管体制机制改革创新，深化重点行业领域安全治理、有效防范遏制重特大事故,努力减少一般事故，促进全县安全生产形势持续稳定好转,全面完成2021年应急管理和安全生产各项工作任务，为全县经济发展创造良好的安全环境。</w:t>
      </w: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(二)分项绩效目标：</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1、全县安全生产形势持续稳定好转</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绩效目标：加强安全生产监管监察，通过督导检查全县安全生产，最大限度地发现、纠正、督促企业消除各类隐患，预防和减少事故的发生，确保全县安全生产形势持续稳定好转。</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绩效指标：组织开展对生产经营单位的执法检查, 全年检查生产经营单位 170 家，检查覆盖率达95%以上，隐患排查整改率达到90%以上。</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2、构建县应急指挥中心，加强应急处置能力建设</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通过构建县应急指挥中心，实现与公安、水务、气象等部门信息平台对接，并与各乡镇视频会议系统进行连接，实现信息共享。形成集指挥救援、应急演练、监测预警、工作调度为一体的运转高效的应急指挥体系，进一步提升综合防灾减灾救灾能力。</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绩效目标：构建集指挥、调度、监测预警、演练等功能为一体的县应急指挥中心， 保障防汛抗旱指挥部等工作正常运转。 组织全县开展应急救援演练活动 1 次，组织全县防汛抗旱演练 2次；开展地震、 地质灾害应急演练 1 次。积极做好地震灾害预评估和应急处置工作。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3、自然灾害防治。</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建立监测预警和灾情报告制度，健全自然灾害信息资源获取和共享机制，依法统一发布灾情；建立完善综合减灾体系，做好重大自然灾害防治工作。构建统筹应对各灾种、有效覆盖各环节、综合协调各部门的全方位、全过程、多层次防灾减灾救灾新体系，研究建立协调联动、快速反应、高效有序的灾害救助新体制。强化灾情处置，及时落实救助资金和物资，扎实推进农房保险工作，做到应保尽保。</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绩效指标：积极做好灾情评估，发生灾情24小时内向市应急管理局报告，保障防汛救灾物资足额储备，搞好全县13.5万户农房保险工作。</w:t>
      </w:r>
    </w:p>
    <w:p>
      <w:pPr>
        <w:spacing w:line="500" w:lineRule="exact"/>
        <w:ind w:firstLine="643" w:firstLineChars="200"/>
        <w:jc w:val="left"/>
        <w:outlineLvl w:val="1"/>
        <w:rPr>
          <w:rFonts w:ascii="仿宋" w:hAnsi="仿宋" w:eastAsia="仿宋" w:cs="方正仿宋_GBK"/>
          <w:sz w:val="32"/>
          <w:szCs w:val="32"/>
        </w:rPr>
      </w:pPr>
      <w:r>
        <w:rPr>
          <w:rFonts w:hint="eastAsia" w:ascii="仿宋_GB2312" w:hAnsi="仿宋_GB2312" w:eastAsia="仿宋_GB2312" w:cs="仿宋_GB2312"/>
          <w:b/>
          <w:kern w:val="0"/>
          <w:sz w:val="32"/>
          <w:szCs w:val="32"/>
        </w:rPr>
        <w:t>(三)工作保障措施</w:t>
      </w:r>
      <w:bookmarkStart w:id="4" w:name="_Toc26087"/>
      <w:bookmarkStart w:id="5" w:name="_Toc24445"/>
      <w:r>
        <w:rPr>
          <w:rFonts w:hint="eastAsia" w:ascii="仿宋" w:hAnsi="仿宋" w:eastAsia="仿宋" w:cs="方正仿宋_GBK"/>
          <w:sz w:val="32"/>
          <w:szCs w:val="32"/>
        </w:rPr>
        <w:fldChar w:fldCharType="begin"/>
      </w:r>
      <w:r>
        <w:rPr>
          <w:rFonts w:hint="eastAsia" w:ascii="仿宋" w:hAnsi="仿宋" w:eastAsia="仿宋" w:cs="方正仿宋_GBK"/>
          <w:sz w:val="32"/>
          <w:szCs w:val="32"/>
        </w:rPr>
        <w:instrText xml:space="preserve"> TC 工作保障措施 \f A \l 1 </w:instrText>
      </w:r>
      <w:r>
        <w:rPr>
          <w:rFonts w:hint="eastAsia" w:ascii="仿宋" w:hAnsi="仿宋" w:eastAsia="仿宋" w:cs="方正仿宋_GBK"/>
          <w:sz w:val="32"/>
          <w:szCs w:val="32"/>
        </w:rPr>
        <w:fldChar w:fldCharType="end"/>
      </w:r>
      <w:bookmarkEnd w:id="4"/>
      <w:bookmarkEnd w:id="5"/>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完善制度建设。一是加强应急处置能力建设。认真落实防灾减灾救灾和安全生产各项应急处置措施，健全应急协调联动机制，进一步完善应急救援预案，强化应急演练，细化各项应急措施，落实人力、物资、通讯等各项应急保障，做好协调指挥，确保一旦发生险情第一时间到达现场及时应对处置，同时积极推动应急避难设施建设；二是进一步完善安全生产责任体系。进一步完善“党政同责、一岗双责、齐抓共管、失职追责”责任体系建设；三是推进“双控”机制建设。依托“邢台市安全生产信息平台”, 督促企业开展风险辨识分级管控和隐患排查治理，完善各项安全生产信息并按时上传到网络信息平台，健全和完善安全生产双重预防控制机制。全面推行安全风险分级管控，进一步强化隐患排查治理，提升安全生产整体预防控制能力；四是从预算制定到执行，将项目细化到股室并落实责任人。将事前评估、目标管理、运行监控、绩效评价、结果应用等各项改革措施，有效融入预算管理的全过程环节，形成统筹协调、分工协作、 密切配合、合力推进的工作机制。</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2、加强支出管理。通过优化支出结构，编细编实预算，加快履行政府采购程序，及时启动项目和支付资金，优化部门预算支出结构，合理改进支出方式，确保按照时间节点完成支出任务。</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3、规范财务资产管理。不断完善财务管理制度， 严格审批程序，加强固定资产登记、使用和报废处置管理， 做到支出合理，物尽其用。</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加强绩效运行监控，做好绩效自评。一是加强绩效运行监控。遵循目标导向、权责对等、全面覆盖、突出重点、适时适当的原则，按要求开展绩效运行监控，重点关注支出进度缓慢、管理基础薄弱的项目，动态掌握政策和项目进展，以及资金使用和绩效目标完成情况，发现问题及时纠正采取措施，合理利用和报送绩效监控结果，确保绩效目标如期保质实现。二是做好绩效自评。按要求开展上年度部门预算绩效自评和重点评价工作，对预算资金投向的准确性、安排使用的有效性、投入方式的科学性、产出效益的经济性进行客观、公正的评价，在评价中发现的问题及时整改，调整优化支出结构，提高财政资金使用效益，实现绩效预算管理的全方位、全过程、全覆盖。</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加强内部监督。加强内部监督制度建设，制定科学评价办法，对政策和项目资金支出的经济性、效率性以及绩效目标的实现程度进行全方位评价，及时发现实施中存在的问题，并研究解决对策。对绩效运行情况、重大支出决策、资产处置等事项的决策和执行进行督导，对会计资料进行内部审计，并配合做好审计、财政监督等外部监督工作，确保财政资金安全有效。</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加强宣传培训调研工作。一是加大宣传力度。积极开展安全生产月、“5·12”防灾减灾日、“119消防宣传月”等主题宣传活动，深入推进应急和安全生产宣传教育活动；二是加大培训工作力度。进一步加大对企业负责人、安全管理人员、特种作业人员的培训力度，做到“三项岗位”全部持证上岗，严格全员安全培训工作，确保培训全覆盖；三是加强机关人员培训，组织开展多轮次、多角度的业务培训，提高职工业务素质；加强调研， 提出优化资金配置、提高资金使用效益的意见；加大宣传力度，强化预算绩效管理意识，促进预算绩效管理水平进一步提升。积极采取购买服务等方式，利用专业机构等力量开展工作，提升预算绩效管理科学水平。</w:t>
      </w:r>
    </w:p>
    <w:p>
      <w:pPr>
        <w:spacing w:line="500" w:lineRule="exact"/>
        <w:ind w:firstLine="643" w:firstLineChars="200"/>
        <w:jc w:val="left"/>
        <w:rPr>
          <w:rFonts w:ascii="Times New Roman" w:eastAsia="方正仿宋_GBK"/>
          <w:sz w:val="28"/>
        </w:rPr>
      </w:pPr>
      <w:r>
        <w:rPr>
          <w:rFonts w:hint="eastAsia" w:ascii="Times New Roman" w:hAnsi="Times New Roman" w:eastAsia="方正仿宋_GBK" w:cs="Times New Roman"/>
          <w:b/>
          <w:sz w:val="32"/>
          <w:szCs w:val="32"/>
        </w:rPr>
        <w:t>第二部分  预算项目绩效目标</w:t>
      </w:r>
      <w:bookmarkEnd w:id="3"/>
    </w:p>
    <w:p>
      <w:pPr>
        <w:ind w:firstLine="562" w:firstLineChars="200"/>
        <w:jc w:val="left"/>
        <w:outlineLvl w:val="3"/>
        <w:rPr>
          <w:rFonts w:ascii="Times New Roman" w:hAnsi="宋体"/>
          <w:b/>
          <w:sz w:val="28"/>
        </w:rPr>
      </w:pPr>
      <w:bookmarkStart w:id="6" w:name="_Toc66061916"/>
      <w:r>
        <w:rPr>
          <w:rFonts w:hint="eastAsia" w:ascii="方正仿宋_GBK" w:eastAsia="方正仿宋_GBK"/>
          <w:b/>
          <w:sz w:val="28"/>
        </w:rPr>
        <w:t>1.地震纪念馆维护与运行经费绩效目标表</w:t>
      </w:r>
      <w:bookmarkEnd w:id="6"/>
      <w:r>
        <w:rPr>
          <w:rFonts w:ascii="方正仿宋_GBK" w:eastAsia="方正仿宋_GBK"/>
          <w:b/>
          <w:sz w:val="28"/>
        </w:rPr>
        <w:fldChar w:fldCharType="begin"/>
      </w:r>
      <w:r>
        <w:rPr>
          <w:rFonts w:hint="eastAsia" w:ascii="方正仿宋_GBK" w:eastAsia="方正仿宋_GBK"/>
          <w:b/>
          <w:sz w:val="28"/>
        </w:rPr>
        <w:instrText xml:space="preserve">TC 1、地震纪念馆维护与运行经费绩效目标表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475"/>
        <w:gridCol w:w="13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60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130525211Q9792NFPA238</w:t>
            </w:r>
          </w:p>
        </w:tc>
        <w:tc>
          <w:tcPr>
            <w:tcW w:w="138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地震纪念馆维护与运行经费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475" w:type="dxa"/>
            <w:shd w:val="clear" w:color="auto" w:fill="auto"/>
            <w:vAlign w:val="center"/>
          </w:tcPr>
          <w:p>
            <w:pPr>
              <w:spacing w:line="300" w:lineRule="exact"/>
              <w:jc w:val="left"/>
              <w:rPr>
                <w:rFonts w:ascii="方正书宋_GBK" w:eastAsia="方正书宋_GBK"/>
              </w:rPr>
            </w:pPr>
            <w:r>
              <w:rPr>
                <w:rFonts w:ascii="方正书宋_GBK" w:eastAsia="方正书宋_GBK"/>
              </w:rPr>
              <w:t>147000.00</w:t>
            </w:r>
          </w:p>
        </w:tc>
        <w:tc>
          <w:tcPr>
            <w:tcW w:w="138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147000.00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地震纪念馆维护与运行支出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60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388"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60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388"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通过接待群众参观，弘扬抗震精神，提高抗震意识。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宣传我县经济发展取得的成就。</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接待参观人数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接待参观人数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设施完好率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纪念馆设施完好程度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bookmarkStart w:id="26" w:name="_GoBack"/>
            <w:bookmarkEnd w:id="26"/>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在计划时间内完成工作任务的程度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运行维护成本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纪念馆运行维护成本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防震减灾提高度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参观群众防震减灾意识提高度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参观群众满意度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7" w:name="_Toc66061917"/>
      <w:r>
        <w:rPr>
          <w:rFonts w:hint="eastAsia" w:ascii="方正仿宋_GBK" w:eastAsia="方正仿宋_GBK"/>
          <w:b/>
          <w:sz w:val="28"/>
        </w:rPr>
        <w:t>2.应急指挥中心运行维护费绩效目标表</w:t>
      </w:r>
      <w:bookmarkEnd w:id="7"/>
      <w:r>
        <w:rPr>
          <w:rFonts w:ascii="方正仿宋_GBK" w:eastAsia="方正仿宋_GBK"/>
          <w:b/>
          <w:sz w:val="28"/>
        </w:rPr>
        <w:fldChar w:fldCharType="begin"/>
      </w:r>
      <w:r>
        <w:rPr>
          <w:rFonts w:hint="eastAsia" w:ascii="方正仿宋_GBK" w:eastAsia="方正仿宋_GBK"/>
          <w:b/>
          <w:sz w:val="28"/>
        </w:rPr>
        <w:instrText xml:space="preserve">TC 2、应急指挥中心运行维护费绩效目标表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130525213RMIQ0PTM5A8M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13400.00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13400.00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建立统一高效的应急指挥体系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提高处置公共事件的能力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应急指挥系统数量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应急指挥系统数量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系统正常运转率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共享率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与各部门及时共享数据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1.34</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突发事件处置能力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突发事件处置能力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群众对应急工作的满意度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8" w:name="_Toc66061918"/>
      <w:r>
        <w:rPr>
          <w:rFonts w:hint="eastAsia" w:ascii="方正仿宋_GBK" w:eastAsia="方正仿宋_GBK"/>
          <w:b/>
          <w:sz w:val="28"/>
        </w:rPr>
        <w:t>3.地震应急演练及防震减灾经费绩效目标表</w:t>
      </w:r>
      <w:bookmarkEnd w:id="8"/>
      <w:r>
        <w:rPr>
          <w:rFonts w:ascii="方正仿宋_GBK" w:eastAsia="方正仿宋_GBK"/>
          <w:b/>
          <w:sz w:val="28"/>
        </w:rPr>
        <w:fldChar w:fldCharType="begin"/>
      </w:r>
      <w:r>
        <w:rPr>
          <w:rFonts w:hint="eastAsia" w:ascii="方正仿宋_GBK" w:eastAsia="方正仿宋_GBK"/>
          <w:b/>
          <w:sz w:val="28"/>
        </w:rPr>
        <w:instrText xml:space="preserve">TC 3、地震应急演练及防震减灾经费绩效目标表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13052521510UBQGEMXC72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地震应急演练及防震减灾经费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地震应急演练及防震减灾宣传支出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搞好地震应急演练及防震减灾宣传工作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提高广大群众防震减灾意识</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地震宣传次数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防震减灾宣传次数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防震减灾宣传覆盖程度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在规定的时间内完成任务的程度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防震减灾宣传成本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社会对防震减灾宣传工作的认可度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群众对防震减灾工作的满意度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9" w:name="_Toc66061919"/>
      <w:r>
        <w:rPr>
          <w:rFonts w:hint="eastAsia" w:ascii="方正仿宋_GBK" w:eastAsia="方正仿宋_GBK"/>
          <w:b/>
          <w:sz w:val="28"/>
        </w:rPr>
        <w:t>4.重大活动应急通信保障能力提升工程县级配套资金绩效目标表</w:t>
      </w:r>
      <w:bookmarkEnd w:id="9"/>
      <w:r>
        <w:rPr>
          <w:rFonts w:ascii="方正仿宋_GBK" w:eastAsia="方正仿宋_GBK"/>
          <w:b/>
          <w:sz w:val="28"/>
        </w:rPr>
        <w:fldChar w:fldCharType="begin"/>
      </w:r>
      <w:r>
        <w:rPr>
          <w:rFonts w:hint="eastAsia" w:ascii="方正仿宋_GBK" w:eastAsia="方正仿宋_GBK"/>
          <w:b/>
          <w:sz w:val="28"/>
        </w:rPr>
        <w:instrText xml:space="preserve">TC 4、重大活动应急通信保障能力提升工程县级配套资金绩效目标表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130525215OGPUPWZZ5C7D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重大活动应急通信保障能力提升工程县级配套资金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40700.00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40700.00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重大活动应急通信保障能力提升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提高现场指挥通信能力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提高综合指挥调度能力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系统更新数量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视频系统更新数量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邢应急</w:t>
            </w:r>
            <w:r>
              <w:rPr>
                <w:rFonts w:ascii="方正书宋_GBK" w:eastAsia="方正书宋_GBK"/>
              </w:rPr>
              <w:t>[2020]3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通信能力与更新前相比提升度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邢应急</w:t>
            </w:r>
            <w:r>
              <w:rPr>
                <w:rFonts w:ascii="方正书宋_GBK" w:eastAsia="方正书宋_GBK"/>
              </w:rPr>
              <w:t>[2020]3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在计划时间内完成系统更新任务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邢应急</w:t>
            </w:r>
            <w:r>
              <w:rPr>
                <w:rFonts w:ascii="方正书宋_GBK" w:eastAsia="方正书宋_GBK"/>
              </w:rPr>
              <w:t>[2020]3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综合调度能力提升度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提高综合指挥调度能力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0" w:name="_Toc66061920"/>
      <w:r>
        <w:rPr>
          <w:rFonts w:hint="eastAsia" w:ascii="方正仿宋_GBK" w:eastAsia="方正仿宋_GBK"/>
          <w:b/>
          <w:sz w:val="28"/>
        </w:rPr>
        <w:t>5.办案补助/应急管理经费绩效目标表</w:t>
      </w:r>
      <w:bookmarkEnd w:id="10"/>
      <w:r>
        <w:rPr>
          <w:rFonts w:ascii="方正仿宋_GBK" w:eastAsia="方正仿宋_GBK"/>
          <w:b/>
          <w:sz w:val="28"/>
        </w:rPr>
        <w:fldChar w:fldCharType="begin"/>
      </w:r>
      <w:r>
        <w:rPr>
          <w:rFonts w:hint="eastAsia" w:ascii="方正仿宋_GBK" w:eastAsia="方正仿宋_GBK"/>
          <w:b/>
          <w:sz w:val="28"/>
        </w:rPr>
        <w:instrText xml:space="preserve">TC 5、办案补助/应急管理经费绩效目标表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130525217R7U6CQ0A9CZT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应急管理经费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303500.00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303500.00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应急综合管理支出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做好会议组织管理、信息化管理、业务宣传、资产维修等综合管理工作。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完善机关基础建设，保障机关各项工作高效运转。</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印刷宣传材料数量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印刷宣传活动宣传单、条幅、展板等</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安全生产宣传月活动等文件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应急综合业务完成程度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各项工作任务在规定的计划时间内完成的比例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综合管理支出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应急综合管理支出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30.35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年度工作目标完成率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年度工作目标完成程度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群众对应急管理工作的满意度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1" w:name="_Toc66061921"/>
      <w:r>
        <w:rPr>
          <w:rFonts w:hint="eastAsia" w:ascii="方正仿宋_GBK" w:eastAsia="方正仿宋_GBK"/>
          <w:b/>
          <w:sz w:val="28"/>
        </w:rPr>
        <w:t>6.办案补助/安全生产监管监察经费绩效目标表</w:t>
      </w:r>
      <w:bookmarkEnd w:id="11"/>
      <w:r>
        <w:rPr>
          <w:rFonts w:ascii="方正仿宋_GBK" w:eastAsia="方正仿宋_GBK"/>
          <w:b/>
          <w:sz w:val="28"/>
        </w:rPr>
        <w:fldChar w:fldCharType="begin"/>
      </w:r>
      <w:r>
        <w:rPr>
          <w:rFonts w:hint="eastAsia" w:ascii="方正仿宋_GBK" w:eastAsia="方正仿宋_GBK"/>
          <w:b/>
          <w:sz w:val="28"/>
        </w:rPr>
        <w:instrText xml:space="preserve">TC 6、办案补助/安全生产监管监察经费绩效目标表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130525218B0CNTFN1EACX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安全生产监管监察经费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116500.00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116500.00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安全生产监管监察经费支出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对全县生产经营单位进行安全生产监督检查</w:t>
            </w:r>
            <w:r>
              <w:rPr>
                <w:rFonts w:ascii="方正书宋_GBK" w:eastAsia="方正书宋_GBK"/>
              </w:rPr>
              <w:t>,</w:t>
            </w:r>
            <w:r>
              <w:rPr>
                <w:rFonts w:hint="eastAsia" w:ascii="方正书宋_GBK" w:eastAsia="方正书宋_GBK"/>
              </w:rPr>
              <w:t>发现和消除各类安全生产隐患。</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预防和减少安全生产事故发生</w:t>
            </w:r>
            <w:r>
              <w:rPr>
                <w:rFonts w:ascii="方正书宋_GBK" w:eastAsia="方正书宋_GBK"/>
              </w:rPr>
              <w:t>,</w:t>
            </w:r>
            <w:r>
              <w:rPr>
                <w:rFonts w:hint="eastAsia" w:ascii="方正书宋_GBK" w:eastAsia="方正书宋_GBK"/>
              </w:rPr>
              <w:t>确保全县安全生产形势持续还转。</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年排查企业数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全年检查企业数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170</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县政府批复检查计划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隐患整改率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整改的隐患数占排查发现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工作任务及时完成率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各项任务在计划时间内完成的比率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安全监管工作成本费用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11.65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重特大事故发生数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重特大事故发生数为</w:t>
            </w:r>
            <w:r>
              <w:rPr>
                <w:rFonts w:ascii="方正书宋_GBK" w:eastAsia="方正书宋_GBK"/>
              </w:rPr>
              <w:t>0</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群众对安全生产工作的满意度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2" w:name="_Toc66061922"/>
      <w:r>
        <w:rPr>
          <w:rFonts w:hint="eastAsia" w:ascii="方正仿宋_GBK" w:eastAsia="方正仿宋_GBK"/>
          <w:b/>
          <w:sz w:val="28"/>
        </w:rPr>
        <w:t>7.办案补助/自支人员经费绩效目标表</w:t>
      </w:r>
      <w:bookmarkEnd w:id="12"/>
      <w:r>
        <w:rPr>
          <w:rFonts w:ascii="方正仿宋_GBK" w:eastAsia="方正仿宋_GBK"/>
          <w:b/>
          <w:sz w:val="28"/>
        </w:rPr>
        <w:fldChar w:fldCharType="begin"/>
      </w:r>
      <w:r>
        <w:rPr>
          <w:rFonts w:hint="eastAsia" w:ascii="方正仿宋_GBK" w:eastAsia="方正仿宋_GBK"/>
          <w:b/>
          <w:sz w:val="28"/>
        </w:rPr>
        <w:instrText xml:space="preserve">TC 7、办案补助/自支人员经费绩效目标表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13052521AKNUEMR7PUG3V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380000.00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自收自支及人事代理人员工资福利支出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做好人事管理工作。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保障自支人员各项工资福利落实到位。</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自支人员应发放工资人数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人员经费保障率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自支人员工资发放及社会保障缴费程度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工资表、申报表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按时发放工资、按时缴纳社会保障缴费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工资表、申报表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年实际发放工资总额占应发放工资总额的比例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职工积极性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保障工资福利激发职工积极性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调查了解</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3" w:name="_Toc66061923"/>
      <w:r>
        <w:rPr>
          <w:rFonts w:hint="eastAsia" w:ascii="方正仿宋_GBK" w:eastAsia="方正仿宋_GBK"/>
          <w:b/>
          <w:sz w:val="28"/>
        </w:rPr>
        <w:t>8.土地出让金/石膏矿退出奖补专项资金绩效目标表</w:t>
      </w:r>
      <w:bookmarkEnd w:id="13"/>
      <w:r>
        <w:rPr>
          <w:rFonts w:ascii="方正仿宋_GBK" w:eastAsia="方正仿宋_GBK"/>
          <w:b/>
          <w:sz w:val="28"/>
        </w:rPr>
        <w:fldChar w:fldCharType="begin"/>
      </w:r>
      <w:r>
        <w:rPr>
          <w:rFonts w:hint="eastAsia" w:ascii="方正仿宋_GBK" w:eastAsia="方正仿宋_GBK"/>
          <w:b/>
          <w:sz w:val="28"/>
        </w:rPr>
        <w:instrText xml:space="preserve">TC 8、土地出让金/石膏矿退出奖补专项资金绩效目标表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13052521BX2TG18I2PMPV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石膏矿退出奖补专项资金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石膏矿关闭退出县级奖补资金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确保石膏矿关闭退出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保障社会稳定</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石膏矿关闭数量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石膏矿关闭数量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家</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职工安置率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关闭石膏矿职工安置程度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奖补资金拨付完成程度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奖补资金小于等于该项目预算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通过奖补关闭石膏矿促进社会稳定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4" w:name="_Toc66061924"/>
      <w:r>
        <w:rPr>
          <w:rFonts w:hint="eastAsia" w:ascii="方正仿宋_GBK" w:eastAsia="方正仿宋_GBK"/>
          <w:b/>
          <w:sz w:val="28"/>
        </w:rPr>
        <w:t>9.防汛经费绩效目标表</w:t>
      </w:r>
      <w:bookmarkEnd w:id="14"/>
      <w:r>
        <w:rPr>
          <w:rFonts w:ascii="方正仿宋_GBK" w:eastAsia="方正仿宋_GBK"/>
          <w:b/>
          <w:sz w:val="28"/>
        </w:rPr>
        <w:fldChar w:fldCharType="begin"/>
      </w:r>
      <w:r>
        <w:rPr>
          <w:rFonts w:hint="eastAsia" w:ascii="方正仿宋_GBK" w:eastAsia="方正仿宋_GBK"/>
          <w:b/>
          <w:sz w:val="28"/>
        </w:rPr>
        <w:instrText xml:space="preserve">TC 9、防汛经费绩效目标表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13052521DD9W024PF8Q2V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31000.00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防汛抗旱综合管理及防汛指挥部运行经费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组织协调防汛抗旱工作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提高处置突发事件能力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防汛监测覆盖率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防汛预案完成率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各部门防汛预案完成程度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全年防汛任务完成程度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防汛经费支出情况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3.1</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突发事件处置率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突发事件处置能力</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群众对防汛工作的满意程度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5" w:name="_Toc66061925"/>
      <w:r>
        <w:rPr>
          <w:rFonts w:hint="eastAsia" w:ascii="方正仿宋_GBK" w:eastAsia="方正仿宋_GBK"/>
          <w:b/>
          <w:sz w:val="28"/>
        </w:rPr>
        <w:t>10.土地出让金/应急救援消防车辆购置绩效目标表</w:t>
      </w:r>
      <w:bookmarkEnd w:id="15"/>
      <w:r>
        <w:rPr>
          <w:rFonts w:ascii="方正仿宋_GBK" w:eastAsia="方正仿宋_GBK"/>
          <w:b/>
          <w:sz w:val="28"/>
        </w:rPr>
        <w:fldChar w:fldCharType="begin"/>
      </w:r>
      <w:r>
        <w:rPr>
          <w:rFonts w:hint="eastAsia" w:ascii="方正仿宋_GBK" w:eastAsia="方正仿宋_GBK"/>
          <w:b/>
          <w:sz w:val="28"/>
        </w:rPr>
        <w:instrText xml:space="preserve">TC 10、土地出让金/应急救援消防车辆购置绩效目标表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13052521EM4SA4K958WQ1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应急救援消防车辆购置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应急救援消防车辆购置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加强消防救援力量建设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提高消防应急救援能力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车辆购置数量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消防车辆购置数量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部</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车辆性能达标率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消防车辆性能达标程度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按计划时间完成任务的比例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车辆购置成本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救援能力提高率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消防救援能力与上年相比提高程度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群众对消防救援工作的满意度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6" w:name="_Toc66061926"/>
      <w:r>
        <w:rPr>
          <w:rFonts w:hint="eastAsia" w:ascii="方正仿宋_GBK" w:eastAsia="方正仿宋_GBK"/>
          <w:b/>
          <w:sz w:val="28"/>
        </w:rPr>
        <w:t>11.农房保险县级配套资金绩效目标表</w:t>
      </w:r>
      <w:bookmarkEnd w:id="16"/>
      <w:r>
        <w:rPr>
          <w:rFonts w:ascii="方正仿宋_GBK" w:eastAsia="方正仿宋_GBK"/>
          <w:b/>
          <w:sz w:val="28"/>
        </w:rPr>
        <w:fldChar w:fldCharType="begin"/>
      </w:r>
      <w:r>
        <w:rPr>
          <w:rFonts w:hint="eastAsia" w:ascii="方正仿宋_GBK" w:eastAsia="方正仿宋_GBK"/>
          <w:b/>
          <w:sz w:val="28"/>
        </w:rPr>
        <w:instrText xml:space="preserve">TC 11、农房保险县级配套资金绩效目标表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13052521K083FYTORG59T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农房保险县级配套资金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269230.00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269230.00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农村住房保险补助县级配套资金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减轻群众生活负担，增强受灾群众抵御自然灾害的能力。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化解灾害引起的政府风险，减轻财政支出压力。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县级资金补助农户农房保险保费比例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赔付率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农房因灾损失保险公司赔付补偿比例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在上期合同到期之前完成，不出现断档。</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每户补助成本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县级按每户</w:t>
            </w:r>
            <w:r>
              <w:rPr>
                <w:rFonts w:ascii="方正书宋_GBK" w:eastAsia="方正书宋_GBK"/>
              </w:rPr>
              <w:t>2</w:t>
            </w:r>
            <w:r>
              <w:rPr>
                <w:rFonts w:hint="eastAsia" w:ascii="方正书宋_GBK" w:eastAsia="方正书宋_GBK"/>
              </w:rPr>
              <w:t>元补助保费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通过受灾农房保险赔付促进社会稳定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服务对象对农房保险工作的满意度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7" w:name="_Toc66061927"/>
      <w:r>
        <w:rPr>
          <w:rFonts w:hint="eastAsia" w:ascii="方正仿宋_GBK" w:eastAsia="方正仿宋_GBK"/>
          <w:b/>
          <w:sz w:val="28"/>
        </w:rPr>
        <w:t>12.土地出让金/双碑石膏矿区塌陷区项目绩效目标表</w:t>
      </w:r>
      <w:bookmarkEnd w:id="17"/>
      <w:r>
        <w:rPr>
          <w:rFonts w:ascii="方正仿宋_GBK" w:eastAsia="方正仿宋_GBK"/>
          <w:b/>
          <w:sz w:val="28"/>
        </w:rPr>
        <w:fldChar w:fldCharType="begin"/>
      </w:r>
      <w:r>
        <w:rPr>
          <w:rFonts w:hint="eastAsia" w:ascii="方正仿宋_GBK" w:eastAsia="方正仿宋_GBK"/>
          <w:b/>
          <w:sz w:val="28"/>
        </w:rPr>
        <w:instrText xml:space="preserve">TC 12、土地出让金/双碑石膏矿区塌陷区项目绩效目标表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13052521KVLULSIX0WLKI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双碑石膏矿区塌陷区项目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双碑石膏矿区塌陷监测项目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对石膏矿区进行有效预防预警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及时采取措施把损失降到最小</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监测系统数量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塌陷监测系统数量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对塌陷区监测的范围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在规定的时间内保质保量完工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预报预警及时程度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8" w:name="_Toc66061928"/>
      <w:r>
        <w:rPr>
          <w:rFonts w:hint="eastAsia" w:ascii="方正仿宋_GBK" w:eastAsia="方正仿宋_GBK"/>
          <w:b/>
          <w:sz w:val="28"/>
        </w:rPr>
        <w:t>13.应急指挥中心建设项目绩效目标表</w:t>
      </w:r>
      <w:bookmarkEnd w:id="18"/>
      <w:r>
        <w:rPr>
          <w:rFonts w:ascii="方正仿宋_GBK" w:eastAsia="方正仿宋_GBK"/>
          <w:b/>
          <w:sz w:val="28"/>
        </w:rPr>
        <w:fldChar w:fldCharType="begin"/>
      </w:r>
      <w:r>
        <w:rPr>
          <w:rFonts w:hint="eastAsia" w:ascii="方正仿宋_GBK" w:eastAsia="方正仿宋_GBK"/>
          <w:b/>
          <w:sz w:val="28"/>
        </w:rPr>
        <w:instrText xml:space="preserve">TC 13、应急指挥中心建设项目绩效目标表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13052521LPMTMAMG0OM9R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459300.00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459300.00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应急指挥中心系统建设项目支出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提高处置公共事件能力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建立统一高效的应急指挥体系</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应急指挥系统数量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应急系统数量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指挥中心与各部门连接覆盖程度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在合同规定的时间内项目完成情况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45.93</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突发事件处置能力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突发事件处置能力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群众对应急工作的满意度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9" w:name="_Toc66061929"/>
      <w:r>
        <w:rPr>
          <w:rFonts w:hint="eastAsia" w:ascii="方正仿宋_GBK" w:eastAsia="方正仿宋_GBK"/>
          <w:b/>
          <w:sz w:val="28"/>
        </w:rPr>
        <w:t>14.防汛培训和演练费绩效目标表</w:t>
      </w:r>
      <w:bookmarkEnd w:id="19"/>
      <w:r>
        <w:rPr>
          <w:rFonts w:ascii="方正仿宋_GBK" w:eastAsia="方正仿宋_GBK"/>
          <w:b/>
          <w:sz w:val="28"/>
        </w:rPr>
        <w:fldChar w:fldCharType="begin"/>
      </w:r>
      <w:r>
        <w:rPr>
          <w:rFonts w:hint="eastAsia" w:ascii="方正仿宋_GBK" w:eastAsia="方正仿宋_GBK"/>
          <w:b/>
          <w:sz w:val="28"/>
        </w:rPr>
        <w:instrText xml:space="preserve">TC 14、防汛培训和演练费绩效目标表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13052521OG0UHYZ48XG51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防汛培训和演练费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防汛培训和演练费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通过防汛培训和演练提高防汛应急救援能力。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确保汛期人民生命财产安全。</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应急演练次数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防汛应急演练次数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县防汛抢险应急演练方案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防汛预案编制率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防汛预案实际编制占应编制的比率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防汛演练在规定时间内完成程度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县防汛应急演练预案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演练成本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防汛演练成本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县防汛应急演练预案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救援救援能力提升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发生水灾时应急救援能力达到的程度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县防汛应急演练预案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群众对防汛工作的满意程度。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0" w:name="_Toc66061930"/>
      <w:r>
        <w:rPr>
          <w:rFonts w:hint="eastAsia" w:ascii="方正仿宋_GBK" w:eastAsia="方正仿宋_GBK"/>
          <w:b/>
          <w:sz w:val="28"/>
        </w:rPr>
        <w:t>15.民兵连应急装备采购经费绩效目标表</w:t>
      </w:r>
      <w:bookmarkEnd w:id="20"/>
      <w:r>
        <w:rPr>
          <w:rFonts w:ascii="方正仿宋_GBK" w:eastAsia="方正仿宋_GBK"/>
          <w:b/>
          <w:sz w:val="28"/>
        </w:rPr>
        <w:fldChar w:fldCharType="begin"/>
      </w:r>
      <w:r>
        <w:rPr>
          <w:rFonts w:hint="eastAsia" w:ascii="方正仿宋_GBK" w:eastAsia="方正仿宋_GBK"/>
          <w:b/>
          <w:sz w:val="28"/>
        </w:rPr>
        <w:instrText xml:space="preserve">TC 15、民兵连应急装备采购经费绩效目标表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13052521PSELIQEEA1W4V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民兵连应急装备采购经费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县民兵连应急装备购置支出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加强民兵连装备建设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提高应急救援能力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采购数量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应急装备采购数量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应急装备达标率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按照工作计划及时完成任务的比例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装备采购金额</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装备保障率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应急救援装备保障程度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以及救援工作的满意程度群众对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1" w:name="_Toc66061931"/>
      <w:r>
        <w:rPr>
          <w:rFonts w:hint="eastAsia" w:ascii="方正仿宋_GBK" w:eastAsia="方正仿宋_GBK"/>
          <w:b/>
          <w:sz w:val="28"/>
        </w:rPr>
        <w:t>16.冀财建[2020]295号/省级/2021年自然灾害救助专项资金绩效目标表</w:t>
      </w:r>
      <w:bookmarkEnd w:id="21"/>
      <w:r>
        <w:rPr>
          <w:rFonts w:ascii="方正仿宋_GBK" w:eastAsia="方正仿宋_GBK"/>
          <w:b/>
          <w:sz w:val="28"/>
        </w:rPr>
        <w:fldChar w:fldCharType="begin"/>
      </w:r>
      <w:r>
        <w:rPr>
          <w:rFonts w:hint="eastAsia" w:ascii="方正仿宋_GBK" w:eastAsia="方正仿宋_GBK"/>
          <w:b/>
          <w:sz w:val="28"/>
        </w:rPr>
        <w:instrText xml:space="preserve">TC 16、冀财建[2020]295号/省级/2021年自然灾害救助专项资金绩效目标表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13052521TI9ETTFS1XNB8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[2020]295</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年自然灾害救助专项资金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530000.00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530000.00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农村住房保险补助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减轻群众生产生活负担，增强受灾群众抵御自然灾害的能力。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环境中引起的政府风险，减轻财政压力。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对农户补助比例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当年省级资金补助农户农房保险保费比例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农房保险出保赔付率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参保农房因灾损失保险公司赔付补偿比例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在上期合同到期之前完成，不出现断档。</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每户补助成本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每户按</w:t>
            </w:r>
            <w:r>
              <w:rPr>
                <w:rFonts w:ascii="方正书宋_GBK" w:eastAsia="方正书宋_GBK"/>
              </w:rPr>
              <w:t>5</w:t>
            </w:r>
            <w:r>
              <w:rPr>
                <w:rFonts w:hint="eastAsia" w:ascii="方正书宋_GBK" w:eastAsia="方正书宋_GBK"/>
              </w:rPr>
              <w:t>元补助保费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2017</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通过受灾农房保险赔付促进社会稳定水平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群众对农房保险整体工作满意度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2" w:name="_Toc66061932"/>
      <w:r>
        <w:rPr>
          <w:rFonts w:hint="eastAsia" w:ascii="方正仿宋_GBK" w:eastAsia="方正仿宋_GBK"/>
          <w:b/>
          <w:sz w:val="28"/>
        </w:rPr>
        <w:t>17.防汛物资补充和维护费绩效目标表</w:t>
      </w:r>
      <w:bookmarkEnd w:id="22"/>
      <w:r>
        <w:rPr>
          <w:rFonts w:ascii="方正仿宋_GBK" w:eastAsia="方正仿宋_GBK"/>
          <w:b/>
          <w:sz w:val="28"/>
        </w:rPr>
        <w:fldChar w:fldCharType="begin"/>
      </w:r>
      <w:r>
        <w:rPr>
          <w:rFonts w:hint="eastAsia" w:ascii="方正仿宋_GBK" w:eastAsia="方正仿宋_GBK"/>
          <w:b/>
          <w:sz w:val="28"/>
        </w:rPr>
        <w:instrText xml:space="preserve">TC 17、防汛物资补充和维护费绩效目标表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13052521WC9WPZPDZIP9O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防汛物资补充和维护费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146800.00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146800.00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防汛物资设备购置及维修维护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保障防汛抢险物资足额储备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减少自然灾害造成的损失</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物资储备量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物资储备数量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&gt;100</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合格的物资设备占总量的比例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在规定的时间内完成任务的比例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防汛物资采购执行成本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14.68</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防汛物资满足防汛抢险需要的程度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群众对防汛抢险工作的满意程度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3" w:name="_Toc66061933"/>
      <w:r>
        <w:rPr>
          <w:rFonts w:hint="eastAsia" w:ascii="方正仿宋_GBK" w:eastAsia="方正仿宋_GBK"/>
          <w:b/>
          <w:sz w:val="28"/>
        </w:rPr>
        <w:t>18.地震预报与群测群防绩效目标表</w:t>
      </w:r>
      <w:bookmarkEnd w:id="23"/>
      <w:r>
        <w:rPr>
          <w:rFonts w:ascii="方正仿宋_GBK" w:eastAsia="方正仿宋_GBK"/>
          <w:b/>
          <w:sz w:val="28"/>
        </w:rPr>
        <w:fldChar w:fldCharType="begin"/>
      </w:r>
      <w:r>
        <w:rPr>
          <w:rFonts w:hint="eastAsia" w:ascii="方正仿宋_GBK" w:eastAsia="方正仿宋_GBK"/>
          <w:b/>
          <w:sz w:val="28"/>
        </w:rPr>
        <w:instrText xml:space="preserve">TC 18、地震预报与群测群防绩效目标表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13052521Z3NQ7T5FK4MLI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地震预报与群测群防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30600.00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30600.00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地震观测员劳务费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做好地震群测群防工作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及时分析观测数据及时上报</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地震观测点数量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地震观测点数量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观测覆盖率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地震观测覆盖范围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在规定的时间内及时完成数据观测并及时上报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人均工资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地震观测员月人均工资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地震预报预测准确程度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群众对地震预报预测工作的满意程度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rPr>
          <w:rFonts w:ascii="仿宋_GB2312" w:hAnsi="仿宋_GB2312" w:eastAsia="仿宋_GB2312" w:cs="仿宋_GB2312"/>
          <w:sz w:val="32"/>
          <w:szCs w:val="32"/>
        </w:rPr>
      </w:pPr>
      <w:bookmarkStart w:id="24" w:name="_Toc471398468"/>
      <w:r>
        <w:rPr>
          <w:rFonts w:hint="eastAsia" w:ascii="仿宋_GB2312" w:hAnsi="仿宋_GB2312" w:eastAsia="仿宋_GB2312" w:cs="仿宋_GB2312"/>
          <w:sz w:val="32"/>
          <w:szCs w:val="32"/>
        </w:rPr>
        <w:t>2021年，我局安排政府采购预算5072100元。具体内容见下表。</w:t>
      </w:r>
      <w:bookmarkEnd w:id="24"/>
    </w:p>
    <w:p>
      <w:pPr>
        <w:jc w:val="center"/>
        <w:outlineLvl w:val="1"/>
        <w:rPr>
          <w:rFonts w:ascii="Times New Roman" w:hAnsi="宋体"/>
          <w:sz w:val="32"/>
        </w:rPr>
      </w:pPr>
      <w:bookmarkStart w:id="25" w:name="_Toc66027080"/>
      <w:r>
        <w:rPr>
          <w:rFonts w:hint="eastAsia" w:ascii="方正小标宋_GBK" w:eastAsia="方正小标宋_GBK"/>
          <w:sz w:val="32"/>
        </w:rPr>
        <w:t>部门政府采购预算</w:t>
      </w:r>
      <w:bookmarkEnd w:id="25"/>
    </w:p>
    <w:tbl>
      <w:tblPr>
        <w:tblStyle w:val="8"/>
        <w:tblW w:w="152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561"/>
        <w:gridCol w:w="1417"/>
        <w:gridCol w:w="1410"/>
        <w:gridCol w:w="1276"/>
        <w:gridCol w:w="1417"/>
        <w:gridCol w:w="851"/>
        <w:gridCol w:w="708"/>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867"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426</w:t>
            </w:r>
            <w:r>
              <w:rPr>
                <w:rFonts w:hint="eastAsia" w:ascii="方正小标宋_GBK" w:eastAsia="方正小标宋_GBK"/>
                <w:sz w:val="24"/>
              </w:rPr>
              <w:t>隆尧县应急管理局</w:t>
            </w:r>
          </w:p>
        </w:tc>
        <w:tc>
          <w:tcPr>
            <w:tcW w:w="637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计量单位</w:t>
            </w:r>
          </w:p>
        </w:tc>
        <w:tc>
          <w:tcPr>
            <w:tcW w:w="5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371"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561" w:type="dxa"/>
            <w:vMerge w:val="continue"/>
            <w:shd w:val="clear" w:color="auto" w:fill="auto"/>
            <w:vAlign w:val="center"/>
          </w:tcPr>
          <w:p>
            <w:pPr>
              <w:spacing w:line="300" w:lineRule="exact"/>
              <w:jc w:val="left"/>
              <w:outlineLvl w:val="1"/>
              <w:rPr>
                <w:rFonts w:ascii="Times New Roman" w:eastAsia="方正仿宋_GBK"/>
                <w:sz w:val="28"/>
              </w:rPr>
            </w:pPr>
          </w:p>
        </w:tc>
        <w:tc>
          <w:tcPr>
            <w:tcW w:w="1417" w:type="dxa"/>
            <w:vMerge w:val="continue"/>
            <w:shd w:val="clear" w:color="auto" w:fill="auto"/>
            <w:vAlign w:val="center"/>
          </w:tcPr>
          <w:p>
            <w:pPr>
              <w:spacing w:line="300" w:lineRule="exact"/>
              <w:jc w:val="left"/>
              <w:outlineLvl w:val="1"/>
              <w:rPr>
                <w:rFonts w:ascii="Times New Roman" w:eastAsia="方正仿宋_GBK"/>
                <w:sz w:val="28"/>
              </w:rPr>
            </w:pPr>
          </w:p>
        </w:tc>
        <w:tc>
          <w:tcPr>
            <w:tcW w:w="14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8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70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561"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right"/>
              <w:rPr>
                <w:rFonts w:ascii="方正书宋_GBK" w:eastAsia="方正书宋_GBK"/>
                <w:b/>
              </w:rPr>
            </w:pPr>
          </w:p>
        </w:tc>
        <w:tc>
          <w:tcPr>
            <w:tcW w:w="1410" w:type="dxa"/>
            <w:shd w:val="clear" w:color="auto" w:fill="auto"/>
            <w:vAlign w:val="center"/>
          </w:tcPr>
          <w:p>
            <w:pPr>
              <w:spacing w:line="300" w:lineRule="exact"/>
              <w:jc w:val="right"/>
              <w:rPr>
                <w:rFonts w:ascii="方正书宋_GBK" w:eastAsia="方正书宋_GBK"/>
                <w:b/>
              </w:rPr>
            </w:pPr>
            <w:r>
              <w:rPr>
                <w:rFonts w:ascii="方正书宋_GBK" w:eastAsia="方正书宋_GBK"/>
                <w:b/>
              </w:rPr>
              <w:t>5072100.00</w:t>
            </w:r>
          </w:p>
        </w:tc>
        <w:tc>
          <w:tcPr>
            <w:tcW w:w="1276" w:type="dxa"/>
            <w:shd w:val="clear" w:color="auto" w:fill="auto"/>
            <w:vAlign w:val="center"/>
          </w:tcPr>
          <w:p>
            <w:pPr>
              <w:spacing w:line="300" w:lineRule="exact"/>
              <w:jc w:val="right"/>
              <w:rPr>
                <w:rFonts w:ascii="方正书宋_GBK" w:eastAsia="方正书宋_GBK"/>
                <w:b/>
              </w:rPr>
            </w:pPr>
            <w:r>
              <w:rPr>
                <w:rFonts w:ascii="方正书宋_GBK" w:eastAsia="方正书宋_GBK"/>
                <w:b/>
              </w:rPr>
              <w:t>72100.00</w:t>
            </w:r>
          </w:p>
        </w:tc>
        <w:tc>
          <w:tcPr>
            <w:tcW w:w="1417" w:type="dxa"/>
            <w:shd w:val="clear" w:color="auto" w:fill="auto"/>
            <w:vAlign w:val="center"/>
          </w:tcPr>
          <w:p>
            <w:pPr>
              <w:spacing w:line="300" w:lineRule="exact"/>
              <w:jc w:val="right"/>
              <w:rPr>
                <w:rFonts w:ascii="方正书宋_GBK" w:eastAsia="方正书宋_GBK"/>
                <w:b/>
              </w:rPr>
            </w:pPr>
            <w:r>
              <w:rPr>
                <w:rFonts w:ascii="方正书宋_GBK" w:eastAsia="方正书宋_GBK"/>
                <w:b/>
              </w:rPr>
              <w:t>5000000.00</w:t>
            </w:r>
          </w:p>
        </w:tc>
        <w:tc>
          <w:tcPr>
            <w:tcW w:w="851" w:type="dxa"/>
            <w:shd w:val="clear" w:color="auto" w:fill="auto"/>
            <w:vAlign w:val="center"/>
          </w:tcPr>
          <w:p>
            <w:pPr>
              <w:spacing w:line="300" w:lineRule="exact"/>
              <w:jc w:val="right"/>
              <w:rPr>
                <w:rFonts w:ascii="方正书宋_GBK" w:eastAsia="方正书宋_GBK"/>
                <w:b/>
              </w:rPr>
            </w:pPr>
          </w:p>
        </w:tc>
        <w:tc>
          <w:tcPr>
            <w:tcW w:w="708"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隆尧县应急管理局本级小计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561"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right"/>
              <w:rPr>
                <w:rFonts w:ascii="方正书宋_GBK" w:eastAsia="方正书宋_GBK"/>
                <w:b/>
              </w:rPr>
            </w:pPr>
          </w:p>
        </w:tc>
        <w:tc>
          <w:tcPr>
            <w:tcW w:w="1410" w:type="dxa"/>
            <w:shd w:val="clear" w:color="auto" w:fill="auto"/>
            <w:vAlign w:val="center"/>
          </w:tcPr>
          <w:p>
            <w:pPr>
              <w:spacing w:line="300" w:lineRule="exact"/>
              <w:jc w:val="right"/>
              <w:rPr>
                <w:rFonts w:ascii="方正书宋_GBK" w:eastAsia="方正书宋_GBK"/>
                <w:b/>
              </w:rPr>
            </w:pPr>
            <w:r>
              <w:rPr>
                <w:rFonts w:ascii="方正书宋_GBK" w:eastAsia="方正书宋_GBK"/>
                <w:b/>
              </w:rPr>
              <w:t>5072100.00</w:t>
            </w:r>
          </w:p>
        </w:tc>
        <w:tc>
          <w:tcPr>
            <w:tcW w:w="1276" w:type="dxa"/>
            <w:shd w:val="clear" w:color="auto" w:fill="auto"/>
            <w:vAlign w:val="center"/>
          </w:tcPr>
          <w:p>
            <w:pPr>
              <w:spacing w:line="300" w:lineRule="exact"/>
              <w:jc w:val="right"/>
              <w:rPr>
                <w:rFonts w:ascii="方正书宋_GBK" w:eastAsia="方正书宋_GBK"/>
                <w:b/>
              </w:rPr>
            </w:pPr>
            <w:r>
              <w:rPr>
                <w:rFonts w:ascii="方正书宋_GBK" w:eastAsia="方正书宋_GBK"/>
                <w:b/>
              </w:rPr>
              <w:t>72100.00</w:t>
            </w:r>
          </w:p>
        </w:tc>
        <w:tc>
          <w:tcPr>
            <w:tcW w:w="1417" w:type="dxa"/>
            <w:shd w:val="clear" w:color="auto" w:fill="auto"/>
            <w:vAlign w:val="center"/>
          </w:tcPr>
          <w:p>
            <w:pPr>
              <w:spacing w:line="300" w:lineRule="exact"/>
              <w:jc w:val="right"/>
              <w:rPr>
                <w:rFonts w:ascii="方正书宋_GBK" w:eastAsia="方正书宋_GBK"/>
                <w:b/>
              </w:rPr>
            </w:pPr>
            <w:r>
              <w:rPr>
                <w:rFonts w:ascii="方正书宋_GBK" w:eastAsia="方正书宋_GBK"/>
                <w:b/>
              </w:rPr>
              <w:t>5000000.00</w:t>
            </w:r>
          </w:p>
        </w:tc>
        <w:tc>
          <w:tcPr>
            <w:tcW w:w="851" w:type="dxa"/>
            <w:shd w:val="clear" w:color="auto" w:fill="auto"/>
            <w:vAlign w:val="center"/>
          </w:tcPr>
          <w:p>
            <w:pPr>
              <w:spacing w:line="300" w:lineRule="exact"/>
              <w:jc w:val="right"/>
              <w:rPr>
                <w:rFonts w:ascii="方正书宋_GBK" w:eastAsia="方正书宋_GBK"/>
                <w:b/>
              </w:rPr>
            </w:pPr>
          </w:p>
        </w:tc>
        <w:tc>
          <w:tcPr>
            <w:tcW w:w="708"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安全生产监管监察经费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116500.00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喷墨打印机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A0201060101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3000.00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应急管理经费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303500.00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4400.00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8800.00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8800.00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应急管理经费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303500.00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喷墨打印机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A0201060101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应急管理经费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303500.00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3</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6000.00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6000.00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应急管理经费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303500.00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木制台、桌类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张</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4</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500.00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应急管理经费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303500.00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金属骨架为主的椅凳类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A060301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把</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4</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300.00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1200.00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1200.00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地震应急演练及防震减灾经费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便携式计算机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4600.00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4600.00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4600.00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应急救援消防车辆购置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消防车</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A02030708</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部</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276"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应急指挥中心建设项目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459300.00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3800.00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7600.00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7600.00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应急指挥中心建设项目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459300.00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1500.00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1500.00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1500.00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应急指挥中心建设项目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459300.00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木制台、桌类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套</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5200.00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5200.00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5200.00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应急指挥中心建设项目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459300.00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木制台、桌类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张</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350.00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1750.00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1750.00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应急指挥中心建设项目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459300.00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金属骨架为主的椅凳类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A060301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把</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47</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350.00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16450.00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16450.00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480" w:firstLineChars="15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隆尧县应急管理局2020年末固定资产金额为3063100元（详见下表），本年度各单位（股室）拟购置固定资产总额为5072100元，主要为计算机、打印机、空调、办公家具、应急救援消防车辆等，已列入政府采购预算，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隆尧县应急管理局固定资产占用情况表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编制部门：隆尧县应急管理局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w:t>
            </w:r>
            <w:r>
              <w:rPr>
                <w:rFonts w:hint="eastAsia" w:ascii="Times New Roman" w:hAnsi="Times New Roman" w:eastAsia="仿宋" w:cs="Times New Roman"/>
                <w:kern w:val="0"/>
                <w:sz w:val="22"/>
              </w:rPr>
              <w:t>20年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3063100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1474</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2268600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153900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794500</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1、一般公共预算拨款收入：指县级财政当年拨付的资金。</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2、事业收入：指事业单位开展专业业务活动及辅助活动所取得的收入。</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3、其他收入：指除“一般公共预算拨款收入”、“事业收入”等以外的收入。主要是按规定动用的租房收入、存款利息收入等。</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4、基本支出：指为保障机构正常运转、完成日常工作任务而发生的人员支出和公用支出。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5、项目支出：指在基本支出之外为完成特定行政任务和事业发展目标所发生的支出。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6、上缴上级支出：指下级单位上缴上级的支出。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9、上年结转：指以前年度尚未完成、结转到本年仍按原规定用途继续使用的资金。</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10、事业单位经营支出：指事业单位在专业业务活动及其辅助活动之外开展非独立核算经营活动发生的支出。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我部门无其他需要说明的事项。</w:t>
      </w:r>
    </w:p>
    <w:sectPr>
      <w:headerReference r:id="rId3" w:type="default"/>
      <w:pgSz w:w="16838" w:h="11906" w:orient="landscape"/>
      <w:pgMar w:top="1800" w:right="1440" w:bottom="1800" w:left="1440"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方正小标宋_GBK">
    <w:panose1 w:val="03000509000000000000"/>
    <w:charset w:val="86"/>
    <w:family w:val="roma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E3MjFmZDlhMGU4OWQ4ZWYyMDkxMDMzMDVkNjg3NDEifQ=="/>
  </w:docVars>
  <w:rsids>
    <w:rsidRoot w:val="00C67CC4"/>
    <w:rsid w:val="0000235E"/>
    <w:rsid w:val="000024C6"/>
    <w:rsid w:val="00003B61"/>
    <w:rsid w:val="000237C0"/>
    <w:rsid w:val="0002553B"/>
    <w:rsid w:val="00026EA9"/>
    <w:rsid w:val="00037C62"/>
    <w:rsid w:val="00065AFD"/>
    <w:rsid w:val="00076285"/>
    <w:rsid w:val="000A5B92"/>
    <w:rsid w:val="000B751B"/>
    <w:rsid w:val="000D218A"/>
    <w:rsid w:val="000D2336"/>
    <w:rsid w:val="000F43BD"/>
    <w:rsid w:val="00114C90"/>
    <w:rsid w:val="00117162"/>
    <w:rsid w:val="00122215"/>
    <w:rsid w:val="00131480"/>
    <w:rsid w:val="001416E0"/>
    <w:rsid w:val="00142553"/>
    <w:rsid w:val="00143448"/>
    <w:rsid w:val="001455F9"/>
    <w:rsid w:val="001B4FD7"/>
    <w:rsid w:val="001D313A"/>
    <w:rsid w:val="002101A9"/>
    <w:rsid w:val="00237E04"/>
    <w:rsid w:val="002C7294"/>
    <w:rsid w:val="002D07DF"/>
    <w:rsid w:val="002D6F7E"/>
    <w:rsid w:val="002E460B"/>
    <w:rsid w:val="002E687C"/>
    <w:rsid w:val="0033122D"/>
    <w:rsid w:val="00363756"/>
    <w:rsid w:val="00365F8C"/>
    <w:rsid w:val="003933F8"/>
    <w:rsid w:val="00394170"/>
    <w:rsid w:val="003A6351"/>
    <w:rsid w:val="003D757C"/>
    <w:rsid w:val="003F04D3"/>
    <w:rsid w:val="003F4292"/>
    <w:rsid w:val="00431DFC"/>
    <w:rsid w:val="00435FFC"/>
    <w:rsid w:val="0045561D"/>
    <w:rsid w:val="004560AF"/>
    <w:rsid w:val="0046545D"/>
    <w:rsid w:val="0047632F"/>
    <w:rsid w:val="00482E33"/>
    <w:rsid w:val="004A0021"/>
    <w:rsid w:val="004D25B1"/>
    <w:rsid w:val="00507722"/>
    <w:rsid w:val="0051662F"/>
    <w:rsid w:val="00534D52"/>
    <w:rsid w:val="00566735"/>
    <w:rsid w:val="00571656"/>
    <w:rsid w:val="00583834"/>
    <w:rsid w:val="00594BC9"/>
    <w:rsid w:val="005A1184"/>
    <w:rsid w:val="005D55CA"/>
    <w:rsid w:val="00637175"/>
    <w:rsid w:val="00652068"/>
    <w:rsid w:val="0066178A"/>
    <w:rsid w:val="0067296A"/>
    <w:rsid w:val="006836CB"/>
    <w:rsid w:val="00697B42"/>
    <w:rsid w:val="006A1A47"/>
    <w:rsid w:val="006A3548"/>
    <w:rsid w:val="006B7C47"/>
    <w:rsid w:val="006C36CF"/>
    <w:rsid w:val="00723F0A"/>
    <w:rsid w:val="00724BC8"/>
    <w:rsid w:val="007276E4"/>
    <w:rsid w:val="00746B7B"/>
    <w:rsid w:val="00747B8D"/>
    <w:rsid w:val="00785B1A"/>
    <w:rsid w:val="00790A59"/>
    <w:rsid w:val="007941F0"/>
    <w:rsid w:val="007E41F0"/>
    <w:rsid w:val="007E43BF"/>
    <w:rsid w:val="007F1828"/>
    <w:rsid w:val="0080265B"/>
    <w:rsid w:val="008536B0"/>
    <w:rsid w:val="00862301"/>
    <w:rsid w:val="008637CC"/>
    <w:rsid w:val="00883AA6"/>
    <w:rsid w:val="00886415"/>
    <w:rsid w:val="00890FB1"/>
    <w:rsid w:val="008F7010"/>
    <w:rsid w:val="00900A9D"/>
    <w:rsid w:val="00946904"/>
    <w:rsid w:val="00951254"/>
    <w:rsid w:val="009604F3"/>
    <w:rsid w:val="00974A7C"/>
    <w:rsid w:val="009830BE"/>
    <w:rsid w:val="00994642"/>
    <w:rsid w:val="009A1A54"/>
    <w:rsid w:val="009B142C"/>
    <w:rsid w:val="009D14F5"/>
    <w:rsid w:val="009D5672"/>
    <w:rsid w:val="00A0429E"/>
    <w:rsid w:val="00A113DF"/>
    <w:rsid w:val="00A431D3"/>
    <w:rsid w:val="00A5050A"/>
    <w:rsid w:val="00A70018"/>
    <w:rsid w:val="00AB2FB4"/>
    <w:rsid w:val="00AE145F"/>
    <w:rsid w:val="00AF2091"/>
    <w:rsid w:val="00B02419"/>
    <w:rsid w:val="00B50C4C"/>
    <w:rsid w:val="00B761FD"/>
    <w:rsid w:val="00B82D4E"/>
    <w:rsid w:val="00BA2404"/>
    <w:rsid w:val="00BA25FE"/>
    <w:rsid w:val="00BB1112"/>
    <w:rsid w:val="00BF2EC7"/>
    <w:rsid w:val="00C02741"/>
    <w:rsid w:val="00C24709"/>
    <w:rsid w:val="00C24C46"/>
    <w:rsid w:val="00C33CBB"/>
    <w:rsid w:val="00C40AA4"/>
    <w:rsid w:val="00C65DF3"/>
    <w:rsid w:val="00C67CC4"/>
    <w:rsid w:val="00C71709"/>
    <w:rsid w:val="00C771A6"/>
    <w:rsid w:val="00CA605B"/>
    <w:rsid w:val="00CE2151"/>
    <w:rsid w:val="00CE2502"/>
    <w:rsid w:val="00CE6C73"/>
    <w:rsid w:val="00CF16E0"/>
    <w:rsid w:val="00CF453B"/>
    <w:rsid w:val="00D11086"/>
    <w:rsid w:val="00D50950"/>
    <w:rsid w:val="00D62397"/>
    <w:rsid w:val="00D65808"/>
    <w:rsid w:val="00D73BAF"/>
    <w:rsid w:val="00DA4619"/>
    <w:rsid w:val="00DB0279"/>
    <w:rsid w:val="00DD38EB"/>
    <w:rsid w:val="00E4257B"/>
    <w:rsid w:val="00E87E2E"/>
    <w:rsid w:val="00EA710D"/>
    <w:rsid w:val="00EB2375"/>
    <w:rsid w:val="00EB77D5"/>
    <w:rsid w:val="00EC3709"/>
    <w:rsid w:val="00ED41AB"/>
    <w:rsid w:val="00F01C88"/>
    <w:rsid w:val="00F05DB5"/>
    <w:rsid w:val="00F156EA"/>
    <w:rsid w:val="00F36511"/>
    <w:rsid w:val="00F64DB5"/>
    <w:rsid w:val="00F73D27"/>
    <w:rsid w:val="00FA024A"/>
    <w:rsid w:val="00FD1A67"/>
    <w:rsid w:val="00FE094F"/>
    <w:rsid w:val="02D17B65"/>
    <w:rsid w:val="19F22F11"/>
    <w:rsid w:val="1E5E4D54"/>
    <w:rsid w:val="2D070424"/>
    <w:rsid w:val="553203D2"/>
    <w:rsid w:val="58DA013F"/>
    <w:rsid w:val="6D210E31"/>
    <w:rsid w:val="73B60F9B"/>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39" w:semiHidden="0" w:name="toc 2"/>
    <w:lsdException w:unhideWhenUsed="0" w:uiPriority="0" w:semiHidden="0" w:name="toc 3" w:locked="1"/>
    <w:lsdException w:qFormat="1" w:uiPriority="39"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5"/>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toc 4"/>
    <w:basedOn w:val="1"/>
    <w:next w:val="1"/>
    <w:unhideWhenUsed/>
    <w:qFormat/>
    <w:locked/>
    <w:uiPriority w:val="39"/>
    <w:pPr>
      <w:ind w:left="1260" w:leftChars="600"/>
    </w:pPr>
    <w:rPr>
      <w:rFonts w:cs="Times New Roman"/>
    </w:rPr>
  </w:style>
  <w:style w:type="paragraph" w:styleId="6">
    <w:name w:val="footnote text"/>
    <w:basedOn w:val="1"/>
    <w:link w:val="18"/>
    <w:qFormat/>
    <w:uiPriority w:val="99"/>
    <w:pPr>
      <w:snapToGrid w:val="0"/>
      <w:jc w:val="left"/>
    </w:pPr>
    <w:rPr>
      <w:sz w:val="18"/>
      <w:szCs w:val="18"/>
    </w:rPr>
  </w:style>
  <w:style w:type="paragraph" w:styleId="7">
    <w:name w:val="toc 2"/>
    <w:basedOn w:val="1"/>
    <w:next w:val="1"/>
    <w:qFormat/>
    <w:uiPriority w:val="39"/>
    <w:pPr>
      <w:ind w:left="420" w:leftChars="200"/>
    </w:pPr>
    <w:rPr>
      <w:rFonts w:ascii="Times New Roman" w:hAnsi="Times New Roman" w:cs="Times New Roman"/>
      <w:szCs w:val="24"/>
    </w:rPr>
  </w:style>
  <w:style w:type="table" w:styleId="9">
    <w:name w:val="Table Grid"/>
    <w:basedOn w:val="8"/>
    <w:qFormat/>
    <w:locked/>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semiHidden/>
    <w:unhideWhenUsed/>
    <w:qFormat/>
    <w:uiPriority w:val="99"/>
  </w:style>
  <w:style w:type="character" w:styleId="12">
    <w:name w:val="Hyperlink"/>
    <w:basedOn w:val="10"/>
    <w:unhideWhenUsed/>
    <w:qFormat/>
    <w:uiPriority w:val="99"/>
    <w:rPr>
      <w:color w:val="0000FF"/>
      <w:u w:val="single"/>
    </w:rPr>
  </w:style>
  <w:style w:type="character" w:styleId="13">
    <w:name w:val="footnote reference"/>
    <w:basedOn w:val="10"/>
    <w:qFormat/>
    <w:uiPriority w:val="99"/>
    <w:rPr>
      <w:rFonts w:cs="Times New Roman"/>
      <w:vertAlign w:val="superscript"/>
    </w:rPr>
  </w:style>
  <w:style w:type="character" w:customStyle="1" w:styleId="14">
    <w:name w:val="页脚 Char"/>
    <w:basedOn w:val="10"/>
    <w:link w:val="2"/>
    <w:semiHidden/>
    <w:qFormat/>
    <w:locked/>
    <w:uiPriority w:val="99"/>
    <w:rPr>
      <w:rFonts w:ascii="Times New Roman" w:hAnsi="Times New Roman" w:eastAsia="宋体" w:cs="Times New Roman"/>
      <w:sz w:val="18"/>
    </w:rPr>
  </w:style>
  <w:style w:type="character" w:customStyle="1" w:styleId="15">
    <w:name w:val="页眉 Char"/>
    <w:basedOn w:val="10"/>
    <w:link w:val="3"/>
    <w:semiHidden/>
    <w:qFormat/>
    <w:locked/>
    <w:uiPriority w:val="99"/>
    <w:rPr>
      <w:rFonts w:ascii="Times New Roman" w:hAnsi="Times New Roman" w:eastAsia="宋体" w:cs="Times New Roman"/>
      <w:sz w:val="18"/>
    </w:rPr>
  </w:style>
  <w:style w:type="character" w:customStyle="1" w:styleId="16">
    <w:name w:val="Footnote Text Char"/>
    <w:basedOn w:val="10"/>
    <w:link w:val="6"/>
    <w:semiHidden/>
    <w:qFormat/>
    <w:locked/>
    <w:uiPriority w:val="99"/>
    <w:rPr>
      <w:rFonts w:ascii="Calibri" w:hAnsi="Calibri" w:cs="黑体"/>
      <w:sz w:val="18"/>
      <w:szCs w:val="18"/>
    </w:rPr>
  </w:style>
  <w:style w:type="paragraph" w:customStyle="1" w:styleId="17">
    <w:name w:val="Char"/>
    <w:basedOn w:val="1"/>
    <w:qFormat/>
    <w:uiPriority w:val="99"/>
    <w:rPr>
      <w:rFonts w:ascii="Times New Roman" w:hAnsi="Times New Roman" w:cs="Times New Roman"/>
      <w:szCs w:val="24"/>
    </w:rPr>
  </w:style>
  <w:style w:type="character" w:customStyle="1" w:styleId="18">
    <w:name w:val="脚注文本 Char"/>
    <w:basedOn w:val="10"/>
    <w:link w:val="6"/>
    <w:semiHidden/>
    <w:qFormat/>
    <w:locked/>
    <w:uiPriority w:val="99"/>
    <w:rPr>
      <w:rFonts w:ascii="Calibri" w:hAnsi="Calibri" w:eastAsia="宋体" w:cs="黑体"/>
      <w:kern w:val="2"/>
      <w:sz w:val="18"/>
      <w:szCs w:val="18"/>
      <w:lang w:val="en-US" w:eastAsia="zh-CN" w:bidi="ar-SA"/>
    </w:rPr>
  </w:style>
  <w:style w:type="paragraph" w:customStyle="1" w:styleId="19">
    <w:name w:val="[Normal]"/>
    <w:qFormat/>
    <w:uiPriority w:val="0"/>
    <w:rPr>
      <w:rFonts w:ascii="宋体" w:hAnsi="宋体" w:eastAsia="宋体" w:cs="Times New Roman"/>
      <w:sz w:val="24"/>
      <w:lang w:val="en-U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F43D09-759F-4AB0-9303-C6E58F74DB00}">
  <ds:schemaRefs/>
</ds:datastoreItem>
</file>

<file path=docProps/app.xml><?xml version="1.0" encoding="utf-8"?>
<Properties xmlns="http://schemas.openxmlformats.org/officeDocument/2006/extended-properties" xmlns:vt="http://schemas.openxmlformats.org/officeDocument/2006/docPropsVTypes">
  <Template>Normal</Template>
  <Pages>32</Pages>
  <Words>2607</Words>
  <Characters>14860</Characters>
  <Lines>123</Lines>
  <Paragraphs>34</Paragraphs>
  <TotalTime>1</TotalTime>
  <ScaleCrop>false</ScaleCrop>
  <LinksUpToDate>false</LinksUpToDate>
  <CharactersWithSpaces>17433</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志强</cp:lastModifiedBy>
  <cp:lastPrinted>2017-02-10T09:57:00Z</cp:lastPrinted>
  <dcterms:modified xsi:type="dcterms:W3CDTF">2024-01-31T01:36:44Z</dcterms:modified>
  <cp:revision>55</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481DEC29E56D4724AFF8F3A4D9E1ED5D_12</vt:lpwstr>
  </property>
</Properties>
</file>