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line="540" w:lineRule="exact"/>
        <w:jc w:val="center"/>
        <w:rPr>
          <w:rFonts w:ascii="方正小标宋简体" w:eastAsia="方正小标宋简体" w:hAnsi="宋体"/>
          <w:sz w:val="44"/>
          <w:szCs w:val="44"/>
        </w:rPr>
      </w:pPr>
      <w:bookmarkStart w:id="0" w:name="_GoBack"/>
      <w:r>
        <w:rPr>
          <w:rFonts w:ascii="方正小标宋简体" w:eastAsia="方正小标宋简体" w:cs="仿宋_GB2312" w:hAnsi="宋体" w:hint="eastAsia"/>
          <w:sz w:val="44"/>
          <w:szCs w:val="44"/>
        </w:rPr>
        <w:t>魏家庄镇</w:t>
      </w:r>
      <w:r>
        <w:rPr>
          <w:rFonts w:ascii="方正小标宋简体" w:eastAsia="方正小标宋简体" w:hAnsi="宋体" w:hint="eastAsia"/>
          <w:sz w:val="44"/>
          <w:szCs w:val="44"/>
        </w:rPr>
        <w:t>2023年政府信息公开工作年度报告</w:t>
      </w:r>
    </w:p>
    <w:p>
      <w:pPr>
        <w:pStyle w:val="17"/>
        <w:widowControl/>
        <w:spacing w:beforeAutospacing="0" w:afterAutospacing="0" w:line="540" w:lineRule="exact"/>
        <w:ind w:firstLine="420"/>
        <w:jc w:val="both"/>
        <w:rPr>
          <w:rFonts w:ascii="宋体" w:eastAsia="宋体" w:cs="宋体" w:hAnsi="宋体"/>
        </w:rPr>
      </w:pPr>
    </w:p>
    <w:p>
      <w:pPr>
        <w:adjustRightInd w:val="0"/>
        <w:spacing w:line="540" w:lineRule="exact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根据《中华人民共和国政府信息公开条例》《河北省实施〈中华人民共和国政府信息公开条例〉办法》等规定，发布本年度报告。报告中所列数据统计期限为2023年1月1日至12月31日。</w:t>
      </w:r>
    </w:p>
    <w:p>
      <w:pPr>
        <w:spacing w:line="540" w:lineRule="exact"/>
        <w:ind w:firstLineChars="200" w:firstLine="640"/>
        <w:rPr>
          <w:rFonts w:ascii="黑体" w:eastAsia="黑体" w:cs="黑体" w:hAnsi="黑体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一、总体情况</w:t>
      </w:r>
    </w:p>
    <w:p>
      <w:pPr>
        <w:adjustRightInd w:val="0"/>
        <w:spacing w:line="540" w:lineRule="exact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2023年，魏家庄镇</w:t>
      </w:r>
      <w:r>
        <w:rPr>
          <w:rFonts w:ascii="仿宋_GB2312" w:eastAsia="仿宋_GB2312" w:hint="eastAsia"/>
          <w:color w:val="000000"/>
          <w:sz w:val="32"/>
          <w:szCs w:val="32"/>
        </w:rPr>
        <w:t>紧紧围绕县委、县政府中心工作，着力提升全镇政务公开工作水平</w:t>
      </w:r>
      <w:r>
        <w:rPr>
          <w:rFonts w:ascii="Times New Roman" w:eastAsia="仿宋_GB2312" w:hAnsi="Times New Roman" w:hint="eastAsia"/>
          <w:sz w:val="32"/>
          <w:szCs w:val="32"/>
        </w:rPr>
        <w:t>，</w:t>
      </w:r>
      <w:r>
        <w:rPr>
          <w:rFonts w:ascii="仿宋_GB2312" w:eastAsia="仿宋_GB2312" w:hint="eastAsia"/>
          <w:color w:val="000000"/>
          <w:sz w:val="32"/>
          <w:szCs w:val="32"/>
        </w:rPr>
        <w:t>助力隆尧高质量发展。</w:t>
      </w:r>
    </w:p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（一）主动公开。我镇通过政府网站主动公开信息56条。</w:t>
      </w:r>
    </w:p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cs="仿宋_GB2312" w:hAnsi="仿宋_GB2312"/>
          <w:color w:val="FF0000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（二）依申请公开。严格执行《河北省政府信息公开申请办理规范》，</w:t>
      </w:r>
      <w:r>
        <w:rPr>
          <w:rFonts w:ascii="Times New Roman" w:eastAsia="仿宋_GB2312" w:hAnsi="Times New Roman" w:hint="eastAsia"/>
          <w:kern w:val="2"/>
          <w:sz w:val="32"/>
          <w:szCs w:val="32"/>
        </w:rPr>
        <w:t>扎实推进依申请公开工作规范化</w:t>
      </w:r>
      <w:r>
        <w:rPr>
          <w:rFonts w:ascii="仿宋_GB2312" w:eastAsia="仿宋_GB2312" w:cs="仿宋_GB2312" w:hAnsi="仿宋_GB2312" w:hint="eastAsia"/>
          <w:kern w:val="2"/>
          <w:sz w:val="32"/>
          <w:szCs w:val="32"/>
        </w:rPr>
        <w:t>标准化</w:t>
      </w:r>
      <w:r>
        <w:rPr>
          <w:rFonts w:ascii="仿宋_GB2312" w:eastAsia="仿宋_GB2312" w:cs="仿宋_GB2312" w:hAnsi="仿宋_GB2312" w:hint="eastAsia"/>
          <w:sz w:val="32"/>
          <w:szCs w:val="32"/>
        </w:rPr>
        <w:t>。2023年我镇未收到县政府信息公开申请。</w:t>
      </w:r>
    </w:p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（三）政府信息管理。加强管理，安排专人负责，严格审核信息公开内容，审核完无误后再进行发布，</w:t>
      </w:r>
      <w:r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  <w:t>杜绝</w:t>
      </w:r>
      <w:r>
        <w:rPr>
          <w:rFonts w:ascii="仿宋_GB2312" w:eastAsia="仿宋_GB2312" w:cs="仿宋_GB2312" w:hAnsi="宋体" w:hint="eastAsia"/>
          <w:spacing w:val="8"/>
          <w:sz w:val="31"/>
          <w:szCs w:val="31"/>
          <w:shd w:val="clear" w:color="auto" w:fill="FFFFFF"/>
        </w:rPr>
        <w:t>因</w:t>
      </w:r>
      <w:r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  <w:t>信息内容</w:t>
      </w:r>
      <w:r>
        <w:rPr>
          <w:rFonts w:ascii="仿宋_GB2312" w:eastAsia="仿宋_GB2312" w:cs="仿宋_GB2312" w:hAnsi="宋体" w:hint="eastAsia"/>
          <w:spacing w:val="8"/>
          <w:sz w:val="31"/>
          <w:szCs w:val="31"/>
          <w:shd w:val="clear" w:color="auto" w:fill="FFFFFF"/>
        </w:rPr>
        <w:t>错误而引发的负面影响。</w:t>
      </w:r>
    </w:p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（四）政府信息公开平台建设。我镇积极协助上级开展政府信息平台建设，不断提升信息管理水平，方便群众查阅。</w:t>
      </w:r>
    </w:p>
    <w:p>
      <w:pPr>
        <w:pStyle w:val="17"/>
        <w:widowControl/>
        <w:shd w:val="clear" w:color="auto" w:fill="FFFFFF"/>
        <w:spacing w:beforeAutospacing="0" w:afterAutospacing="0" w:line="555" w:lineRule="atLeast"/>
        <w:ind w:firstLine="555"/>
        <w:jc w:val="both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（五）监督保障。高度重视政府信息公开工作，对此项工作重点任务梳理形成台账，细化实化责任分工。同时，加强对政务公开工作人员业务培训指导，仔细学习政务公开各项工作要求，不断提升工作办理实效。</w:t>
      </w:r>
    </w:p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黑体" w:eastAsia="黑体" w:cs="黑体" w:hAnsi="黑体"/>
          <w:kern w:val="2"/>
          <w:sz w:val="32"/>
          <w:szCs w:val="32"/>
        </w:rPr>
      </w:pPr>
      <w:r>
        <w:rPr>
          <w:rFonts w:ascii="黑体" w:eastAsia="黑体" w:cs="黑体" w:hAnsi="黑体" w:hint="eastAsia"/>
          <w:kern w:val="2"/>
          <w:sz w:val="32"/>
          <w:szCs w:val="32"/>
        </w:rPr>
        <w:t>二、主动公开政府信息情况</w:t>
      </w:r>
    </w:p>
    <w:tbl>
      <w:tblPr>
        <w:jc w:val="center"/>
        <w:tblW w:w="82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60"/>
        <w:gridCol w:w="2060"/>
        <w:gridCol w:w="2060"/>
        <w:gridCol w:w="2060"/>
      </w:tblGrid>
      <w:tr>
        <w:trPr>
          <w:trHeight w:val="575"/>
        </w:trPr>
        <w:tc>
          <w:tcPr>
            <w:tcW w:w="82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本年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制发件数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本年废止件数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现行有效件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数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Calibri" w:cs="Calibri" w:hAnsi="Calibri" w:hint="eastAsia"/>
                <w:kern w:val="0"/>
                <w:szCs w:val="21"/>
              </w:rPr>
              <w:t>0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行政规范性文件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Calibri" w:cs="Calibri" w:hAnsi="Calibri" w:hint="eastAsia"/>
                <w:kern w:val="0"/>
                <w:szCs w:val="21"/>
              </w:rPr>
              <w:t>0</w:t>
            </w:r>
          </w:p>
        </w:tc>
      </w:tr>
      <w:tr>
        <w:trPr>
          <w:trHeight w:val="575"/>
        </w:trPr>
        <w:tc>
          <w:tcPr>
            <w:tcW w:w="82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本年处理决定数量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Calibri" w:cs="Calibri" w:hAnsi="Calibri" w:hint="eastAsia"/>
                <w:kern w:val="0"/>
                <w:szCs w:val="21"/>
              </w:rPr>
              <w:t>0</w:t>
            </w:r>
          </w:p>
        </w:tc>
      </w:tr>
      <w:tr>
        <w:trPr>
          <w:trHeight w:val="575"/>
        </w:trPr>
        <w:tc>
          <w:tcPr>
            <w:tcW w:w="82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本年处理决定数量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</w:tr>
      <w:tr>
        <w:trPr>
          <w:trHeight w:val="575"/>
        </w:trPr>
        <w:tc>
          <w:tcPr>
            <w:tcW w:w="82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本年收费金额（单位：万元）</w:t>
            </w:r>
          </w:p>
        </w:tc>
      </w:tr>
      <w:tr>
        <w:trPr>
          <w:trHeight w:val="644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spacing w:line="540" w:lineRule="exact"/>
              <w:jc w:val="center"/>
              <w:rPr>
                <w:rFonts w:ascii="宋体" w:eastAsia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0</w:t>
            </w:r>
          </w:p>
        </w:tc>
      </w:tr>
    </w:tbl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宋体" w:eastAsia="宋体" w:cs="宋体" w:hAnsi="宋体"/>
        </w:rPr>
      </w:pPr>
      <w:r>
        <w:rPr>
          <w:rFonts w:ascii="黑体" w:eastAsia="黑体" w:cs="黑体" w:hAnsi="黑体" w:hint="eastAsia"/>
          <w:kern w:val="2"/>
          <w:sz w:val="32"/>
          <w:szCs w:val="32"/>
        </w:rPr>
        <w:t>三、收到和处理政府信息公开申请情况</w:t>
      </w:r>
    </w:p>
    <w:tbl>
      <w:tblPr>
        <w:jc w:val="center"/>
        <w:tblW w:w="83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6"/>
        <w:gridCol w:w="806"/>
        <w:gridCol w:w="2756"/>
        <w:gridCol w:w="590"/>
        <w:gridCol w:w="587"/>
        <w:gridCol w:w="590"/>
        <w:gridCol w:w="587"/>
        <w:gridCol w:w="590"/>
        <w:gridCol w:w="596"/>
        <w:gridCol w:w="601"/>
      </w:tblGrid>
      <w:tr>
        <w:trPr>
          <w:trHeight w:val="580"/>
        </w:trPr>
        <w:tc>
          <w:tcPr>
            <w:tcW w:w="4218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left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4141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申请人情况</w:t>
            </w:r>
          </w:p>
        </w:tc>
      </w:tr>
      <w:tr>
        <w:trPr>
          <w:trHeight w:val="520"/>
        </w:trPr>
        <w:tc>
          <w:tcPr>
            <w:tcW w:w="4218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90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295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601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总计</w:t>
            </w:r>
          </w:p>
        </w:tc>
      </w:tr>
      <w:tr>
        <w:trPr>
          <w:trHeight w:val="1539"/>
        </w:trPr>
        <w:tc>
          <w:tcPr>
            <w:tcW w:w="4218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90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商业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企业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科研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机构</w:t>
            </w:r>
          </w:p>
        </w:tc>
        <w:tc>
          <w:tcPr>
            <w:tcW w:w="5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5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5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其他</w:t>
            </w:r>
          </w:p>
        </w:tc>
        <w:tc>
          <w:tcPr>
            <w:tcW w:w="601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</w:tr>
      <w:tr>
        <w:trPr>
          <w:trHeight w:val="730"/>
        </w:trPr>
        <w:tc>
          <w:tcPr>
            <w:tcW w:w="4218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670"/>
        </w:trPr>
        <w:tc>
          <w:tcPr>
            <w:tcW w:w="4218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80"/>
        </w:trPr>
        <w:tc>
          <w:tcPr>
            <w:tcW w:w="656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</w:tr>
      <w:tr>
        <w:trPr>
          <w:trHeight w:val="86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56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（二）部分公开</w:t>
            </w:r>
            <w:r>
              <w:rPr>
                <w:rFonts w:ascii="楷体" w:eastAsia="楷体" w:cs="楷体" w:hAnsi="楷体" w:hint="eastAsia"/>
                <w:kern w:val="0"/>
                <w:sz w:val="20"/>
                <w:szCs w:val="20"/>
              </w:rPr>
              <w:t>（区分处理的，只计这一情形，不计其他情形）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Calibri" w:eastAsia="宋体" w:cs="Calibri" w:hAnsi="Calibri"/>
                <w:kern w:val="0"/>
                <w:sz w:val="20"/>
                <w:szCs w:val="20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Calibri" w:eastAsia="宋体" w:cs="Calibri" w:hAnsi="Calibri"/>
                <w:kern w:val="0"/>
                <w:sz w:val="20"/>
                <w:szCs w:val="20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</w:tr>
      <w:tr>
        <w:trPr>
          <w:trHeight w:val="52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0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6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49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0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8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6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49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64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  <w:rPr>
                <w:rFonts w:eastAsia="宋体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62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46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8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2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0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3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89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130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1374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8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eastAsia="宋体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8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56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</w:tr>
      <w:tr>
        <w:trPr>
          <w:trHeight w:val="588"/>
        </w:trPr>
        <w:tc>
          <w:tcPr>
            <w:tcW w:w="4218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spacing w:line="460" w:lineRule="exact"/>
              <w:jc w:val="center"/>
              <w:rPr>
                <w:rFonts w:ascii="宋体" w:eastAsia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</w:tr>
    </w:tbl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黑体" w:eastAsia="黑体" w:cs="黑体" w:hAnsi="黑体"/>
          <w:kern w:val="2"/>
          <w:sz w:val="32"/>
          <w:szCs w:val="32"/>
        </w:rPr>
      </w:pPr>
    </w:p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宋体" w:eastAsia="宋体" w:cs="宋体" w:hAnsi="宋体"/>
          <w:color w:val="333333"/>
          <w:szCs w:val="24"/>
        </w:rPr>
      </w:pPr>
      <w:r>
        <w:rPr>
          <w:rFonts w:ascii="黑体" w:eastAsia="黑体" w:cs="黑体" w:hAnsi="黑体" w:hint="eastAsia"/>
          <w:kern w:val="2"/>
          <w:sz w:val="32"/>
          <w:szCs w:val="32"/>
        </w:rPr>
        <w:t>四、政府信息公开行政复议、行政诉讼情况</w:t>
      </w:r>
    </w:p>
    <w:tbl>
      <w:tblPr>
        <w:jc w:val="center"/>
        <w:tblW w:w="86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5"/>
        <w:gridCol w:w="575"/>
        <w:gridCol w:w="575"/>
        <w:gridCol w:w="575"/>
        <w:gridCol w:w="582"/>
        <w:gridCol w:w="575"/>
        <w:gridCol w:w="575"/>
        <w:gridCol w:w="576"/>
        <w:gridCol w:w="576"/>
        <w:gridCol w:w="583"/>
        <w:gridCol w:w="577"/>
        <w:gridCol w:w="577"/>
        <w:gridCol w:w="577"/>
        <w:gridCol w:w="577"/>
        <w:gridCol w:w="584"/>
      </w:tblGrid>
      <w:tr>
        <w:trPr>
          <w:trHeight w:val="544"/>
        </w:trPr>
        <w:tc>
          <w:tcPr>
            <w:tcW w:w="288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777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行政诉讼</w:t>
            </w:r>
          </w:p>
        </w:tc>
      </w:tr>
      <w:tr>
        <w:trPr>
          <w:trHeight w:val="544"/>
        </w:trPr>
        <w:tc>
          <w:tcPr>
            <w:tcW w:w="57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57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纠正</w:t>
            </w:r>
          </w:p>
        </w:tc>
        <w:tc>
          <w:tcPr>
            <w:tcW w:w="5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结果</w:t>
            </w:r>
          </w:p>
        </w:tc>
        <w:tc>
          <w:tcPr>
            <w:tcW w:w="5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审结</w:t>
            </w:r>
          </w:p>
        </w:tc>
        <w:tc>
          <w:tcPr>
            <w:tcW w:w="58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总计</w:t>
            </w:r>
          </w:p>
        </w:tc>
        <w:tc>
          <w:tcPr>
            <w:tcW w:w="288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289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复议后起诉</w:t>
            </w:r>
          </w:p>
        </w:tc>
      </w:tr>
      <w:tr>
        <w:trPr>
          <w:trHeight w:val="544"/>
        </w:trPr>
        <w:tc>
          <w:tcPr>
            <w:tcW w:w="57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7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维持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纠正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结果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审结</w:t>
            </w:r>
          </w:p>
        </w:tc>
        <w:tc>
          <w:tcPr>
            <w:tcW w:w="5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维持</w:t>
            </w:r>
          </w:p>
        </w:tc>
        <w:tc>
          <w:tcPr>
            <w:tcW w:w="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纠正</w:t>
            </w:r>
          </w:p>
        </w:tc>
        <w:tc>
          <w:tcPr>
            <w:tcW w:w="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结果</w:t>
            </w:r>
          </w:p>
        </w:tc>
        <w:tc>
          <w:tcPr>
            <w:tcW w:w="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审结</w:t>
            </w:r>
          </w:p>
        </w:tc>
        <w:tc>
          <w:tcPr>
            <w:tcW w:w="5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>
        <w:trPr>
          <w:trHeight w:val="641"/>
        </w:trPr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/>
                <w:sz w:val="24"/>
                <w:szCs w:val="24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</w:tr>
    </w:tbl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黑体" w:eastAsia="黑体" w:cs="黑体" w:hAnsi="黑体"/>
          <w:kern w:val="2"/>
          <w:sz w:val="32"/>
          <w:szCs w:val="32"/>
        </w:rPr>
      </w:pPr>
      <w:r>
        <w:rPr>
          <w:rFonts w:ascii="黑体" w:eastAsia="黑体" w:cs="黑体" w:hAnsi="黑体" w:hint="eastAsia"/>
          <w:kern w:val="2"/>
          <w:sz w:val="32"/>
          <w:szCs w:val="32"/>
        </w:rPr>
        <w:t>五、存在的主要问题及改进情况</w:t>
      </w:r>
    </w:p>
    <w:p>
      <w:pPr>
        <w:pBdr>
          <w:bottom w:val="single" w:sz="4" w:space="31" w:color="FFFFFF"/>
        </w:pBdr>
        <w:adjustRightInd w:val="0"/>
        <w:snapToGrid w:val="0"/>
        <w:spacing w:line="540" w:lineRule="exact"/>
        <w:ind w:firstLineChars="200" w:firstLine="640"/>
        <w:textAlignment w:val="top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2023年，我镇在政府信息公开工作中存在的主要问题是：一是信息公开内容不丰富，内容的深度和广度不够；二是工作人员业务能力有待进一步提高。</w:t>
      </w:r>
    </w:p>
    <w:p>
      <w:pPr>
        <w:pBdr>
          <w:bottom w:val="single" w:sz="4" w:space="31" w:color="FFFFFF"/>
        </w:pBdr>
        <w:adjustRightInd w:val="0"/>
        <w:snapToGrid w:val="0"/>
        <w:spacing w:line="540" w:lineRule="exact"/>
        <w:ind w:firstLineChars="200" w:firstLine="640"/>
        <w:textAlignment w:val="top"/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</w:pPr>
      <w:r>
        <w:rPr>
          <w:rFonts w:ascii="仿宋_GB2312" w:eastAsia="仿宋_GB2312" w:cs="仿宋_GB2312" w:hAnsi="仿宋_GB2312" w:hint="eastAsia"/>
          <w:kern w:val="0"/>
          <w:sz w:val="32"/>
          <w:szCs w:val="32"/>
        </w:rPr>
        <w:t>下一步，我镇</w:t>
      </w:r>
      <w:r>
        <w:rPr>
          <w:rFonts w:ascii="仿宋_GB2312" w:eastAsia="仿宋_GB2312" w:cs="仿宋_GB2312" w:hAnsi="仿宋_GB2312" w:hint="eastAsia"/>
          <w:sz w:val="32"/>
          <w:szCs w:val="32"/>
        </w:rPr>
        <w:t>将采取以下措施加强政府信息公开工作：</w:t>
      </w:r>
      <w:r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  <w:t>一是</w:t>
      </w:r>
      <w:r>
        <w:rPr>
          <w:rFonts w:ascii="仿宋_GB2312" w:eastAsia="仿宋_GB2312" w:cs="仿宋_GB2312" w:hAnsi="宋体" w:hint="eastAsia"/>
          <w:spacing w:val="8"/>
          <w:sz w:val="31"/>
          <w:szCs w:val="31"/>
          <w:shd w:val="clear" w:color="auto" w:fill="FFFFFF"/>
        </w:rPr>
        <w:t>丰富信息公开内容</w:t>
      </w:r>
      <w:r>
        <w:rPr>
          <w:rFonts w:ascii="仿宋_GB2312" w:eastAsia="方正兰亭黑_GBK" w:cs="仿宋_GB2312" w:hAnsi="宋体"/>
          <w:spacing w:val="8"/>
          <w:sz w:val="31"/>
          <w:szCs w:val="31"/>
          <w:shd w:val="clear" w:color="auto" w:fill="FFFFFF"/>
        </w:rPr>
        <w:t>。</w:t>
      </w:r>
      <w:r>
        <w:rPr>
          <w:rFonts w:ascii="仿宋_GB2312" w:eastAsia="仿宋_GB2312" w:cs="仿宋_GB2312" w:hAnsi="宋体" w:hint="eastAsia"/>
          <w:spacing w:val="8"/>
          <w:sz w:val="31"/>
          <w:szCs w:val="31"/>
          <w:shd w:val="clear" w:color="auto" w:fill="FFFFFF"/>
        </w:rPr>
        <w:t>运用多种解读形式</w:t>
      </w:r>
      <w:r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  <w:t>，及时准确发布</w:t>
      </w:r>
      <w:r>
        <w:rPr>
          <w:rFonts w:ascii="仿宋_GB2312" w:eastAsia="仿宋_GB2312" w:cs="仿宋_GB2312" w:hAnsi="宋体" w:hint="eastAsia"/>
          <w:spacing w:val="8"/>
          <w:sz w:val="31"/>
          <w:szCs w:val="31"/>
          <w:shd w:val="clear" w:color="auto" w:fill="FFFFFF"/>
        </w:rPr>
        <w:t>有效</w:t>
      </w:r>
      <w:r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  <w:t>信息，确保社会公众的知情权、监督权、参与权得到充分保证</w:t>
      </w:r>
      <w:r>
        <w:rPr>
          <w:rFonts w:ascii="仿宋_GB2312" w:eastAsia="仿宋_GB2312" w:cs="仿宋_GB2312" w:hAnsi="仿宋_GB2312" w:hint="eastAsia"/>
          <w:sz w:val="32"/>
          <w:szCs w:val="32"/>
        </w:rPr>
        <w:t>。二是</w:t>
      </w:r>
      <w:r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  <w:t>加强专业知识学习。时刻加强</w:t>
      </w:r>
      <w:r>
        <w:rPr>
          <w:rFonts w:ascii="仿宋_GB2312" w:eastAsia="仿宋_GB2312" w:cs="仿宋_GB2312" w:hAnsi="宋体" w:hint="eastAsia"/>
          <w:spacing w:val="8"/>
          <w:sz w:val="31"/>
          <w:szCs w:val="31"/>
          <w:shd w:val="clear" w:color="auto" w:fill="FFFFFF"/>
        </w:rPr>
        <w:t>政府信息</w:t>
      </w:r>
      <w:r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  <w:t>公开</w:t>
      </w:r>
      <w:r>
        <w:rPr>
          <w:rFonts w:ascii="仿宋_GB2312" w:eastAsia="仿宋_GB2312" w:cs="仿宋_GB2312" w:hAnsi="宋体" w:hint="eastAsia"/>
          <w:spacing w:val="8"/>
          <w:sz w:val="31"/>
          <w:szCs w:val="31"/>
          <w:shd w:val="clear" w:color="auto" w:fill="FFFFFF"/>
        </w:rPr>
        <w:t>相关知识</w:t>
      </w:r>
      <w:r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  <w:t>的学习，</w:t>
      </w:r>
      <w:r>
        <w:rPr>
          <w:rFonts w:ascii="仿宋_GB2312" w:eastAsia="仿宋_GB2312" w:cs="仿宋_GB2312" w:hAnsi="宋体" w:hint="eastAsia"/>
          <w:spacing w:val="8"/>
          <w:sz w:val="31"/>
          <w:szCs w:val="31"/>
          <w:shd w:val="clear" w:color="auto" w:fill="FFFFFF"/>
        </w:rPr>
        <w:t>积极组织工作人员参加上级开展的专题培训会，</w:t>
      </w:r>
      <w:r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  <w:t>进一步提高</w:t>
      </w:r>
      <w:r>
        <w:rPr>
          <w:rFonts w:ascii="仿宋_GB2312" w:eastAsia="仿宋_GB2312" w:cs="仿宋_GB2312" w:hAnsi="宋体" w:hint="eastAsia"/>
          <w:spacing w:val="8"/>
          <w:sz w:val="31"/>
          <w:szCs w:val="31"/>
          <w:shd w:val="clear" w:color="auto" w:fill="FFFFFF"/>
        </w:rPr>
        <w:t>信息</w:t>
      </w:r>
      <w:r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  <w:t>公开的质量和水平，提升</w:t>
      </w:r>
      <w:r>
        <w:rPr>
          <w:rFonts w:ascii="仿宋_GB2312" w:eastAsia="仿宋_GB2312" w:cs="仿宋_GB2312" w:hAnsi="宋体" w:hint="eastAsia"/>
          <w:spacing w:val="8"/>
          <w:sz w:val="31"/>
          <w:szCs w:val="31"/>
          <w:shd w:val="clear" w:color="auto" w:fill="FFFFFF"/>
        </w:rPr>
        <w:t>工作</w:t>
      </w:r>
      <w:r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  <w:t>人员</w:t>
      </w:r>
      <w:r>
        <w:rPr>
          <w:rFonts w:ascii="仿宋_GB2312" w:eastAsia="仿宋_GB2312" w:cs="仿宋_GB2312" w:hAnsi="宋体" w:hint="eastAsia"/>
          <w:spacing w:val="8"/>
          <w:sz w:val="31"/>
          <w:szCs w:val="31"/>
          <w:shd w:val="clear" w:color="auto" w:fill="FFFFFF"/>
        </w:rPr>
        <w:t>的业务水平和能力</w:t>
      </w:r>
      <w:r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  <w:t>。</w:t>
      </w:r>
    </w:p>
    <w:p>
      <w:pPr>
        <w:pBdr>
          <w:bottom w:val="single" w:sz="4" w:space="31" w:color="FFFFFF"/>
        </w:pBdr>
        <w:adjustRightInd w:val="0"/>
        <w:snapToGrid w:val="0"/>
        <w:spacing w:line="540" w:lineRule="exact"/>
        <w:ind w:firstLineChars="200" w:firstLine="640"/>
        <w:textAlignment w:val="top"/>
        <w:rPr>
          <w:rFonts w:ascii="黑体" w:eastAsia="黑体" w:cs="黑体" w:hAnsi="黑体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六、其他需要报告的事项</w:t>
      </w:r>
    </w:p>
    <w:p>
      <w:pPr>
        <w:pBdr>
          <w:bottom w:val="single" w:sz="4" w:space="31" w:color="FFFFFF"/>
        </w:pBdr>
        <w:adjustRightInd w:val="0"/>
        <w:snapToGrid w:val="0"/>
        <w:spacing w:line="540" w:lineRule="exact"/>
        <w:ind w:firstLineChars="200" w:firstLine="640"/>
        <w:textAlignment w:val="top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认真贯彻执行国务院办公厅《政府信息公开信息处理费管理办法》和《关于政府信息公开处理费管理有关事项的通知》。2023年我镇未收取信息处理费。</w:t>
      </w:r>
    </w:p>
    <w:p>
      <w:pPr>
        <w:spacing w:line="540" w:lineRule="exact"/>
      </w:pPr>
      <w:bookmarkEnd w:id="0"/>
    </w:p>
    <w:sectPr>
      <w:pgSz w:w="11906" w:h="16838"/>
      <w:pgMar w:top="2154" w:right="1531" w:bottom="1984" w:left="1531" w:header="851" w:footer="992" w:gutter="0"/>
      <w:cols w:num="1" w:space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altName w:val="方正兰亭黑_GBK"/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仿宋_GB2312">
    <w:altName w:val="永中仿宋"/>
    <w:panose1 w:val="02010609030101010101"/>
    <w:charset w:val="86"/>
    <w:family w:val="modern"/>
    <w:pitch w:val="variable"/>
    <w:sig w:usb0="00000001" w:usb1="080E0000" w:usb2="00000010" w:usb3="00000000" w:csb0="00040000" w:csb1="00000000"/>
  </w:font>
  <w:font w:name="宋体">
    <w:altName w:val="方正兰亭黑_GBK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方正兰亭黑_GBK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Times New Roman">
    <w:altName w:val="DejaVu Sans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altName w:val="DejaVu Sans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楷体">
    <w:altName w:val="永中楷体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方正兰亭黑_GBK">
    <w:panose1 w:val="02000000000000000000"/>
    <w:charset w:val="86"/>
    <w:family w:val="script"/>
    <w:pitch w:val="variable"/>
    <w:sig w:usb0="A00002BF" w:usb1="3ACF7CFA" w:usb2="00080016" w:usb3="00000000" w:csb0="00040001" w:csb1="00000000"/>
  </w:font>
  <w:font w:name="Lucida Sans">
    <w:altName w:val="DejaVu Sans"/>
    <w:panose1 w:val="020B0602030504020204"/>
    <w:charset w:val="00"/>
    <w:family w:val="auto"/>
    <w:pitch w:val="variable"/>
    <w:sig w:usb0="00000003" w:usb1="00000000" w:usb2="00000000" w:usb3="00000000" w:csb0="20000001" w:csb1="00000000"/>
  </w:font>
  <w:font w:name="等线">
    <w:altName w:val="方正兰亭黑_GBK"/>
    <w:panose1 w:val="00000000000000000000"/>
    <w:charset w:val="86"/>
    <w:family w:val="auto"/>
    <w:pitch w:val="variable"/>
    <w:sig w:usb0="00000000" w:usb1="00000000" w:usb2="00000016" w:usb3="00000000" w:csb0="0004000F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compatSetting w:name="compatibilityMode" w:uri="http://schemas.microsoft.com/office/word" w:val="12"/>
  </w:compat>
  <w:docVars>
    <w:docVar w:name="commondata" w:val="eyJoZGlkIjoiOGMwM2E4Yzc2OGJjOTVmMzcwN2E3ZWEyNjA0NGFmMTk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Lucida Sans"/>
        <w:lang w:val="en-US" w:eastAsia="zh-CN" w:bidi="ar-SA"/>
      </w:rPr>
    </w:rPrDefault>
    <w:pPrDefault/>
  </w:docDefaults>
  <w:style w:type="paragraph" w:default="1" w:styleId="0">
    <w:name w:val="Normal"/>
    <w:next w:val="15"/>
    <w:pPr>
      <w:widowControl w:val="0"/>
      <w:jc w:val="both"/>
    </w:pPr>
    <w:rPr>
      <w:rFonts w:ascii="等线" w:eastAsia="等线" w:cs="Times New Roman" w:hAnsi="等线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方正兰亭黑_GBK" w:eastAsia="黑体" w:hAnsi="方正兰亭黑_GBK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Normal Indent"/>
    <w:basedOn w:val="0"/>
    <w:next w:val="0"/>
    <w:pPr>
      <w:ind w:firstLine="420"/>
    </w:pPr>
    <w:rPr>
      <w:rFonts w:ascii="Times New Roman" w:eastAsia="宋体" w:hAnsi="Times New Roman"/>
    </w:rPr>
  </w:style>
  <w:style w:type="paragraph" w:styleId="16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7">
    <w:name w:val="Normal (Web)"/>
    <w:basedOn w:val="0"/>
    <w:pPr>
      <w:spacing w:beforeAutospacing="1" w:afterAutospacing="1"/>
      <w:jc w:val="left"/>
    </w:pPr>
    <w:rPr>
      <w:kern w:val="0"/>
      <w:sz w:val="24"/>
    </w:rPr>
  </w:style>
  <w:style w:type="character" w:styleId="18">
    <w:name w:val="Strong"/>
    <w:basedOn w:val="10"/>
    <w:rPr>
      <w:b/>
    </w:rPr>
  </w:style>
  <w:style w:type="character" w:customStyle="1" w:styleId="19">
    <w:name w:val="fontstyle01"/>
    <w:basedOn w:val="10"/>
    <w:rPr>
      <w:rFonts w:ascii="仿宋_GB2312" w:eastAsia="仿宋_GB2312" w:cs="仿宋_GB2312" w:hAnsi="仿宋_GB2312"/>
      <w:color w:val="000000"/>
      <w:sz w:val="32"/>
      <w:szCs w:val="32"/>
    </w:rPr>
  </w:style>
  <w:style w:type="paragraph" w:styleId="20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Relationship Id="rId2" Target="styles.xml" Type="http://schemas.openxmlformats.org/officeDocument/2006/relationships/styles"/><Relationship Id="rId3" Target="fontTable.xml" Type="http://schemas.openxmlformats.org/officeDocument/2006/relationships/fontTable"/><Relationship Id="rId4" Target="../customXml/item1.xml" Type="http://schemas.openxmlformats.org/officeDocument/2006/relationships/customXml"/></Relationships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F770B0FF-E2AF-4897-8D13-B4668AF76BF3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61</TotalTime>
  <Application>Yozo_Office27021597764231179</Application>
  <Pages>5</Pages>
  <Words>0</Words>
  <Characters>1356</Characters>
  <Lines>0</Lines>
  <Paragraphs>23</Paragraphs>
  <CharactersWithSpaces>1808</CharactersWithSpace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2014-10-29T20:08:00Z</dcterms:created>
  <dc:creator>lenovo</dc:creator>
  <cp:lastModifiedBy>Huawei</cp:lastModifiedBy>
  <dcterms:modified xsi:type="dcterms:W3CDTF">2024-01-26T06:37:48Z</dcterms:modified>
  <cp:revision>2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2052-11.1.0.10314</vt:lpwstr>
  </property>
  <property fmtid="{D5CDD505-2E9C-101B-9397-08002B2CF9AE}" pid="3" name="ICV">
    <vt:lpwstr>2007C2EC8F5DF08A76699765E3947D53</vt:lpwstr>
  </property>
</Properties>
</file>