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44"/>
          <w:szCs w:val="44"/>
        </w:rPr>
      </w:pPr>
      <w:r>
        <w:rPr>
          <w:rFonts w:hint="eastAsia"/>
          <w:sz w:val="44"/>
          <w:szCs w:val="44"/>
        </w:rPr>
        <w:t>隆尧县</w:t>
      </w:r>
      <w:r>
        <w:rPr>
          <w:rFonts w:hint="eastAsia"/>
          <w:sz w:val="44"/>
          <w:szCs w:val="44"/>
          <w:lang w:val="en-US" w:eastAsia="zh-CN"/>
        </w:rPr>
        <w:t>莲子镇镇</w:t>
      </w:r>
      <w:r>
        <w:rPr>
          <w:rFonts w:hint="eastAsia"/>
          <w:sz w:val="44"/>
          <w:szCs w:val="44"/>
        </w:rPr>
        <w:t>人民政府 202</w:t>
      </w:r>
      <w:r>
        <w:rPr>
          <w:rFonts w:hint="eastAsia"/>
          <w:sz w:val="44"/>
          <w:szCs w:val="44"/>
          <w:lang w:val="en-US" w:eastAsia="zh-CN"/>
        </w:rPr>
        <w:t>3</w:t>
      </w:r>
      <w:r>
        <w:rPr>
          <w:rFonts w:hint="eastAsia"/>
          <w:sz w:val="44"/>
          <w:szCs w:val="44"/>
        </w:rPr>
        <w:t>年政府信息</w:t>
      </w:r>
    </w:p>
    <w:p>
      <w:pPr>
        <w:jc w:val="center"/>
        <w:rPr>
          <w:rFonts w:hint="eastAsia"/>
          <w:sz w:val="44"/>
          <w:szCs w:val="44"/>
        </w:rPr>
      </w:pPr>
      <w:r>
        <w:rPr>
          <w:rFonts w:hint="eastAsia"/>
          <w:sz w:val="44"/>
          <w:szCs w:val="44"/>
        </w:rPr>
        <w:t>公开工作年度报告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40" w:lineRule="atLeast"/>
        <w:ind w:left="0" w:right="0" w:firstLine="645"/>
        <w:jc w:val="both"/>
        <w:rPr>
          <w:rFonts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根据《中华人民共和国政府信息公开条例》《河北省实施〈中华人民共和国政府信息公开条例〉办法》等规定，发布本年度报告。报告中所列数据统计期限为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2</w:t>
      </w:r>
      <w:bookmarkStart w:id="0" w:name="_GoBack"/>
      <w:bookmarkEnd w:id="0"/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02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3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年1月1日至12月31日。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40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一、</w:t>
      </w: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总体情况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40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202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3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年，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莲子镇镇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人民政府办公室认真落实党中央、国务院和省委、省政府决策部署，紧紧围绕县委、县政府安排的中心工作，着力提升我镇政务公开工作水平，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着力做好主动公开、依申请公开、公开平台建设、推进基层政务公开标准化、规范化工作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仿宋_GB2312" w:cs="sans-serif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</w:pPr>
      <w:r>
        <w:rPr>
          <w:rFonts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（一）主动公开进一步加强。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认真贯彻落实政府信息公开《条例》，围绕党和政府中心工作主动、及时、全面、准确地发布权威信息。本年度</w:t>
      </w:r>
      <w:r>
        <w:rPr>
          <w:rFonts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重点公开了政府财政预决算、执法信息、行政许可、办事指南、政府工作报告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等重点领域，以及乡村振兴、产业升级、公共文化服务等方面确定的重点任务。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val="en-US" w:eastAsia="zh-CN"/>
        </w:rPr>
        <w:t>本年度共公开工作部署、事后公开等信息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lang w:val="en-US" w:eastAsia="zh-CN"/>
          <w14:textFill>
            <w14:solidFill>
              <w14:schemeClr w14:val="tx1"/>
            </w14:solidFill>
          </w14:textFill>
        </w:rPr>
        <w:t>107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val="en-US" w:eastAsia="zh-CN"/>
        </w:rPr>
        <w:t>条。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（二）依申请公开进一步规范。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严格执行新出台的《条例》，进一步规范政府信息公开申请办理工作，优化依申请工作流程。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（三）政府信息管理更加规范。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镇政府办公室通过制定《政府信息公开指南》以及文件制发、档案管理等制度，健全完善了政府信息制作、获取、保存、处理等方面制度，对政府信息进行全生命周期管理。认真开展区政府规章和规范性文件清理工作，及时立改废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（四）公开平台建设进一步加快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着力落实省、市政务新媒体建设文件要求，有序推进我镇政务新媒体建设工作，建立政务新媒体监管制度，保障我镇政务新媒体健康有序发展，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eastAsia="zh-CN"/>
        </w:rPr>
        <w:t>“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val="en-US" w:eastAsia="zh-CN"/>
        </w:rPr>
        <w:t>美丽莲子特色小镇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eastAsia="zh-CN"/>
        </w:rPr>
        <w:t>”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val="en-US" w:eastAsia="zh-CN"/>
        </w:rPr>
        <w:t>发布公众号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本年度发布信息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lang w:val="en-US" w:eastAsia="zh-CN"/>
          <w14:textFill>
            <w14:solidFill>
              <w14:schemeClr w14:val="tx1"/>
            </w14:solidFill>
          </w14:textFill>
        </w:rPr>
        <w:t>566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条。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（五）组织协调监督保障持续加强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组织协调保障持续加强，镇政府办公室高度重视政务公开工作，镇政务公开领导小组办公室认真履职，进一步完善了平台建设、业务培训、考核评估、标准化建设等工作机制。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二、主动公开政府信息情况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tbl>
      <w:tblPr>
        <w:tblStyle w:val="3"/>
        <w:tblW w:w="973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30"/>
        <w:gridCol w:w="2430"/>
        <w:gridCol w:w="2430"/>
        <w:gridCol w:w="244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24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本年制发件数</w:t>
            </w:r>
          </w:p>
        </w:tc>
        <w:tc>
          <w:tcPr>
            <w:tcW w:w="24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本年废止件数</w:t>
            </w:r>
          </w:p>
        </w:tc>
        <w:tc>
          <w:tcPr>
            <w:tcW w:w="24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现行有效件数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规章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行政规范性文件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rPr>
                <w:rFonts w:hint="default" w:eastAsia="宋体"/>
                <w:lang w:val="en-US" w:eastAsia="zh-CN"/>
              </w:rPr>
            </w:pPr>
            <w:r>
              <w:rPr>
                <w:rFonts w:ascii="Calibri" w:hAnsi="Calibri" w:eastAsia="sans-serif" w:cs="Calibri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 </w:t>
            </w:r>
            <w:r>
              <w:rPr>
                <w:rFonts w:hint="eastAsia" w:cs="Calibr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</w:t>
            </w:r>
            <w:r>
              <w:rPr>
                <w:rFonts w:hint="eastAsia" w:ascii="宋体" w:hAnsi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Calibri" w:hAnsi="Calibri" w:eastAsia="sans-serif" w:cs="Calibri"/>
          <w:i w:val="0"/>
          <w:iCs w:val="0"/>
          <w:caps w:val="0"/>
          <w:color w:val="000000"/>
          <w:spacing w:val="0"/>
          <w:sz w:val="21"/>
          <w:szCs w:val="21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tbl>
      <w:tblPr>
        <w:tblStyle w:val="3"/>
        <w:tblW w:w="975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64"/>
        <w:gridCol w:w="944"/>
        <w:gridCol w:w="3188"/>
        <w:gridCol w:w="689"/>
        <w:gridCol w:w="734"/>
        <w:gridCol w:w="734"/>
        <w:gridCol w:w="689"/>
        <w:gridCol w:w="689"/>
        <w:gridCol w:w="689"/>
        <w:gridCol w:w="6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楷体" w:hAnsi="楷体" w:eastAsia="楷体" w:cs="楷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（本列数据的勾稽关系为：第一项加第二项之和，等于第三项加第四项之和）</w:t>
            </w:r>
          </w:p>
        </w:tc>
        <w:tc>
          <w:tcPr>
            <w:tcW w:w="4845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申请人情况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9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自然人</w:t>
            </w:r>
          </w:p>
        </w:tc>
        <w:tc>
          <w:tcPr>
            <w:tcW w:w="352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法人或其他组织</w:t>
            </w:r>
          </w:p>
        </w:tc>
        <w:tc>
          <w:tcPr>
            <w:tcW w:w="630" w:type="dxa"/>
            <w:vMerge w:val="restart"/>
            <w:tcBorders>
              <w:top w:val="single" w:color="auto" w:sz="6" w:space="0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9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商业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企业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科研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机构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社会公益组织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法律服务机构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</w:p>
        </w:tc>
        <w:tc>
          <w:tcPr>
            <w:tcW w:w="630" w:type="dxa"/>
            <w:vMerge w:val="continue"/>
            <w:tcBorders>
              <w:top w:val="single" w:color="auto" w:sz="6" w:space="0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一、本年新收政府信息公开申请数量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eastAsia="宋体" w:cs="Calibri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  <w:r>
              <w:rPr>
                <w:rFonts w:hint="default" w:ascii="Calibri" w:hAnsi="Calibri" w:eastAsia="sans-serif" w:cs="Calibri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二、上年结转政府信息公开申请数量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eastAsia="宋体" w:cs="Calibri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  <w:r>
              <w:rPr>
                <w:rFonts w:hint="default" w:ascii="Calibri" w:hAnsi="Calibri" w:eastAsia="sans-serif" w:cs="Calibri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restart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三、本年度办理结果</w:t>
            </w:r>
          </w:p>
        </w:tc>
        <w:tc>
          <w:tcPr>
            <w:tcW w:w="41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（一）予以公开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41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（二）部分公开</w:t>
            </w:r>
            <w:r>
              <w:rPr>
                <w:rFonts w:hint="eastAsia" w:ascii="楷体" w:hAnsi="楷体" w:eastAsia="楷体" w:cs="楷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（区分处理的，只计这一情形，不计其他情形）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（三）不予公开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1.属于国家秘密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2.其他法律行政法规禁止公开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3.危及“三安全一稳定”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4.保护第三方合法权益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5.属于三类内部事务信息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6.属于四类过程性信息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7.属于行政执法案卷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8.属于行政查询事项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（四）无法提供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1.本机关不掌握相关政府信息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2.没有现成信息需要另行制作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3.补正后申请内容仍不明确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（五）不予处理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1.信访举报投诉类申请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2.重复申请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3.要求提供公开出版物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4.无正当理由大量反复申请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5.要求行政机关确认或重新出具已获取信息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（六）其他处理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1.申请人无正当理由逾期不补正、行政机关不再处理其政府信息公开申请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2.申请人逾期未按收费通知要求缴纳费用、行政机关不再处理其政府信息公开申请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3.其他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41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（七）总计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四、结转下年度继续办理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四、政府信息公开行政复议、行政诉讼情况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tbl>
      <w:tblPr>
        <w:tblStyle w:val="3"/>
        <w:tblW w:w="975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43"/>
        <w:gridCol w:w="643"/>
        <w:gridCol w:w="643"/>
        <w:gridCol w:w="643"/>
        <w:gridCol w:w="644"/>
        <w:gridCol w:w="643"/>
        <w:gridCol w:w="643"/>
        <w:gridCol w:w="643"/>
        <w:gridCol w:w="643"/>
        <w:gridCol w:w="643"/>
        <w:gridCol w:w="643"/>
        <w:gridCol w:w="643"/>
        <w:gridCol w:w="643"/>
        <w:gridCol w:w="643"/>
        <w:gridCol w:w="74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216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行政复议</w:t>
            </w:r>
          </w:p>
        </w:tc>
        <w:tc>
          <w:tcPr>
            <w:tcW w:w="6534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行政诉讼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43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结果维持</w:t>
            </w:r>
          </w:p>
        </w:tc>
        <w:tc>
          <w:tcPr>
            <w:tcW w:w="643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纠正</w:t>
            </w:r>
          </w:p>
        </w:tc>
        <w:tc>
          <w:tcPr>
            <w:tcW w:w="643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</w:tc>
        <w:tc>
          <w:tcPr>
            <w:tcW w:w="643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尚未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审结</w:t>
            </w:r>
          </w:p>
        </w:tc>
        <w:tc>
          <w:tcPr>
            <w:tcW w:w="644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  <w:tc>
          <w:tcPr>
            <w:tcW w:w="321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未经复议直接起诉</w:t>
            </w:r>
          </w:p>
        </w:tc>
        <w:tc>
          <w:tcPr>
            <w:tcW w:w="3319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复议后起诉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43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4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维持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纠正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尚未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审结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维持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纠正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尚未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审结</w:t>
            </w:r>
          </w:p>
        </w:tc>
        <w:tc>
          <w:tcPr>
            <w:tcW w:w="74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5" w:hRule="atLeast"/>
        </w:trPr>
        <w:tc>
          <w:tcPr>
            <w:tcW w:w="64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　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 </w:t>
            </w:r>
            <w:r>
              <w:rPr>
                <w:rFonts w:hint="eastAsia" w:ascii="黑体" w:hAnsi="宋体" w:eastAsia="黑体" w:cs="黑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7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Calibri" w:hAnsi="Calibri" w:eastAsia="sans-serif" w:cs="Calibri"/>
          <w:i w:val="0"/>
          <w:iCs w:val="0"/>
          <w:caps w:val="0"/>
          <w:color w:val="000000"/>
          <w:spacing w:val="0"/>
          <w:sz w:val="21"/>
          <w:szCs w:val="21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五、存在的主要问题及改进情况</w:t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(一)政务公开工作人员业务水平不高，对上级部门文件的要求理解不够，影响了工作的推进。</w:t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(二)政务公开制度还不够完善。政务公开制度建设情况比较滞后，部分工作实际上开展了，但没有形成制度规定，随意性较大。</w:t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(三)部分政务公开内容推进比较缓慢，如规划信息等。</w:t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(四)下一步改进措施。进一步加强学习，学习研究上级文件，掌握政务公开工作的新要求、新提法和新概念，提高工作的积极性和主动性。并做好管理和维护工作，充分发挥政务公开窗口作用。</w:t>
      </w:r>
    </w:p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QyOWZhODU3NmU4MTE5ZGVkMDMyZWE5YWIxNjYyMjUifQ=="/>
  </w:docVars>
  <w:rsids>
    <w:rsidRoot w:val="00000000"/>
    <w:rsid w:val="0A266684"/>
    <w:rsid w:val="16C475BA"/>
    <w:rsid w:val="4EA2446B"/>
    <w:rsid w:val="50047614"/>
    <w:rsid w:val="53ED731B"/>
    <w:rsid w:val="5AB571AA"/>
    <w:rsid w:val="7EC77BB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1659</Words>
  <Characters>1694</Characters>
  <Lines>0</Lines>
  <Paragraphs>0</Paragraphs>
  <TotalTime>15</TotalTime>
  <ScaleCrop>false</ScaleCrop>
  <LinksUpToDate>false</LinksUpToDate>
  <CharactersWithSpaces>1712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2024-01-09T07:07:00Z</dcterms:created>
  <dc:creator>Administrator</dc:creator>
  <cp:lastModifiedBy>陈昭阳</cp:lastModifiedBy>
  <dcterms:modified xsi:type="dcterms:W3CDTF">2024-01-25T01:58:00Z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FDEDB0C11BFE4D4892F009E7367C8736_13</vt:lpwstr>
  </property>
</Properties>
</file>