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555" w:lineRule="atLeast"/>
        <w:ind w:left="0" w:firstLine="480"/>
        <w:jc w:val="center"/>
        <w:rPr>
          <w:rFonts w:ascii="微软雅黑" w:eastAsia="微软雅黑" w:hint="eastAsia"/>
          <w:b/>
          <w:bCs/>
          <w:i w:val="0"/>
          <w:iCs w:val="0"/>
          <w:caps w:val="0"/>
          <w:smallCaps w:val="0"/>
          <w:strike w:val="0"/>
          <w:dstrike w:val="0"/>
          <w:vanish w:val="0"/>
          <w:color w:val="333333"/>
          <w:spacing w:val="0"/>
          <w:sz w:val="27"/>
          <w:szCs w:val="27"/>
          <w:u w:val="none"/>
        </w:rPr>
      </w:pPr>
      <w:r>
        <w:rPr>
          <w:rStyle w:val="15"/>
          <w:rFonts w:ascii="宋体" w:eastAsia="宋体" w:hint="eastAsia"/>
          <w:i w:val="0"/>
          <w:iCs w:val="0"/>
          <w:caps w:val="0"/>
          <w:smallCaps w:val="0"/>
          <w:strike w:val="0"/>
          <w:dstrike w:val="0"/>
          <w:vanish w:val="0"/>
          <w:color w:val="666666"/>
          <w:spacing w:val="0"/>
          <w:sz w:val="44"/>
          <w:szCs w:val="44"/>
          <w:u w:val="none"/>
          <w:bdr w:val="none" w:sz="0" w:space="0" w:color="auto"/>
        </w:rPr>
        <w:t>邢台市隆尧县水务局</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555" w:lineRule="atLeast"/>
        <w:ind w:left="0" w:firstLine="480"/>
        <w:jc w:val="center"/>
        <w:rPr>
          <w:rFonts w:ascii="微软雅黑" w:eastAsia="微软雅黑" w:hint="eastAsia"/>
          <w:b/>
          <w:bCs/>
          <w:i w:val="0"/>
          <w:iCs w:val="0"/>
          <w:caps w:val="0"/>
          <w:smallCaps w:val="0"/>
          <w:strike w:val="0"/>
          <w:dstrike w:val="0"/>
          <w:vanish w:val="0"/>
          <w:color w:val="333333"/>
          <w:spacing w:val="0"/>
          <w:sz w:val="27"/>
          <w:szCs w:val="27"/>
          <w:u w:val="none"/>
        </w:rPr>
      </w:pPr>
      <w:r>
        <w:rPr>
          <w:rStyle w:val="15"/>
          <w:rFonts w:ascii="宋体" w:eastAsia="宋体" w:hint="eastAsia"/>
          <w:i w:val="0"/>
          <w:iCs w:val="0"/>
          <w:caps w:val="0"/>
          <w:smallCaps w:val="0"/>
          <w:strike w:val="0"/>
          <w:dstrike w:val="0"/>
          <w:vanish w:val="0"/>
          <w:color w:val="666666"/>
          <w:spacing w:val="0"/>
          <w:sz w:val="44"/>
          <w:szCs w:val="44"/>
          <w:u w:val="none"/>
          <w:bdr w:val="none" w:sz="0" w:space="0" w:color="auto"/>
        </w:rPr>
        <w:t>202</w:t>
      </w:r>
      <w:r>
        <w:rPr>
          <w:rStyle w:val="15"/>
          <w:rFonts w:ascii="宋体" w:eastAsia="宋体"/>
          <w:i w:val="0"/>
          <w:iCs w:val="0"/>
          <w:caps w:val="0"/>
          <w:smallCaps w:val="0"/>
          <w:strike w:val="0"/>
          <w:dstrike w:val="0"/>
          <w:vanish w:val="0"/>
          <w:color w:val="666666"/>
          <w:spacing w:val="0"/>
          <w:sz w:val="44"/>
          <w:szCs w:val="44"/>
          <w:u w:val="none"/>
          <w:bdr w:val="none" w:sz="0" w:space="0" w:color="auto"/>
        </w:rPr>
        <w:t>3年度</w:t>
      </w:r>
      <w:r>
        <w:rPr>
          <w:rStyle w:val="15"/>
          <w:rFonts w:ascii="宋体" w:eastAsia="宋体" w:hint="eastAsia"/>
          <w:i w:val="0"/>
          <w:iCs w:val="0"/>
          <w:caps w:val="0"/>
          <w:smallCaps w:val="0"/>
          <w:strike w:val="0"/>
          <w:dstrike w:val="0"/>
          <w:vanish w:val="0"/>
          <w:color w:val="666666"/>
          <w:spacing w:val="0"/>
          <w:sz w:val="44"/>
          <w:szCs w:val="44"/>
          <w:u w:val="none"/>
          <w:bdr w:val="none" w:sz="0" w:space="0" w:color="auto"/>
        </w:rPr>
        <w:t>政府信息公开工作年度报告</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555" w:lineRule="atLeast"/>
        <w:ind w:left="0" w:firstLine="645"/>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_GB2312" w:eastAsia="仿宋_GB2312" w:hint="eastAsia"/>
          <w:b w:val="0"/>
          <w:bCs w:val="0"/>
          <w:i w:val="0"/>
          <w:iCs w:val="0"/>
          <w:caps w:val="0"/>
          <w:smallCaps w:val="0"/>
          <w:strike w:val="0"/>
          <w:dstrike w:val="0"/>
          <w:vanish w:val="0"/>
          <w:color w:val="666666"/>
          <w:spacing w:val="0"/>
          <w:sz w:val="24"/>
          <w:szCs w:val="24"/>
          <w:u w:val="none"/>
          <w:bdr w:val="none" w:sz="0" w:space="0" w:color="auto"/>
        </w:rPr>
        <w:t> </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根据《中华人民共和国政府信息公开条例》《河北省实施〈中华人民共和国政府信息公开条例〉办法》等规定，我局发布本年度报告。报告中所列数据统计期限为2024年1日至12月31日。</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540"/>
        <w:rPr>
          <w:rFonts w:ascii="微软雅黑" w:eastAsia="微软雅黑" w:hint="eastAsia"/>
          <w:b w:val="0"/>
          <w:bCs w:val="0"/>
          <w:i w:val="0"/>
          <w:iCs w:val="0"/>
          <w:caps w:val="0"/>
          <w:smallCaps w:val="0"/>
          <w:strike w:val="0"/>
          <w:dstrike w:val="0"/>
          <w:vanish w:val="0"/>
          <w:color w:val="333333"/>
          <w:spacing w:val="0"/>
          <w:sz w:val="32"/>
          <w:szCs w:val="32"/>
          <w:u w:val="none"/>
        </w:rPr>
      </w:pPr>
      <w:r>
        <w:rPr>
          <w:rStyle w:val="15"/>
          <w:rFonts w:ascii="黑体" w:eastAsia="黑体" w:hint="eastAsia"/>
          <w:b w:val="0"/>
          <w:bCs w:val="0"/>
          <w:i w:val="0"/>
          <w:iCs w:val="0"/>
          <w:caps w:val="0"/>
          <w:smallCaps w:val="0"/>
          <w:strike w:val="0"/>
          <w:dstrike w:val="0"/>
          <w:vanish w:val="0"/>
          <w:color w:val="666666"/>
          <w:spacing w:val="0"/>
          <w:sz w:val="32"/>
          <w:szCs w:val="32"/>
          <w:u w:val="none"/>
          <w:bdr w:val="none" w:sz="0" w:space="0" w:color="auto"/>
        </w:rPr>
        <w:t>一、总体情况</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2023</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年</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我局以习近平新时代中国特色社会主义思想和党的二十大精神为指导，严格落实党中央、国务院关于全面推进政务公开工作的部署。高度重视政府信息公开工作，进一步完善各项规章制度，将工作任务细化分解，抓好落实，充分运用政府信息公开平台扎实推进我局信息公开工作。</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楷体" w:eastAsia="楷体" w:cs="楷体" w:hAnsi="楷体" w:hint="eastAsia"/>
          <w:b w:val="0"/>
          <w:bCs w:val="0"/>
          <w:i w:val="0"/>
          <w:iCs w:val="0"/>
          <w:caps w:val="0"/>
          <w:smallCaps w:val="0"/>
          <w:strike w:val="0"/>
          <w:dstrike w:val="0"/>
          <w:vanish w:val="0"/>
          <w:color w:val="333333"/>
          <w:spacing w:val="0"/>
          <w:sz w:val="32"/>
          <w:szCs w:val="32"/>
          <w:u w:val="none"/>
        </w:rPr>
      </w:pPr>
      <w:r>
        <w:rPr>
          <w:rFonts w:ascii="楷体" w:eastAsia="楷体" w:cs="楷体" w:hAnsi="楷体" w:hint="eastAsia"/>
          <w:b w:val="0"/>
          <w:bCs w:val="0"/>
          <w:i w:val="0"/>
          <w:iCs w:val="0"/>
          <w:caps w:val="0"/>
          <w:smallCaps w:val="0"/>
          <w:strike w:val="0"/>
          <w:dstrike w:val="0"/>
          <w:vanish w:val="0"/>
          <w:color w:val="666666"/>
          <w:spacing w:val="0"/>
          <w:sz w:val="32"/>
          <w:szCs w:val="32"/>
          <w:u w:val="none"/>
          <w:bdr w:val="none" w:sz="0" w:space="0" w:color="auto"/>
        </w:rPr>
        <w:t>(一)加强主动公开</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2023</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年</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，我局认真贯彻落实政府信息公开《条例》，对水务工作动态、水资源管理、行政执法均主动公开，累计公开信息3</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0条。</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通过信息公开，局机关各项政务透明度进一步提高,水务工作办事程序进一步规范,推进了各项水利工作的顺利开展,完成了年度工作目标和任务,各项重点水务工作取得了新的突破。</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楷体" w:eastAsia="楷体" w:cs="楷体" w:hAnsi="楷体" w:hint="eastAsia"/>
          <w:b w:val="0"/>
          <w:bCs w:val="0"/>
          <w:i w:val="0"/>
          <w:iCs w:val="0"/>
          <w:caps w:val="0"/>
          <w:smallCaps w:val="0"/>
          <w:strike w:val="0"/>
          <w:dstrike w:val="0"/>
          <w:vanish w:val="0"/>
          <w:color w:val="333333"/>
          <w:spacing w:val="0"/>
          <w:sz w:val="32"/>
          <w:szCs w:val="32"/>
          <w:u w:val="none"/>
        </w:rPr>
      </w:pPr>
      <w:r>
        <w:rPr>
          <w:rFonts w:ascii="楷体" w:eastAsia="楷体" w:cs="楷体" w:hAnsi="楷体" w:hint="eastAsia"/>
          <w:b w:val="0"/>
          <w:bCs w:val="0"/>
          <w:i w:val="0"/>
          <w:iCs w:val="0"/>
          <w:caps w:val="0"/>
          <w:smallCaps w:val="0"/>
          <w:strike w:val="0"/>
          <w:dstrike w:val="0"/>
          <w:vanish w:val="0"/>
          <w:color w:val="666666"/>
          <w:spacing w:val="0"/>
          <w:sz w:val="32"/>
          <w:szCs w:val="32"/>
          <w:u w:val="none"/>
          <w:bdr w:val="none" w:sz="0" w:space="0" w:color="auto"/>
        </w:rPr>
        <w:t>（二）规范依申请公开</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我局高度重视政府信息依申请公开工作，认真贯彻落实《河业省政府信息公开申请办理规范》，进一步完善了我局信息公开申请登记、审核、办理、答复、归档制度，切实担负起主体责任，未出现拒不答复，全面提升工作质量。</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楷体" w:eastAsia="楷体" w:cs="楷体" w:hAnsi="楷体" w:hint="eastAsia"/>
          <w:b w:val="0"/>
          <w:bCs w:val="0"/>
          <w:i w:val="0"/>
          <w:iCs w:val="0"/>
          <w:caps w:val="0"/>
          <w:smallCaps w:val="0"/>
          <w:strike w:val="0"/>
          <w:dstrike w:val="0"/>
          <w:vanish w:val="0"/>
          <w:color w:val="333333"/>
          <w:spacing w:val="0"/>
          <w:sz w:val="32"/>
          <w:szCs w:val="32"/>
          <w:u w:val="none"/>
        </w:rPr>
      </w:pPr>
      <w:r>
        <w:rPr>
          <w:rFonts w:ascii="楷体" w:eastAsia="楷体" w:cs="楷体" w:hAnsi="楷体" w:hint="eastAsia"/>
          <w:b w:val="0"/>
          <w:bCs w:val="0"/>
          <w:i w:val="0"/>
          <w:iCs w:val="0"/>
          <w:caps w:val="0"/>
          <w:smallCaps w:val="0"/>
          <w:strike w:val="0"/>
          <w:dstrike w:val="0"/>
          <w:vanish w:val="0"/>
          <w:color w:val="666666"/>
          <w:spacing w:val="0"/>
          <w:sz w:val="32"/>
          <w:szCs w:val="32"/>
          <w:u w:val="none"/>
          <w:bdr w:val="none" w:sz="0" w:space="0" w:color="auto"/>
        </w:rPr>
        <w:t>（三）严格政务信息管理工作</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根据《隆尧县人民政府办公室关于进一步强化政府网站</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和政务新媒体</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安全保障、确保平稳运行的通知》，坚决落实网络意识形态工作责任制，健全风险排查机制，按“谁开设、谁负责”，“谁主管、谁负责”的原则，压实工作责任，完善责任到人工作制度，确保政府网站和政务新</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媒</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体安全、平稳、有序运行。</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楷体" w:eastAsia="楷体" w:cs="楷体" w:hAnsi="楷体" w:hint="eastAsia"/>
          <w:b w:val="0"/>
          <w:bCs w:val="0"/>
          <w:i w:val="0"/>
          <w:iCs w:val="0"/>
          <w:caps w:val="0"/>
          <w:smallCaps w:val="0"/>
          <w:strike w:val="0"/>
          <w:dstrike w:val="0"/>
          <w:vanish w:val="0"/>
          <w:color w:val="333333"/>
          <w:spacing w:val="0"/>
          <w:sz w:val="32"/>
          <w:szCs w:val="32"/>
          <w:u w:val="none"/>
        </w:rPr>
      </w:pPr>
      <w:r>
        <w:rPr>
          <w:rFonts w:ascii="楷体" w:eastAsia="楷体" w:cs="楷体" w:hAnsi="楷体" w:hint="eastAsia"/>
          <w:b w:val="0"/>
          <w:bCs w:val="0"/>
          <w:i w:val="0"/>
          <w:iCs w:val="0"/>
          <w:caps w:val="0"/>
          <w:smallCaps w:val="0"/>
          <w:strike w:val="0"/>
          <w:dstrike w:val="0"/>
          <w:vanish w:val="0"/>
          <w:color w:val="333333"/>
          <w:spacing w:val="0"/>
          <w:sz w:val="32"/>
          <w:szCs w:val="32"/>
          <w:u w:val="none"/>
          <w:bdr w:val="none" w:sz="0" w:space="0" w:color="auto"/>
        </w:rPr>
        <w:t>（</w:t>
      </w:r>
      <w:r>
        <w:rPr>
          <w:rFonts w:ascii="楷体" w:eastAsia="楷体" w:cs="楷体" w:hAnsi="楷体" w:hint="eastAsia"/>
          <w:b w:val="0"/>
          <w:bCs w:val="0"/>
          <w:i w:val="0"/>
          <w:iCs w:val="0"/>
          <w:caps w:val="0"/>
          <w:smallCaps w:val="0"/>
          <w:strike w:val="0"/>
          <w:dstrike w:val="0"/>
          <w:vanish w:val="0"/>
          <w:color w:val="666666"/>
          <w:spacing w:val="0"/>
          <w:sz w:val="32"/>
          <w:szCs w:val="32"/>
          <w:u w:val="none"/>
          <w:bdr w:val="none" w:sz="0" w:space="0" w:color="auto"/>
        </w:rPr>
        <w:t>四）推进政府信息公开平台建设</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照上级要求，积极推我局信息公开平台建设。为进一步优化政务网站和政府信息公开平台服务功能，有效提升政府网站和政府信息公开平台的一站式担索、错敏字拉素，公民隐私信思保护、政务信息存储和网站安全防护功能，最大程度激发政府信息公开平台、政务新媒体的宣传效能。</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楷体" w:eastAsia="楷体" w:cs="楷体" w:hAnsi="楷体" w:hint="eastAsia"/>
          <w:b w:val="0"/>
          <w:bCs w:val="0"/>
          <w:i w:val="0"/>
          <w:iCs w:val="0"/>
          <w:caps w:val="0"/>
          <w:smallCaps w:val="0"/>
          <w:strike w:val="0"/>
          <w:dstrike w:val="0"/>
          <w:vanish w:val="0"/>
          <w:color w:val="333333"/>
          <w:spacing w:val="0"/>
          <w:sz w:val="32"/>
          <w:szCs w:val="32"/>
          <w:u w:val="none"/>
        </w:rPr>
      </w:pPr>
      <w:r>
        <w:rPr>
          <w:rFonts w:ascii="楷体" w:eastAsia="楷体" w:cs="楷体" w:hAnsi="楷体" w:hint="eastAsia"/>
          <w:b w:val="0"/>
          <w:bCs w:val="0"/>
          <w:i w:val="0"/>
          <w:iCs w:val="0"/>
          <w:caps w:val="0"/>
          <w:smallCaps w:val="0"/>
          <w:strike w:val="0"/>
          <w:dstrike w:val="0"/>
          <w:vanish w:val="0"/>
          <w:color w:val="666666"/>
          <w:spacing w:val="0"/>
          <w:sz w:val="32"/>
          <w:szCs w:val="32"/>
          <w:u w:val="none"/>
          <w:bdr w:val="none" w:sz="0" w:space="0" w:color="auto"/>
        </w:rPr>
        <w:t>（五）加强组织协调监督保障</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32"/>
          <w:szCs w:val="32"/>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我局建立健全了政务信息发布审核制度。我局成立了主要领导为组长，分管领导为副组长，相关股（室）负责人为成员的政府信息工作领导小组，配备1名专职人员负责做好政务信息工作发布工作，形成“主要领导亲自抓，分管领导具体抓，职能股室抓落实”的工作机制。对各股室政务信息提供的数量及质量严格把关，不定期对政务信息工作进行监督检查</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w:t>
      </w:r>
      <w:bookmarkStart w:id="0" w:name="_GoBack"/>
      <w:bookmarkEnd w:id="0"/>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对任务分工落实情况纳入政府信息公开工作年度报告，按照国办公开办函（2021)30号统一格式编制发布。报告内容按照县要求主动公开，同时保证报合高质量完成，并在隆尧县人民政府政务公开设置政府工作报告专栏，接受社会监督。</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540"/>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黑体" w:eastAsia="黑体" w:hint="eastAsia"/>
          <w:b w:val="0"/>
          <w:bCs w:val="0"/>
          <w:i w:val="0"/>
          <w:iCs w:val="0"/>
          <w:caps w:val="0"/>
          <w:smallCaps w:val="0"/>
          <w:strike w:val="0"/>
          <w:dstrike w:val="0"/>
          <w:vanish w:val="0"/>
          <w:color w:val="666666"/>
          <w:spacing w:val="0"/>
          <w:sz w:val="32"/>
          <w:szCs w:val="32"/>
          <w:u w:val="none"/>
          <w:bdr w:val="none" w:sz="0" w:space="0" w:color="auto"/>
        </w:rPr>
        <w:t>二、主动公开政府信息情况</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420"/>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p>
    <w:tbl>
      <w:tblPr>
        <w:jc w:val="left"/>
        <w:tblW w:w="10845" w:type="dxa"/>
        <w:tblCellSpacing w:w="15" w:type="dxa"/>
        <w:tblBorders>
          <w:top w:val="single" w:sz="6" w:space="0" w:color="333333"/>
          <w:left w:val="single" w:sz="6" w:space="0" w:color="333333"/>
          <w:bottom w:val="none" w:sz="0" w:space="0" w:color="auto"/>
          <w:right w:val="none" w:sz="0" w:space="0" w:color="auto"/>
        </w:tblBorders>
        <w:shd w:val="clear" w:color="auto" w:fill="FFFFFF"/>
        <w:tblCellMar>
          <w:top w:w="15" w:type="dxa"/>
          <w:left w:w="15" w:type="dxa"/>
          <w:bottom w:w="15" w:type="dxa"/>
          <w:right w:w="15" w:type="dxa"/>
        </w:tblCellMar>
      </w:tblPr>
      <w:tblGrid>
        <w:gridCol w:w="2704"/>
        <w:gridCol w:w="2704"/>
        <w:gridCol w:w="2704"/>
        <w:gridCol w:w="2704"/>
      </w:tblGrid>
      <w:tr>
        <w:trPr>
          <w:trHeight w:val="345"/>
        </w:trPr>
        <w:tc>
          <w:tcPr>
            <w:tcW w:w="9735" w:type="dxa"/>
            <w:gridSpan w:val="4"/>
            <w:tcBorders>
              <w:bottom w:val="single" w:sz="6" w:space="0" w:color="auto"/>
              <w:right w:val="single" w:sz="6" w:space="0" w:color="auto"/>
              <w:tl2br w:val="nil"/>
              <w:tr2bl w:val="nil"/>
            </w:tcBorders>
            <w:shd w:val="clear" w:color="auto" w:fill="C6D9F1"/>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第二十条第（一）项</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信息内容</w:t>
            </w:r>
          </w:p>
        </w:tc>
        <w:tc>
          <w:tcPr>
            <w:tcW w:w="243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本年制发件数</w:t>
            </w:r>
          </w:p>
        </w:tc>
        <w:tc>
          <w:tcPr>
            <w:tcW w:w="243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本年废止件数</w:t>
            </w:r>
          </w:p>
        </w:tc>
        <w:tc>
          <w:tcPr>
            <w:tcW w:w="243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现行有效件数</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规章</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r>
              <w:rPr>
                <w:rFonts w:ascii="仿宋" w:eastAsia="仿宋" w:hint="eastAsia"/>
                <w:b w:val="0"/>
                <w:bCs w:val="0"/>
                <w:i w:val="0"/>
                <w:iCs w:val="0"/>
                <w:caps w:val="0"/>
                <w:smallCaps w:val="0"/>
                <w:strike w:val="0"/>
                <w:dstrike w:val="0"/>
                <w:vanish w:val="0"/>
                <w:color w:val="333333"/>
                <w:spacing w:val="0"/>
                <w:sz w:val="27"/>
                <w:szCs w:val="27"/>
                <w:u w:val="none"/>
                <w:bdr w:val="none" w:sz="0" w:space="0" w:color="auto"/>
              </w:rPr>
              <w:t>0</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1813" w:hanging="1813"/>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行政规范性文件</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r>
              <w:rPr>
                <w:rFonts w:ascii="仿宋" w:eastAsia="仿宋" w:hint="eastAsia"/>
                <w:b w:val="0"/>
                <w:bCs w:val="0"/>
                <w:i w:val="0"/>
                <w:iCs w:val="0"/>
                <w:caps w:val="0"/>
                <w:smallCaps w:val="0"/>
                <w:strike w:val="0"/>
                <w:dstrike w:val="0"/>
                <w:vanish w:val="0"/>
                <w:color w:val="333333"/>
                <w:spacing w:val="0"/>
                <w:sz w:val="27"/>
                <w:szCs w:val="27"/>
                <w:u w:val="none"/>
                <w:bdr w:val="none" w:sz="0" w:space="0" w:color="auto"/>
              </w:rPr>
              <w:t>0</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　</w:t>
            </w:r>
          </w:p>
        </w:tc>
        <w:tc>
          <w:tcPr>
            <w:tcW w:w="24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r>
      <w:tr>
        <w:trPr>
          <w:trHeight w:val="345"/>
        </w:trPr>
        <w:tc>
          <w:tcPr>
            <w:tcW w:w="9735" w:type="dxa"/>
            <w:gridSpan w:val="4"/>
            <w:tcBorders>
              <w:top w:val="nil"/>
              <w:bottom w:val="single" w:sz="6" w:space="0" w:color="auto"/>
              <w:right w:val="single" w:sz="6" w:space="0" w:color="auto"/>
              <w:tl2br w:val="nil"/>
              <w:tr2bl w:val="nil"/>
            </w:tcBorders>
            <w:shd w:val="clear" w:color="auto" w:fill="C6D9F1"/>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第二十条第（五）项</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信息内容</w:t>
            </w:r>
          </w:p>
        </w:tc>
        <w:tc>
          <w:tcPr>
            <w:tcW w:w="7305" w:type="dxa"/>
            <w:gridSpan w:val="3"/>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本年处理决定数量</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行政许可</w:t>
            </w:r>
          </w:p>
        </w:tc>
        <w:tc>
          <w:tcPr>
            <w:tcW w:w="7305" w:type="dxa"/>
            <w:gridSpan w:val="3"/>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r>
      <w:tr>
        <w:trPr>
          <w:trHeight w:val="345"/>
        </w:trPr>
        <w:tc>
          <w:tcPr>
            <w:tcW w:w="9735" w:type="dxa"/>
            <w:gridSpan w:val="4"/>
            <w:tcBorders>
              <w:top w:val="nil"/>
              <w:bottom w:val="single" w:sz="6" w:space="0" w:color="auto"/>
              <w:right w:val="single" w:sz="6" w:space="0" w:color="auto"/>
              <w:tl2br w:val="nil"/>
              <w:tr2bl w:val="nil"/>
            </w:tcBorders>
            <w:shd w:val="clear" w:color="auto" w:fill="C6D9F1"/>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第二十条第（六）项</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信息内容</w:t>
            </w:r>
          </w:p>
        </w:tc>
        <w:tc>
          <w:tcPr>
            <w:tcW w:w="7305" w:type="dxa"/>
            <w:gridSpan w:val="3"/>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本年处理决定数量</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行政处罚</w:t>
            </w:r>
          </w:p>
        </w:tc>
        <w:tc>
          <w:tcPr>
            <w:tcW w:w="7305" w:type="dxa"/>
            <w:gridSpan w:val="3"/>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r>
              <w:rPr>
                <w:rFonts w:ascii="仿宋" w:eastAsia="仿宋" w:hint="eastAsia"/>
                <w:b w:val="0"/>
                <w:bCs w:val="0"/>
                <w:i w:val="0"/>
                <w:iCs w:val="0"/>
                <w:caps w:val="0"/>
                <w:smallCaps w:val="0"/>
                <w:strike w:val="0"/>
                <w:dstrike w:val="0"/>
                <w:vanish w:val="0"/>
                <w:color w:val="333333"/>
                <w:spacing w:val="0"/>
                <w:sz w:val="27"/>
                <w:szCs w:val="27"/>
                <w:u w:val="none"/>
                <w:bdr w:val="none" w:sz="0" w:space="0" w:color="auto"/>
              </w:rPr>
              <w:t>0</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行政强制</w:t>
            </w:r>
          </w:p>
        </w:tc>
        <w:tc>
          <w:tcPr>
            <w:tcW w:w="7305" w:type="dxa"/>
            <w:gridSpan w:val="3"/>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r>
              <w:rPr>
                <w:rFonts w:ascii="仿宋" w:eastAsia="仿宋" w:hint="eastAsia"/>
                <w:b w:val="0"/>
                <w:bCs w:val="0"/>
                <w:i w:val="0"/>
                <w:iCs w:val="0"/>
                <w:caps w:val="0"/>
                <w:smallCaps w:val="0"/>
                <w:strike w:val="0"/>
                <w:dstrike w:val="0"/>
                <w:vanish w:val="0"/>
                <w:color w:val="333333"/>
                <w:spacing w:val="0"/>
                <w:sz w:val="27"/>
                <w:szCs w:val="27"/>
                <w:u w:val="none"/>
                <w:bdr w:val="none" w:sz="0" w:space="0" w:color="auto"/>
              </w:rPr>
              <w:t>0</w:t>
            </w:r>
          </w:p>
        </w:tc>
      </w:tr>
      <w:tr>
        <w:trPr>
          <w:trHeight w:val="345"/>
        </w:trPr>
        <w:tc>
          <w:tcPr>
            <w:tcW w:w="9735" w:type="dxa"/>
            <w:gridSpan w:val="4"/>
            <w:tcBorders>
              <w:top w:val="nil"/>
              <w:bottom w:val="single" w:sz="6" w:space="0" w:color="auto"/>
              <w:right w:val="single" w:sz="6" w:space="0" w:color="auto"/>
              <w:tl2br w:val="nil"/>
              <w:tr2bl w:val="nil"/>
            </w:tcBorders>
            <w:shd w:val="clear" w:color="auto" w:fill="C6D9F1"/>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第二十条第（八）项</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信息内容</w:t>
            </w:r>
          </w:p>
        </w:tc>
        <w:tc>
          <w:tcPr>
            <w:tcW w:w="7305" w:type="dxa"/>
            <w:gridSpan w:val="3"/>
            <w:tcBorders>
              <w:top w:val="nil"/>
              <w:left w:val="nil"/>
              <w:bottom w:val="single" w:sz="6" w:space="0" w:color="auto"/>
              <w:right w:val="single" w:sz="6" w:space="0" w:color="000000"/>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本年收费金额（单位：万元）</w:t>
            </w:r>
          </w:p>
        </w:tc>
      </w:tr>
      <w:tr>
        <w:trPr>
          <w:trHeight w:val="345"/>
        </w:trPr>
        <w:tc>
          <w:tcPr>
            <w:tcW w:w="2430" w:type="dxa"/>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行政事业性收费</w:t>
            </w:r>
          </w:p>
        </w:tc>
        <w:tc>
          <w:tcPr>
            <w:tcW w:w="7305" w:type="dxa"/>
            <w:gridSpan w:val="3"/>
            <w:tcBorders>
              <w:top w:val="nil"/>
              <w:left w:val="nil"/>
              <w:bottom w:val="single" w:sz="6" w:space="0" w:color="auto"/>
              <w:right w:val="single" w:sz="6" w:space="0" w:color="000000"/>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w:t>
            </w:r>
          </w:p>
        </w:tc>
      </w:tr>
    </w:tbl>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480"/>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黑体" w:eastAsia="黑体" w:hint="eastAsia"/>
          <w:b w:val="0"/>
          <w:bCs w:val="0"/>
          <w:i w:val="0"/>
          <w:iCs w:val="0"/>
          <w:caps w:val="0"/>
          <w:smallCaps w:val="0"/>
          <w:strike w:val="0"/>
          <w:dstrike w:val="0"/>
          <w:vanish w:val="0"/>
          <w:color w:val="666666"/>
          <w:spacing w:val="0"/>
          <w:sz w:val="32"/>
          <w:szCs w:val="32"/>
          <w:u w:val="none"/>
          <w:bdr w:val="none" w:sz="0" w:space="0" w:color="auto"/>
        </w:rPr>
        <w:t>三、收到和处理政府信息公开申请情况</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420"/>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p>
    <w:tbl>
      <w:tblPr>
        <w:jc w:val="left"/>
        <w:tblW w:w="10845" w:type="dxa"/>
        <w:tblCellSpacing w:w="15" w:type="dxa"/>
        <w:tblBorders>
          <w:top w:val="single" w:sz="6" w:space="0" w:color="333333"/>
          <w:left w:val="single" w:sz="6" w:space="0" w:color="333333"/>
          <w:bottom w:val="none" w:sz="0" w:space="0" w:color="auto"/>
          <w:right w:val="none" w:sz="0" w:space="0" w:color="auto"/>
        </w:tblBorders>
        <w:shd w:val="clear" w:color="auto" w:fill="FFFFFF"/>
        <w:tblCellMar>
          <w:top w:w="15" w:type="dxa"/>
          <w:left w:w="15" w:type="dxa"/>
          <w:bottom w:w="15" w:type="dxa"/>
          <w:right w:w="15" w:type="dxa"/>
        </w:tblCellMar>
      </w:tblPr>
      <w:tblGrid>
        <w:gridCol w:w="856"/>
        <w:gridCol w:w="1186"/>
        <w:gridCol w:w="3411"/>
        <w:gridCol w:w="761"/>
        <w:gridCol w:w="809"/>
        <w:gridCol w:w="809"/>
        <w:gridCol w:w="761"/>
        <w:gridCol w:w="761"/>
        <w:gridCol w:w="761"/>
        <w:gridCol w:w="698"/>
      </w:tblGrid>
      <w:tr>
        <w:tc>
          <w:tcPr>
            <w:tcW w:w="4905" w:type="dxa"/>
            <w:gridSpan w:val="3"/>
            <w:vMerge w:val="restart"/>
            <w:tcBorders>
              <w:bottom w:val="outset"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（本列数据的勾稽关系为：第一项加第二项之和，等于第三项加第四项之和）</w:t>
            </w:r>
          </w:p>
        </w:tc>
        <w:tc>
          <w:tcPr>
            <w:tcW w:w="4845" w:type="dxa"/>
            <w:gridSpan w:val="7"/>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申请人情况</w:t>
            </w:r>
          </w:p>
        </w:tc>
      </w:tr>
      <w:tr>
        <w:tc>
          <w:tcPr>
            <w:gridSpan w:val="3"/>
            <w:vMerge/>
            <w:tcBorders>
              <w:bottom w:val="outset" w:sz="6" w:space="0" w:color="auto"/>
              <w:right w:val="single" w:sz="6" w:space="0" w:color="auto"/>
              <w:tl2br w:val="nil"/>
              <w:tr2bl w:val="nil"/>
            </w:tcBorders>
            <w:shd w:val="clear" w:color="auto" w:fill="FFFFFF"/>
            <w:vAlign w:val="center"/>
          </w:tcPr>
          <w:p/>
        </w:tc>
        <w:tc>
          <w:tcPr>
            <w:tcW w:w="690" w:type="dxa"/>
            <w:vMerge w:val="restart"/>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自然人</w:t>
            </w:r>
          </w:p>
        </w:tc>
        <w:tc>
          <w:tcPr>
            <w:tcW w:w="3525" w:type="dxa"/>
            <w:gridSpan w:val="5"/>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法人或其他组织</w:t>
            </w:r>
          </w:p>
        </w:tc>
        <w:tc>
          <w:tcPr>
            <w:tcW w:w="630" w:type="dxa"/>
            <w:vMerge w:val="restart"/>
            <w:tcBorders>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总计</w:t>
            </w:r>
          </w:p>
        </w:tc>
      </w:tr>
      <w:tr>
        <w:tc>
          <w:tcPr>
            <w:gridSpan w:val="3"/>
            <w:vMerge/>
            <w:tcBorders>
              <w:bottom w:val="outset" w:sz="6" w:space="0" w:color="auto"/>
              <w:right w:val="single" w:sz="6" w:space="0" w:color="auto"/>
              <w:tl2br w:val="nil"/>
              <w:tr2bl w:val="nil"/>
            </w:tcBorders>
            <w:shd w:val="clear" w:color="auto" w:fill="FFFFFF"/>
            <w:vAlign w:val="center"/>
          </w:tcPr>
          <w:p/>
        </w:tc>
        <w:tc>
          <w:tcPr>
            <w:vMerge/>
            <w:tcBorders>
              <w:top w:val="nil"/>
              <w:left w:val="nil"/>
              <w:bottom w:val="single" w:sz="6" w:space="0" w:color="auto"/>
              <w:right w:val="single" w:sz="6" w:space="0" w:color="auto"/>
              <w:tl2br w:val="nil"/>
              <w:tr2bl w:val="nil"/>
            </w:tcBorders>
            <w:shd w:val="clear" w:color="auto" w:fill="FFFFFF"/>
            <w:vAlign w:val="center"/>
          </w:tcP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商业</w:t>
            </w:r>
          </w:p>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企业</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科研</w:t>
            </w:r>
          </w:p>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机构</w:t>
            </w:r>
          </w:p>
        </w:tc>
        <w:tc>
          <w:tcPr>
            <w:tcW w:w="69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社会公益组织</w:t>
            </w:r>
          </w:p>
        </w:tc>
        <w:tc>
          <w:tcPr>
            <w:tcW w:w="69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法律服务机构</w:t>
            </w:r>
          </w:p>
        </w:tc>
        <w:tc>
          <w:tcPr>
            <w:tcW w:w="69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其他</w:t>
            </w:r>
          </w:p>
        </w:tc>
        <w:tc>
          <w:tcPr>
            <w:vMerge/>
            <w:tcBorders>
              <w:left w:val="nil"/>
              <w:bottom w:val="inset" w:sz="6" w:space="0" w:color="auto"/>
              <w:right w:val="single" w:sz="6" w:space="0" w:color="auto"/>
              <w:tl2br w:val="nil"/>
              <w:tr2bl w:val="nil"/>
            </w:tcBorders>
            <w:shd w:val="clear" w:color="auto" w:fill="FFFFFF"/>
            <w:vAlign w:val="center"/>
          </w:tcPr>
          <w:p/>
        </w:tc>
      </w:tr>
      <w:tr>
        <w:tc>
          <w:tcPr>
            <w:tcW w:w="4905" w:type="dxa"/>
            <w:gridSpan w:val="3"/>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一、本年新收政府信息公开申请数量</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tcW w:w="4905" w:type="dxa"/>
            <w:gridSpan w:val="3"/>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二、上年结转政府信息公开申请数量</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tcW w:w="765" w:type="dxa"/>
            <w:vMerge w:val="restart"/>
            <w:tcBorders>
              <w:top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三、本年度办理结果</w:t>
            </w:r>
          </w:p>
        </w:tc>
        <w:tc>
          <w:tcPr>
            <w:tcW w:w="4140" w:type="dxa"/>
            <w:gridSpan w:val="2"/>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（一）予以公开</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4140" w:type="dxa"/>
            <w:gridSpan w:val="2"/>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（二）部分公开（区分处理的，只计这一情形，不计其他情形）</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945" w:type="dxa"/>
            <w:vMerge w:val="restart"/>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（三）不予公开</w:t>
            </w: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1.属于国家秘密</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2.其他法律行政法规禁止公开</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3.危及“三安全一稳定”</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4.保护第三方合法权益</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5.属于三类内部事务信息</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6.属于四类过程性信息</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7.属于行政执法案卷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8.属于行政查询事项</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945" w:type="dxa"/>
            <w:vMerge w:val="restart"/>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（四）无法提供</w:t>
            </w: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1.本机关不掌握相关政府信息</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2.没有现成信息需要另行制作</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3.补正后申请内容仍不明确</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945" w:type="dxa"/>
            <w:vMerge w:val="restart"/>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（五）不予处理</w:t>
            </w: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1.信访举报投诉类申请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2.重复申请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3.要求提供公开出版物</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4.无正当理由大量反复申请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rPr>
          <w:trHeight w:val="780"/>
        </w:trP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5.要求行政机关确认或重新出具已获取信息</w:t>
            </w:r>
          </w:p>
        </w:tc>
        <w:tc>
          <w:tcPr>
            <w:tcW w:w="690"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945" w:type="dxa"/>
            <w:vMerge w:val="restart"/>
            <w:tcBorders>
              <w:top w:val="nil"/>
              <w:left w:val="nil"/>
              <w:bottom w:val="inset"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（六）其他处理</w:t>
            </w: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1.申请人无正当理由逾期不补正、行政机关不再处理其政府信息公开申请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2.申请人逾期未按收费通知要求缴纳费用、行政机关不再处理其政府信息公开申请</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p>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vMerge/>
            <w:tcBorders>
              <w:top w:val="nil"/>
              <w:left w:val="nil"/>
              <w:bottom w:val="inset" w:sz="6" w:space="0" w:color="auto"/>
              <w:right w:val="single" w:sz="6" w:space="0" w:color="auto"/>
              <w:tl2br w:val="nil"/>
              <w:tr2bl w:val="nil"/>
            </w:tcBorders>
            <w:shd w:val="clear" w:color="auto" w:fill="FFFFFF"/>
            <w:vAlign w:val="center"/>
          </w:tcPr>
          <w:p/>
        </w:tc>
        <w:tc>
          <w:tcPr>
            <w:tcW w:w="319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3.其他</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vMerge/>
            <w:tcBorders>
              <w:top w:val="nil"/>
              <w:bottom w:val="inset" w:sz="6" w:space="0" w:color="auto"/>
              <w:right w:val="single" w:sz="6" w:space="0" w:color="auto"/>
              <w:tl2br w:val="nil"/>
              <w:tr2bl w:val="nil"/>
            </w:tcBorders>
            <w:shd w:val="clear" w:color="auto" w:fill="FFFFFF"/>
            <w:vAlign w:val="center"/>
          </w:tcPr>
          <w:p/>
        </w:tc>
        <w:tc>
          <w:tcPr>
            <w:tcW w:w="4140" w:type="dxa"/>
            <w:gridSpan w:val="2"/>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（七）总计</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r>
        <w:tc>
          <w:tcPr>
            <w:tcW w:w="4905" w:type="dxa"/>
            <w:gridSpan w:val="3"/>
            <w:tcBorders>
              <w:top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四、结转下年度继续办理</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35"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9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30" w:type="dxa"/>
            <w:tcBorders>
              <w:top w:val="nil"/>
              <w:left w:val="nil"/>
              <w:bottom w:val="single" w:sz="6" w:space="0" w:color="auto"/>
              <w:right w:val="single" w:sz="6" w:space="0" w:color="auto"/>
              <w:tl2br w:val="nil"/>
              <w:tr2bl w:val="nil"/>
            </w:tcBorders>
            <w:shd w:val="clear" w:color="auto" w:fill="FFFFFF"/>
            <w:tcMar>
              <w:top w:w="0" w:type="dxa"/>
              <w:left w:w="60" w:type="dxa"/>
              <w:bottom w:w="0" w:type="dxa"/>
              <w:right w:w="60"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r>
    </w:tbl>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54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黑体" w:eastAsia="黑体" w:cs="黑体" w:hAnsi="黑体" w:hint="eastAsia"/>
          <w:b w:val="0"/>
          <w:bCs w:val="0"/>
          <w:i w:val="0"/>
          <w:iCs w:val="0"/>
          <w:caps w:val="0"/>
          <w:smallCaps w:val="0"/>
          <w:strike w:val="0"/>
          <w:dstrike w:val="0"/>
          <w:vanish w:val="0"/>
          <w:color w:val="333333"/>
          <w:spacing w:val="0"/>
          <w:sz w:val="27"/>
          <w:szCs w:val="27"/>
          <w:u w:val="none"/>
        </w:rPr>
      </w:pPr>
      <w:r>
        <w:rPr>
          <w:rFonts w:ascii="黑体" w:eastAsia="黑体" w:cs="黑体" w:hAnsi="黑体" w:hint="eastAsia"/>
          <w:b w:val="0"/>
          <w:bCs w:val="0"/>
          <w:i w:val="0"/>
          <w:iCs w:val="0"/>
          <w:caps w:val="0"/>
          <w:smallCaps w:val="0"/>
          <w:strike w:val="0"/>
          <w:dstrike w:val="0"/>
          <w:vanish w:val="0"/>
          <w:color w:val="666666"/>
          <w:spacing w:val="0"/>
          <w:sz w:val="32"/>
          <w:szCs w:val="32"/>
          <w:u w:val="none"/>
          <w:bdr w:val="none" w:sz="0" w:space="0" w:color="auto"/>
        </w:rPr>
        <w:t>四、政府信息公开行政复议、行政诉讼情况</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54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p>
    <w:tbl>
      <w:tblPr>
        <w:jc w:val="left"/>
        <w:tblW w:w="10845" w:type="dxa"/>
        <w:tblCellSpacing w:w="15" w:type="dxa"/>
        <w:tblBorders>
          <w:top w:val="single" w:sz="6" w:space="0" w:color="333333"/>
          <w:left w:val="single" w:sz="6" w:space="0" w:color="333333"/>
          <w:bottom w:val="none" w:sz="0" w:space="0" w:color="auto"/>
          <w:right w:val="none" w:sz="0" w:space="0" w:color="auto"/>
        </w:tblBorders>
        <w:shd w:val="clear" w:color="auto" w:fill="FFFFFF"/>
        <w:tblCellMar>
          <w:top w:w="15" w:type="dxa"/>
          <w:left w:w="15" w:type="dxa"/>
          <w:bottom w:w="15" w:type="dxa"/>
          <w:right w:w="15" w:type="dxa"/>
        </w:tblCellMar>
      </w:tblPr>
      <w:tblGrid>
        <w:gridCol w:w="740"/>
        <w:gridCol w:w="740"/>
        <w:gridCol w:w="740"/>
        <w:gridCol w:w="740"/>
        <w:gridCol w:w="740"/>
        <w:gridCol w:w="740"/>
        <w:gridCol w:w="580"/>
        <w:gridCol w:w="740"/>
        <w:gridCol w:w="740"/>
        <w:gridCol w:w="740"/>
        <w:gridCol w:w="740"/>
        <w:gridCol w:w="740"/>
        <w:gridCol w:w="740"/>
        <w:gridCol w:w="740"/>
        <w:gridCol w:w="616"/>
      </w:tblGrid>
      <w:tr>
        <w:tc>
          <w:tcPr>
            <w:tcW w:w="3210" w:type="dxa"/>
            <w:gridSpan w:val="5"/>
            <w:tcBorders>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行政复议</w:t>
            </w:r>
          </w:p>
        </w:tc>
        <w:tc>
          <w:tcPr>
            <w:tcW w:w="6540" w:type="dxa"/>
            <w:gridSpan w:val="10"/>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行政诉讼</w:t>
            </w:r>
          </w:p>
        </w:tc>
      </w:tr>
      <w:tr>
        <w:tc>
          <w:tcPr>
            <w:tcW w:w="645" w:type="dxa"/>
            <w:vMerge w:val="restart"/>
            <w:tcBorders>
              <w:top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结果维持</w:t>
            </w:r>
          </w:p>
        </w:tc>
        <w:tc>
          <w:tcPr>
            <w:tcW w:w="645" w:type="dxa"/>
            <w:vMerge w:val="restart"/>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w:t>
              <w:br/>
              <w:t>纠正</w:t>
            </w:r>
          </w:p>
        </w:tc>
        <w:tc>
          <w:tcPr>
            <w:tcW w:w="645" w:type="dxa"/>
            <w:vMerge w:val="restart"/>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其他</w:t>
              <w:br/>
              <w:t>结果</w:t>
            </w:r>
          </w:p>
        </w:tc>
        <w:tc>
          <w:tcPr>
            <w:tcW w:w="645" w:type="dxa"/>
            <w:vMerge w:val="restart"/>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尚未</w:t>
              <w:br/>
              <w:t>审结</w:t>
            </w:r>
          </w:p>
        </w:tc>
        <w:tc>
          <w:tcPr>
            <w:tcW w:w="645" w:type="dxa"/>
            <w:vMerge w:val="restart"/>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总计</w:t>
            </w:r>
          </w:p>
        </w:tc>
        <w:tc>
          <w:tcPr>
            <w:tcW w:w="3225" w:type="dxa"/>
            <w:gridSpan w:val="5"/>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未经复议直接起诉</w:t>
            </w:r>
          </w:p>
        </w:tc>
        <w:tc>
          <w:tcPr>
            <w:tcW w:w="3315" w:type="dxa"/>
            <w:gridSpan w:val="5"/>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复议后起诉</w:t>
            </w:r>
          </w:p>
        </w:tc>
      </w:tr>
      <w:tr>
        <w:tc>
          <w:tcPr>
            <w:vMerge/>
            <w:tcBorders>
              <w:top w:val="nil"/>
              <w:bottom w:val="single" w:sz="6" w:space="0" w:color="auto"/>
              <w:right w:val="single" w:sz="6" w:space="0" w:color="auto"/>
              <w:tl2br w:val="nil"/>
              <w:tr2bl w:val="nil"/>
            </w:tcBorders>
            <w:shd w:val="clear" w:color="auto" w:fill="FFFFFF"/>
            <w:vAlign w:val="center"/>
          </w:tcPr>
          <w:p/>
        </w:tc>
        <w:tc>
          <w:tcPr>
            <w:vMerge/>
            <w:tcBorders>
              <w:top w:val="nil"/>
              <w:left w:val="nil"/>
              <w:bottom w:val="single" w:sz="6" w:space="0" w:color="auto"/>
              <w:right w:val="single" w:sz="6" w:space="0" w:color="auto"/>
              <w:tl2br w:val="nil"/>
              <w:tr2bl w:val="nil"/>
            </w:tcBorders>
            <w:shd w:val="clear" w:color="auto" w:fill="FFFFFF"/>
            <w:vAlign w:val="center"/>
          </w:tcPr>
          <w:p/>
        </w:tc>
        <w:tc>
          <w:tcPr>
            <w:vMerge/>
            <w:tcBorders>
              <w:left w:val="nil"/>
              <w:bottom w:val="single" w:sz="6" w:space="0" w:color="auto"/>
              <w:right w:val="single" w:sz="6" w:space="0" w:color="auto"/>
              <w:tl2br w:val="nil"/>
              <w:tr2bl w:val="nil"/>
            </w:tcBorders>
            <w:shd w:val="clear" w:color="auto" w:fill="FFFFFF"/>
            <w:vAlign w:val="center"/>
          </w:tcPr>
          <w:p/>
        </w:tc>
        <w:tc>
          <w:tcPr>
            <w:vMerge/>
            <w:tcBorders>
              <w:left w:val="nil"/>
              <w:bottom w:val="single" w:sz="6" w:space="0" w:color="auto"/>
              <w:right w:val="single" w:sz="6" w:space="0" w:color="auto"/>
              <w:tl2br w:val="nil"/>
              <w:tr2bl w:val="nil"/>
            </w:tcBorders>
            <w:shd w:val="clear" w:color="auto" w:fill="FFFFFF"/>
            <w:vAlign w:val="center"/>
          </w:tcPr>
          <w:p/>
        </w:tc>
        <w:tc>
          <w:tcPr>
            <w:vMerge/>
            <w:tcBorders>
              <w:left w:val="nil"/>
              <w:bottom w:val="single" w:sz="6" w:space="0" w:color="auto"/>
              <w:right w:val="single" w:sz="6" w:space="0" w:color="auto"/>
              <w:tl2br w:val="nil"/>
              <w:tr2bl w:val="nil"/>
            </w:tcBorders>
            <w:shd w:val="clear" w:color="auto" w:fill="FFFFFF"/>
            <w:vAlign w:val="center"/>
          </w:tcP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w:t>
              <w:br/>
              <w:t>维持</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w:t>
              <w:br/>
              <w:t>纠正</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其他</w:t>
              <w:br/>
              <w:t>结果</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尚未</w:t>
              <w:br/>
              <w:t>审结</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总计</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w:t>
              <w:br/>
              <w:t>维持</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结果</w:t>
              <w:br/>
              <w:t>纠正</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其他</w:t>
              <w:br/>
              <w:t>结果</w:t>
            </w:r>
          </w:p>
        </w:tc>
        <w:tc>
          <w:tcPr>
            <w:tcW w:w="645"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尚未</w:t>
              <w:br/>
              <w:t>审结</w:t>
            </w:r>
          </w:p>
        </w:tc>
        <w:tc>
          <w:tcPr>
            <w:tcW w:w="750" w:type="dxa"/>
            <w:tcBorders>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总计</w:t>
            </w:r>
          </w:p>
        </w:tc>
      </w:tr>
      <w:tr>
        <w:trPr>
          <w:trHeight w:val="675"/>
        </w:trPr>
        <w:tc>
          <w:tcPr>
            <w:tcW w:w="645" w:type="dxa"/>
            <w:tcBorders>
              <w:top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w:t>
            </w:r>
          </w:p>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 0</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645"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center"/>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0 </w:t>
            </w:r>
          </w:p>
        </w:tc>
        <w:tc>
          <w:tcPr>
            <w:tcW w:w="750" w:type="dxa"/>
            <w:tcBorders>
              <w:top w:val="nil"/>
              <w:left w:val="nil"/>
              <w:bottom w:val="single" w:sz="6" w:space="0" w:color="auto"/>
              <w:right w:val="single" w:sz="6" w:space="0" w:color="auto"/>
              <w:tl2br w:val="nil"/>
              <w:tr2bl w:val="nil"/>
            </w:tcBorders>
            <w:shd w:val="clear" w:color="auto" w:fill="FFFFFF"/>
            <w:tcMar>
              <w:top w:w="0" w:type="dxa"/>
              <w:left w:w="105" w:type="dxa"/>
              <w:bottom w:w="0" w:type="dxa"/>
              <w:right w:w="105" w:type="dxa"/>
            </w:tcMar>
            <w:vAlign w:val="center"/>
          </w:tcPr>
          <w:p>
            <w:pPr>
              <w:pStyle w:val="16"/>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0"/>
              <w:jc w:val="lef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333333"/>
                <w:spacing w:val="0"/>
                <w:sz w:val="32"/>
                <w:szCs w:val="32"/>
                <w:u w:val="none"/>
                <w:bdr w:val="none" w:sz="0" w:space="0" w:color="auto"/>
              </w:rPr>
              <w:t>0</w:t>
            </w:r>
          </w:p>
        </w:tc>
      </w:tr>
    </w:tbl>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rPr>
          <w:rFonts w:ascii="微软雅黑" w:eastAsia="微软雅黑" w:hint="eastAsia"/>
          <w:b w:val="0"/>
          <w:bCs w:val="0"/>
          <w:i w:val="0"/>
          <w:iCs w:val="0"/>
          <w:caps w:val="0"/>
          <w:smallCaps w:val="0"/>
          <w:strike w:val="0"/>
          <w:dstrike w:val="0"/>
          <w:vanish w:val="0"/>
          <w:color w:val="333333"/>
          <w:spacing w:val="0"/>
          <w:sz w:val="27"/>
          <w:szCs w:val="27"/>
          <w:u w:val="none"/>
        </w:rPr>
      </w:pP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黑体" w:eastAsia="黑体" w:hint="eastAsia"/>
          <w:b w:val="0"/>
          <w:bCs w:val="0"/>
          <w:i w:val="0"/>
          <w:iCs w:val="0"/>
          <w:caps w:val="0"/>
          <w:smallCaps w:val="0"/>
          <w:strike w:val="0"/>
          <w:dstrike w:val="0"/>
          <w:vanish w:val="0"/>
          <w:color w:val="666666"/>
          <w:spacing w:val="0"/>
          <w:sz w:val="32"/>
          <w:szCs w:val="32"/>
          <w:u w:val="none"/>
          <w:bdr w:val="none" w:sz="0" w:space="0" w:color="auto"/>
        </w:rPr>
        <w:t>五、存在的主要问题及改进情况</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27"/>
          <w:szCs w:val="27"/>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202</w:t>
      </w:r>
      <w:r>
        <w:rPr>
          <w:rFonts w:ascii="仿宋" w:eastAsia="仿宋" w:cs="仿宋" w:hAnsi="仿宋"/>
          <w:b w:val="0"/>
          <w:bCs w:val="0"/>
          <w:i w:val="0"/>
          <w:iCs w:val="0"/>
          <w:caps w:val="0"/>
          <w:smallCaps w:val="0"/>
          <w:strike w:val="0"/>
          <w:dstrike w:val="0"/>
          <w:vanish w:val="0"/>
          <w:color w:val="666666"/>
          <w:spacing w:val="0"/>
          <w:sz w:val="32"/>
          <w:szCs w:val="32"/>
          <w:u w:val="none"/>
          <w:bdr w:val="none" w:sz="0" w:space="0" w:color="auto"/>
        </w:rPr>
        <w:t>3</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年度我们在信息收集、审查、报送、公开等方面严格按照程序，如期完成信息公开工作，同时也存在一些问题和困难。主要表现在：各股室主动公开的意识仍有待进一步提高。加强各股室学习意识，定期开展学习及交流。信息公开数量偏少、信息公开不全面、公开渠道比较单一等问题。</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27"/>
          <w:szCs w:val="27"/>
          <w:u w:val="none"/>
        </w:rPr>
      </w:pP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今后，我局将不断规范政府信息公开内容，创新政府信息公开形式，突出信息公开重点，提高政府信息公开水平。下一年度我局准备着手从以下方面加以改进：</w:t>
      </w:r>
    </w:p>
    <w:p>
      <w:pPr>
        <w:pStyle w:val="16"/>
        <w:pBdr>
          <w:top w:val="none" w:sz="0" w:space="0" w:color="auto"/>
          <w:left w:val="none" w:sz="0" w:space="0" w:color="auto"/>
          <w:bottom w:val="none" w:sz="0" w:space="0" w:color="auto"/>
          <w:right w:val="none" w:sz="0" w:space="0" w:color="auto"/>
        </w:pBdr>
        <w:shd w:val="clear" w:color="auto" w:fill="FFFFFF"/>
        <w:spacing w:before="75" w:beforeAutospacing="0" w:after="75" w:afterAutospacing="0" w:line="600" w:lineRule="exact"/>
        <w:ind w:left="0" w:firstLine="645"/>
        <w:rPr>
          <w:rFonts w:ascii="仿宋" w:eastAsia="仿宋" w:cs="仿宋" w:hAnsi="仿宋" w:hint="eastAsia"/>
          <w:b w:val="0"/>
          <w:bCs w:val="0"/>
          <w:i w:val="0"/>
          <w:iCs w:val="0"/>
          <w:caps w:val="0"/>
          <w:smallCaps w:val="0"/>
          <w:strike w:val="0"/>
          <w:dstrike w:val="0"/>
          <w:vanish w:val="0"/>
          <w:color w:val="333333"/>
          <w:spacing w:val="0"/>
          <w:sz w:val="27"/>
          <w:szCs w:val="27"/>
          <w:u w:val="none"/>
        </w:rPr>
      </w:pPr>
      <w:r>
        <w:rPr>
          <w:rStyle w:val="15"/>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一是强化意识，规范程序。</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进一步转变思想观念，不断提高信息公开意识和服务意识，加强</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督促</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检查，并落实到日常工作中,加强政府信息公开工作与日常工作的无缝衔接，严格按规范程序公开政府信息，确保政府信息及时、准确、全面地公开。</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420"/>
        <w:rPr>
          <w:rFonts w:ascii="仿宋" w:eastAsia="仿宋" w:cs="仿宋" w:hAnsi="仿宋" w:hint="eastAsia"/>
          <w:b w:val="0"/>
          <w:bCs w:val="0"/>
          <w:i w:val="0"/>
          <w:iCs w:val="0"/>
          <w:caps w:val="0"/>
          <w:smallCaps w:val="0"/>
          <w:strike w:val="0"/>
          <w:dstrike w:val="0"/>
          <w:vanish w:val="0"/>
          <w:color w:val="333333"/>
          <w:spacing w:val="0"/>
          <w:sz w:val="27"/>
          <w:szCs w:val="27"/>
          <w:u w:val="none"/>
        </w:rPr>
      </w:pPr>
      <w:r>
        <w:rPr>
          <w:rStyle w:val="15"/>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二是深入实施政府信息公开条例。</w:t>
      </w:r>
      <w:r>
        <w:rPr>
          <w:rFonts w:ascii="仿宋" w:eastAsia="仿宋" w:cs="仿宋" w:hAnsi="仿宋" w:hint="eastAsia"/>
          <w:b w:val="0"/>
          <w:bCs w:val="0"/>
          <w:i w:val="0"/>
          <w:iCs w:val="0"/>
          <w:caps w:val="0"/>
          <w:smallCaps w:val="0"/>
          <w:strike w:val="0"/>
          <w:dstrike w:val="0"/>
          <w:vanish w:val="0"/>
          <w:color w:val="666666"/>
          <w:spacing w:val="0"/>
          <w:sz w:val="32"/>
          <w:szCs w:val="32"/>
          <w:u w:val="none"/>
          <w:bdr w:val="none" w:sz="0" w:space="0" w:color="auto"/>
        </w:rPr>
        <w:t>严格执行政府信息公开条例，主动、及时、准确公开社会公益事业建设等领域的政府信息。抓好重大突发事件和群众关注热点问题的公开，客观公布事件进展、政府举措、公众防范措施和调查处理结果，及时回应社会关切，正确引导舆论。</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黑体" w:eastAsia="黑体" w:hint="eastAsia"/>
          <w:b w:val="0"/>
          <w:bCs w:val="0"/>
          <w:i w:val="0"/>
          <w:iCs w:val="0"/>
          <w:caps w:val="0"/>
          <w:smallCaps w:val="0"/>
          <w:strike w:val="0"/>
          <w:dstrike w:val="0"/>
          <w:vanish w:val="0"/>
          <w:color w:val="666666"/>
          <w:spacing w:val="0"/>
          <w:sz w:val="32"/>
          <w:szCs w:val="32"/>
          <w:u w:val="none"/>
          <w:bdr w:val="none" w:sz="0" w:space="0" w:color="auto"/>
        </w:rPr>
        <w:t>六、其他需要报告的事项</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645"/>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cs="仿宋" w:hAnsi="仿宋" w:hint="eastAsia"/>
          <w:color w:val="666666"/>
          <w:sz w:val="32"/>
          <w:szCs w:val="32"/>
          <w:bdr w:val="none" w:sz="0" w:space="0" w:color="auto"/>
        </w:rPr>
        <w:t>认真贯彻执行国务院办公厅《中华人民共和国政府信息公开条例》《河北省实施〈中华人民共和国政府信息公开条例〉办法》等规定，依法公开信息。                </w:t>
      </w: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                                                                                                                           </w:t>
      </w:r>
      <w:r>
        <w:rPr>
          <w:rFonts w:ascii="仿宋" w:eastAsia="仿宋"/>
          <w:b w:val="0"/>
          <w:bCs w:val="0"/>
          <w:i w:val="0"/>
          <w:iCs w:val="0"/>
          <w:caps w:val="0"/>
          <w:smallCaps w:val="0"/>
          <w:strike w:val="0"/>
          <w:dstrike w:val="0"/>
          <w:vanish w:val="0"/>
          <w:color w:val="666666"/>
          <w:spacing w:val="0"/>
          <w:sz w:val="32"/>
          <w:szCs w:val="32"/>
          <w:u w:val="none"/>
          <w:bdr w:val="none" w:sz="0" w:space="0" w:color="auto"/>
        </w:rPr>
        <w:t xml:space="preserve">                 隆尧县水务局</w:t>
      </w:r>
    </w:p>
    <w:p>
      <w:pPr>
        <w:pStyle w:val="16"/>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left="0" w:firstLine="480"/>
        <w:jc w:val="right"/>
        <w:rPr>
          <w:rFonts w:ascii="微软雅黑" w:eastAsia="微软雅黑" w:hint="eastAsia"/>
          <w:b w:val="0"/>
          <w:bCs w:val="0"/>
          <w:i w:val="0"/>
          <w:iCs w:val="0"/>
          <w:caps w:val="0"/>
          <w:smallCaps w:val="0"/>
          <w:strike w:val="0"/>
          <w:dstrike w:val="0"/>
          <w:vanish w:val="0"/>
          <w:color w:val="333333"/>
          <w:spacing w:val="0"/>
          <w:sz w:val="27"/>
          <w:szCs w:val="27"/>
          <w:u w:val="none"/>
        </w:rPr>
      </w:pP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202</w:t>
      </w:r>
      <w:r>
        <w:rPr>
          <w:rFonts w:ascii="仿宋" w:eastAsia="仿宋"/>
          <w:b w:val="0"/>
          <w:bCs w:val="0"/>
          <w:i w:val="0"/>
          <w:iCs w:val="0"/>
          <w:caps w:val="0"/>
          <w:smallCaps w:val="0"/>
          <w:strike w:val="0"/>
          <w:dstrike w:val="0"/>
          <w:vanish w:val="0"/>
          <w:color w:val="666666"/>
          <w:spacing w:val="0"/>
          <w:sz w:val="32"/>
          <w:szCs w:val="32"/>
          <w:u w:val="none"/>
          <w:bdr w:val="none" w:sz="0" w:space="0" w:color="auto"/>
        </w:rPr>
        <w:t>4年</w:t>
      </w: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1月1</w:t>
      </w:r>
      <w:r>
        <w:rPr>
          <w:rFonts w:ascii="仿宋" w:eastAsia="仿宋"/>
          <w:b w:val="0"/>
          <w:bCs w:val="0"/>
          <w:i w:val="0"/>
          <w:iCs w:val="0"/>
          <w:caps w:val="0"/>
          <w:smallCaps w:val="0"/>
          <w:strike w:val="0"/>
          <w:dstrike w:val="0"/>
          <w:vanish w:val="0"/>
          <w:color w:val="666666"/>
          <w:spacing w:val="0"/>
          <w:sz w:val="32"/>
          <w:szCs w:val="32"/>
          <w:u w:val="none"/>
          <w:bdr w:val="none" w:sz="0" w:space="0" w:color="auto"/>
        </w:rPr>
        <w:t>7</w:t>
      </w:r>
      <w:r>
        <w:rPr>
          <w:rFonts w:ascii="仿宋" w:eastAsia="仿宋" w:hint="eastAsia"/>
          <w:b w:val="0"/>
          <w:bCs w:val="0"/>
          <w:i w:val="0"/>
          <w:iCs w:val="0"/>
          <w:caps w:val="0"/>
          <w:smallCaps w:val="0"/>
          <w:strike w:val="0"/>
          <w:dstrike w:val="0"/>
          <w:vanish w:val="0"/>
          <w:color w:val="666666"/>
          <w:spacing w:val="0"/>
          <w:sz w:val="32"/>
          <w:szCs w:val="32"/>
          <w:u w:val="none"/>
          <w:bdr w:val="none" w:sz="0" w:space="0" w:color="auto"/>
        </w:rPr>
        <w:t>日</w:t>
      </w:r>
    </w:p>
    <w:p>
      <w:pPr>
        <w:spacing w:beforeAutospacing="0" w:afterAutospacing="0" w:line="600" w:lineRule="exact"/>
      </w:pPr>
    </w:p>
    <w:sectPr>
      <w:pgSz w:w="11907" w:h="16839"/>
      <w:pgMar w:top="1440" w:right="1800" w:bottom="1440" w:left="1800" w:header="851" w:footer="992" w:gutter="0"/>
      <w:docGrid w:linePitch="326" w:charSpace="0"/>
    </w:sectPr>
  </w:body>
</w:document>
</file>

<file path=word/fontTable.xml><?xml version="1.0" encoding="utf-8"?>
<w:fonts xmlns:w="http://schemas.openxmlformats.org/wordprocessingml/2006/main" xmlns:r="http://schemas.openxmlformats.org/officeDocument/2006/relationships">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auto"/>
    <w:pitch w:val="variable"/>
    <w:sig w:usb0="80000287" w:usb1="28CF3C50" w:usb2="00000016" w:usb3="00000000" w:csb0="0004001F" w:csb1="00000000"/>
  </w:font>
  <w:font w:name="仿宋_GB2312">
    <w:altName w:val="宋体"/>
    <w:panose1 w:val="00000000000000000000"/>
    <w:charset w:val="00"/>
    <w:family w:val="auto"/>
    <w:pitch w:val="variable"/>
    <w:sig w:usb0="00000000" w:usb1="00000000" w:usb2="00000000" w:usb3="00000000" w:csb0="00000000" w:csb1="00000000"/>
  </w:font>
  <w:font w:name="仿宋">
    <w:panose1 w:val="02010609060101010101"/>
    <w:charset w:val="86"/>
    <w:family w:val="auto"/>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楷体">
    <w:panose1 w:val="02010609060101010101"/>
    <w:charset w:val="86"/>
    <w:family w:val="auto"/>
    <w:pitch w:val="variable"/>
    <w:sig w:usb0="800002BF" w:usb1="38CF7CFA" w:usb2="00000016" w:usb3="00000000" w:csb0="00040001" w:csb1="00000000"/>
  </w:font>
  <w:font w:name="Times New Roman">
    <w:panose1 w:val="02020603050405020304"/>
    <w:charset w:val="00"/>
    <w:family w:val="auto"/>
    <w:pitch w:val="variable"/>
    <w:sig w:usb0="00000A87" w:usb1="00000000" w:usb2="00000000" w:usb3="00000000" w:csb0="400001BF" w:csb1="DFF7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bordersDoNotSurroundFooter/>
  <w:defaultTabStop w:val="420"/>
  <w:drawingGridHorizontalSpacing w:val="120"/>
  <w:drawingGridVerticalSpacing w:val="156"/>
  <w:displayHorizontalDrawingGridEvery w:val="0"/>
  <w:displayVerticalDrawingGridEvery w:val="2"/>
  <w:noPunctuationKerning/>
  <w:noLineBreaksAfter w:lang="zh-CN" w:val="$([{£¥·‘“〈《「『【〔〖〝﹙﹛﹝＄（．［｛￡￥"/>
  <w:noLineBreaksBefore w:lang="zh-CN" w:val="!%),.:;&gt;?]}¢¨°·ˇˉ―‖’”…‰′″›℃∶、。〃〉》」』】〕〗〞︶︺︾﹀﹄﹚﹜﹞！＂％＇），．：；？］｀｜｝～￠"/>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spacing w:line="240" w:lineRule="auto"/>
      <w:jc w:val="left"/>
    </w:pPr>
    <w:rPr>
      <w:rFonts w:ascii="宋体" w:eastAsia="宋体" w:cs="Arial" w:hAnsi="Times New Roman"/>
      <w:kern w:val="2"/>
      <w:sz w:val="24"/>
      <w:szCs w:val="21"/>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宋体" w:eastAsia="宋体" w:cs="Arial" w:hAnsi="Times New Roman"/>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宋体" w:eastAsia="宋体" w:cs="Arial" w:hAnsi="Times New Roman"/>
      <w:b/>
      <w:bCs/>
      <w:kern w:val="2"/>
      <w:sz w:val="32"/>
      <w:szCs w:val="32"/>
      <w:lang w:val="en-US" w:eastAsia="zh-CN" w:bidi="ar-SA"/>
    </w:rPr>
  </w:style>
  <w:style w:type="character" w:default="1" w:styleId="10">
    <w:name w:val="Default Paragraph Font"/>
    <w:qFormat/>
  </w:style>
  <w:style w:type="character" w:styleId="15">
    <w:name w:val="Strong"/>
    <w:qFormat/>
    <w:basedOn w:val="0"/>
    <w:rPr>
      <w:b/>
      <w:bCs/>
    </w:rPr>
  </w:style>
  <w:style w:type="paragraph" w:styleId="16">
    <w:name w:val="Normal (Web)"/>
    <w:qFormat/>
    <w:basedOn w:val="0"/>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b w:val="0"/>
      <w:i w:val="0"/>
      <w:caps w:val="0"/>
      <w:smallCaps w:val="0"/>
      <w:strike w:val="0"/>
      <w:dstrike w:val="0"/>
      <w:snapToGrid/>
      <w:vanish w:val="0"/>
      <w:color w:val="auto"/>
      <w:spacing w:val="0"/>
      <w:w w:val="100"/>
      <w:kern w:val="0"/>
      <w:position w:val="0"/>
      <w:sz w:val="24"/>
      <w:szCs w:val="21"/>
      <w:u w:val="none" w:color="auto"/>
      <w:shd w:val="clear" w:color="auto" w:fill="auto"/>
      <w:vertAlign w:val="baseline"/>
      <w:em w:val="none"/>
      <w:lang w:val="en-US" w:eastAsia="zh-CN" w:bidi="ar-SA"/>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styles.xml" Type="http://schemas.openxmlformats.org/officeDocument/2006/relationships/styles"/><Relationship Id="rId3" Target="fontTable.xml" Type="http://schemas.openxmlformats.org/officeDocument/2006/relationships/fontTable"/><Relationship Id="rId4" Target="../customXml/item1.xml" Type="http://schemas.openxmlformats.org/officeDocument/2006/relationships/customXml"/><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77DC2258-4BE4-4DA4-9864-FF656C937C6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22</TotalTime>
  <Application>Yozo_Office27021597764231189</Application>
  <Pages>8</Pages>
  <Words>0</Words>
  <Characters>2441</Characters>
  <Lines>0</Lines>
  <Paragraphs>37</Paragraphs>
  <CharactersWithSpaces>3255</CharactersWithSpaces>
  <Company>Yozosoft</Compan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2021-05-08T07:28:00Z</dcterms:created>
  <dc:creator>User274</dc:creator>
  <cp:lastModifiedBy>Administrator</cp:lastModifiedBy>
  <dcterms:modified xsi:type="dcterms:W3CDTF">2024-01-22T01:05:03Z</dcterms:modified>
  <cp:revision>1</cp:revision>
</cp:coreProperties>
</file>