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隆尧县审计局</w:t>
      </w:r>
      <w:r>
        <w:rPr>
          <w:rFonts w:hint="eastAsia" w:ascii="方正小标宋简体" w:hAnsi="方正小标宋简体" w:eastAsia="方正小标宋简体" w:cs="方正小标宋简体"/>
          <w:b/>
          <w:color w:val="000000"/>
          <w:sz w:val="52"/>
          <w:szCs w:val="52"/>
        </w:rPr>
        <w:t>2022年部门预算信息公开</w:t>
      </w: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6</w:t>
      </w:r>
      <w:r>
        <w:fldChar w:fldCharType="end"/>
      </w:r>
      <w:r>
        <w:fldChar w:fldCharType="end"/>
      </w:r>
    </w:p>
    <w:p>
      <w:r>
        <w:fldChar w:fldCharType="end"/>
      </w:r>
    </w:p>
    <w:p>
      <w:pPr>
        <w:jc w:val="center"/>
      </w:pPr>
    </w:p>
    <w:p>
      <w:pPr>
        <w:jc w:val="center"/>
      </w:pPr>
    </w:p>
    <w:p>
      <w:pPr>
        <w:jc w:val="center"/>
      </w:pPr>
    </w:p>
    <w:p>
      <w:pPr>
        <w:jc w:val="center"/>
      </w:pPr>
    </w:p>
    <w:p>
      <w:pPr>
        <w:jc w:val="both"/>
        <w:outlineLvl w:val="0"/>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319隆尧县审计局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799.20</w:t>
            </w:r>
          </w:p>
        </w:tc>
        <w:tc>
          <w:tcPr>
            <w:tcW w:w="4535" w:type="dxa"/>
            <w:vAlign w:val="center"/>
          </w:tcPr>
          <w:p>
            <w:pPr>
              <w:pStyle w:val="12"/>
            </w:pPr>
            <w:r>
              <w:t>一、一般公共服务支出</w:t>
            </w:r>
          </w:p>
        </w:tc>
        <w:tc>
          <w:tcPr>
            <w:tcW w:w="2126" w:type="dxa"/>
            <w:vAlign w:val="center"/>
          </w:tcPr>
          <w:p>
            <w:pPr>
              <w:pStyle w:val="11"/>
            </w:pPr>
            <w:r>
              <w:t>751.49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799.20</w:t>
            </w:r>
          </w:p>
        </w:tc>
        <w:tc>
          <w:tcPr>
            <w:tcW w:w="4535" w:type="dxa"/>
            <w:vAlign w:val="center"/>
          </w:tcPr>
          <w:p>
            <w:pPr>
              <w:pStyle w:val="14"/>
            </w:pPr>
            <w:r>
              <w:t>本年支出合计</w:t>
            </w:r>
          </w:p>
        </w:tc>
        <w:tc>
          <w:tcPr>
            <w:tcW w:w="2126" w:type="dxa"/>
            <w:vAlign w:val="center"/>
          </w:tcPr>
          <w:p>
            <w:pPr>
              <w:pStyle w:val="15"/>
            </w:pPr>
            <w:r>
              <w:t>799.20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799.20</w:t>
            </w:r>
          </w:p>
        </w:tc>
        <w:tc>
          <w:tcPr>
            <w:tcW w:w="4535" w:type="dxa"/>
            <w:vAlign w:val="center"/>
          </w:tcPr>
          <w:p>
            <w:pPr>
              <w:pStyle w:val="14"/>
            </w:pPr>
            <w:r>
              <w:t>支出总计</w:t>
            </w:r>
          </w:p>
        </w:tc>
        <w:tc>
          <w:tcPr>
            <w:tcW w:w="2126" w:type="dxa"/>
            <w:vAlign w:val="center"/>
          </w:tcPr>
          <w:p>
            <w:pPr>
              <w:pStyle w:val="15"/>
            </w:pPr>
            <w:r>
              <w:t>799.20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319隆尧县审计局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799.20</w:t>
            </w:r>
          </w:p>
        </w:tc>
        <w:tc>
          <w:tcPr>
            <w:tcW w:w="1134" w:type="dxa"/>
            <w:vAlign w:val="center"/>
          </w:tcPr>
          <w:p>
            <w:pPr>
              <w:pStyle w:val="15"/>
            </w:pPr>
            <w:r>
              <w:t>799.20</w:t>
            </w:r>
          </w:p>
        </w:tc>
        <w:tc>
          <w:tcPr>
            <w:tcW w:w="1134" w:type="dxa"/>
            <w:vAlign w:val="center"/>
          </w:tcPr>
          <w:p>
            <w:pPr>
              <w:pStyle w:val="15"/>
            </w:pPr>
            <w:r>
              <w:t>799.20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r>
              <w:t>751.49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216.49</w:t>
            </w:r>
          </w:p>
        </w:tc>
        <w:tc>
          <w:tcPr>
            <w:tcW w:w="1134" w:type="dxa"/>
            <w:vAlign w:val="center"/>
          </w:tcPr>
          <w:p>
            <w:pPr>
              <w:pStyle w:val="11"/>
            </w:pPr>
            <w:r>
              <w:t>216.49</w:t>
            </w:r>
          </w:p>
        </w:tc>
        <w:tc>
          <w:tcPr>
            <w:tcW w:w="1134" w:type="dxa"/>
            <w:vAlign w:val="center"/>
          </w:tcPr>
          <w:p>
            <w:pPr>
              <w:pStyle w:val="11"/>
            </w:pPr>
            <w:r>
              <w:t>216.49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535.00</w:t>
            </w:r>
          </w:p>
        </w:tc>
        <w:tc>
          <w:tcPr>
            <w:tcW w:w="1134" w:type="dxa"/>
            <w:vAlign w:val="center"/>
          </w:tcPr>
          <w:p>
            <w:pPr>
              <w:pStyle w:val="11"/>
            </w:pPr>
            <w:r>
              <w:t>535.00</w:t>
            </w:r>
          </w:p>
        </w:tc>
        <w:tc>
          <w:tcPr>
            <w:tcW w:w="1134" w:type="dxa"/>
            <w:vAlign w:val="center"/>
          </w:tcPr>
          <w:p>
            <w:pPr>
              <w:pStyle w:val="11"/>
            </w:pPr>
            <w:r>
              <w:t>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r>
              <w:t>10.11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799.20</w:t>
            </w:r>
          </w:p>
        </w:tc>
        <w:tc>
          <w:tcPr>
            <w:tcW w:w="1361" w:type="dxa"/>
            <w:vAlign w:val="center"/>
          </w:tcPr>
          <w:p>
            <w:pPr>
              <w:pStyle w:val="15"/>
            </w:pPr>
            <w:r>
              <w:t>264.20</w:t>
            </w:r>
          </w:p>
        </w:tc>
        <w:tc>
          <w:tcPr>
            <w:tcW w:w="1361" w:type="dxa"/>
            <w:vAlign w:val="center"/>
          </w:tcPr>
          <w:p>
            <w:pPr>
              <w:pStyle w:val="15"/>
            </w:pPr>
            <w:r>
              <w:t>535.00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751.49</w:t>
            </w:r>
          </w:p>
        </w:tc>
        <w:tc>
          <w:tcPr>
            <w:tcW w:w="1361" w:type="dxa"/>
            <w:vAlign w:val="center"/>
          </w:tcPr>
          <w:p>
            <w:pPr>
              <w:pStyle w:val="11"/>
            </w:pPr>
            <w:r>
              <w:t>216.49</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6" w:type="dxa"/>
            <w:vAlign w:val="center"/>
          </w:tcPr>
          <w:p>
            <w:pPr>
              <w:pStyle w:val="12"/>
            </w:pPr>
            <w:r>
              <w:t>审计事务</w:t>
            </w:r>
          </w:p>
        </w:tc>
        <w:tc>
          <w:tcPr>
            <w:tcW w:w="1361" w:type="dxa"/>
            <w:vAlign w:val="center"/>
          </w:tcPr>
          <w:p>
            <w:pPr>
              <w:pStyle w:val="11"/>
            </w:pPr>
            <w:r>
              <w:t>751.49</w:t>
            </w:r>
          </w:p>
        </w:tc>
        <w:tc>
          <w:tcPr>
            <w:tcW w:w="1361" w:type="dxa"/>
            <w:vAlign w:val="center"/>
          </w:tcPr>
          <w:p>
            <w:pPr>
              <w:pStyle w:val="11"/>
            </w:pPr>
            <w:r>
              <w:t>216.49</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6" w:type="dxa"/>
            <w:vAlign w:val="center"/>
          </w:tcPr>
          <w:p>
            <w:pPr>
              <w:pStyle w:val="12"/>
            </w:pPr>
            <w:r>
              <w:t>行政运行</w:t>
            </w:r>
          </w:p>
        </w:tc>
        <w:tc>
          <w:tcPr>
            <w:tcW w:w="1361" w:type="dxa"/>
            <w:vAlign w:val="center"/>
          </w:tcPr>
          <w:p>
            <w:pPr>
              <w:pStyle w:val="11"/>
            </w:pPr>
            <w:r>
              <w:t>216.49</w:t>
            </w:r>
          </w:p>
        </w:tc>
        <w:tc>
          <w:tcPr>
            <w:tcW w:w="1361" w:type="dxa"/>
            <w:vAlign w:val="center"/>
          </w:tcPr>
          <w:p>
            <w:pPr>
              <w:pStyle w:val="11"/>
            </w:pPr>
            <w:r>
              <w:t>216.49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2010804</w:t>
            </w:r>
          </w:p>
        </w:tc>
        <w:tc>
          <w:tcPr>
            <w:tcW w:w="4536" w:type="dxa"/>
            <w:vAlign w:val="center"/>
          </w:tcPr>
          <w:p>
            <w:pPr>
              <w:pStyle w:val="12"/>
            </w:pPr>
            <w:r>
              <w:t>审计业务</w:t>
            </w: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r>
              <w:t>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10.11</w:t>
            </w:r>
          </w:p>
        </w:tc>
        <w:tc>
          <w:tcPr>
            <w:tcW w:w="1361" w:type="dxa"/>
            <w:vAlign w:val="center"/>
          </w:tcPr>
          <w:p>
            <w:pPr>
              <w:pStyle w:val="11"/>
            </w:pPr>
            <w:r>
              <w:t>10.11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799.20</w:t>
            </w:r>
          </w:p>
        </w:tc>
        <w:tc>
          <w:tcPr>
            <w:tcW w:w="3402" w:type="dxa"/>
            <w:vAlign w:val="center"/>
          </w:tcPr>
          <w:p>
            <w:pPr>
              <w:pStyle w:val="12"/>
            </w:pPr>
            <w:r>
              <w:t>一、一般公共服务支出</w:t>
            </w:r>
          </w:p>
        </w:tc>
        <w:tc>
          <w:tcPr>
            <w:tcW w:w="1474" w:type="dxa"/>
            <w:vAlign w:val="center"/>
          </w:tcPr>
          <w:p>
            <w:pPr>
              <w:pStyle w:val="11"/>
            </w:pPr>
            <w:r>
              <w:t>751.49</w:t>
            </w:r>
          </w:p>
        </w:tc>
        <w:tc>
          <w:tcPr>
            <w:tcW w:w="1474" w:type="dxa"/>
            <w:vAlign w:val="center"/>
          </w:tcPr>
          <w:p>
            <w:pPr>
              <w:pStyle w:val="11"/>
            </w:pPr>
            <w:r>
              <w:t>751.49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20.28</w:t>
            </w:r>
          </w:p>
        </w:tc>
        <w:tc>
          <w:tcPr>
            <w:tcW w:w="1474" w:type="dxa"/>
            <w:vAlign w:val="center"/>
          </w:tcPr>
          <w:p>
            <w:pPr>
              <w:pStyle w:val="11"/>
            </w:pPr>
            <w:r>
              <w:t>20.28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10.11</w:t>
            </w:r>
          </w:p>
        </w:tc>
        <w:tc>
          <w:tcPr>
            <w:tcW w:w="1474" w:type="dxa"/>
            <w:vAlign w:val="center"/>
          </w:tcPr>
          <w:p>
            <w:pPr>
              <w:pStyle w:val="11"/>
            </w:pPr>
            <w:r>
              <w:t>10.11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17.32</w:t>
            </w:r>
          </w:p>
        </w:tc>
        <w:tc>
          <w:tcPr>
            <w:tcW w:w="1474" w:type="dxa"/>
            <w:vAlign w:val="center"/>
          </w:tcPr>
          <w:p>
            <w:pPr>
              <w:pStyle w:val="11"/>
            </w:pPr>
            <w:r>
              <w:t>17.32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799.20</w:t>
            </w:r>
          </w:p>
        </w:tc>
        <w:tc>
          <w:tcPr>
            <w:tcW w:w="3402" w:type="dxa"/>
            <w:vAlign w:val="center"/>
          </w:tcPr>
          <w:p>
            <w:pPr>
              <w:pStyle w:val="14"/>
            </w:pPr>
            <w:r>
              <w:t>本年支出合计</w:t>
            </w:r>
          </w:p>
        </w:tc>
        <w:tc>
          <w:tcPr>
            <w:tcW w:w="1474" w:type="dxa"/>
            <w:vAlign w:val="center"/>
          </w:tcPr>
          <w:p>
            <w:pPr>
              <w:pStyle w:val="15"/>
            </w:pPr>
            <w:r>
              <w:t>799.20</w:t>
            </w:r>
          </w:p>
        </w:tc>
        <w:tc>
          <w:tcPr>
            <w:tcW w:w="1474" w:type="dxa"/>
            <w:vAlign w:val="center"/>
          </w:tcPr>
          <w:p>
            <w:pPr>
              <w:pStyle w:val="15"/>
            </w:pPr>
            <w:r>
              <w:t>799.20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799.20</w:t>
            </w:r>
          </w:p>
        </w:tc>
        <w:tc>
          <w:tcPr>
            <w:tcW w:w="3402" w:type="dxa"/>
            <w:vAlign w:val="center"/>
          </w:tcPr>
          <w:p>
            <w:pPr>
              <w:pStyle w:val="14"/>
            </w:pPr>
            <w:r>
              <w:t>支出总计</w:t>
            </w:r>
          </w:p>
        </w:tc>
        <w:tc>
          <w:tcPr>
            <w:tcW w:w="1474" w:type="dxa"/>
            <w:vAlign w:val="center"/>
          </w:tcPr>
          <w:p>
            <w:pPr>
              <w:pStyle w:val="15"/>
            </w:pPr>
            <w:r>
              <w:t>799.20</w:t>
            </w:r>
          </w:p>
        </w:tc>
        <w:tc>
          <w:tcPr>
            <w:tcW w:w="1474" w:type="dxa"/>
            <w:vAlign w:val="center"/>
          </w:tcPr>
          <w:p>
            <w:pPr>
              <w:pStyle w:val="15"/>
            </w:pPr>
            <w:r>
              <w:t>799.20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799.20</w:t>
            </w:r>
          </w:p>
        </w:tc>
        <w:tc>
          <w:tcPr>
            <w:tcW w:w="2551" w:type="dxa"/>
            <w:vAlign w:val="center"/>
          </w:tcPr>
          <w:p>
            <w:pPr>
              <w:pStyle w:val="15"/>
            </w:pPr>
            <w:r>
              <w:t>264.20</w:t>
            </w:r>
          </w:p>
        </w:tc>
        <w:tc>
          <w:tcPr>
            <w:tcW w:w="2551" w:type="dxa"/>
            <w:vAlign w:val="center"/>
          </w:tcPr>
          <w:p>
            <w:pPr>
              <w:pStyle w:val="15"/>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751.49</w:t>
            </w:r>
          </w:p>
        </w:tc>
        <w:tc>
          <w:tcPr>
            <w:tcW w:w="2551" w:type="dxa"/>
            <w:vAlign w:val="center"/>
          </w:tcPr>
          <w:p>
            <w:pPr>
              <w:pStyle w:val="11"/>
            </w:pPr>
            <w:r>
              <w:t>216.49</w:t>
            </w: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751.49</w:t>
            </w:r>
          </w:p>
        </w:tc>
        <w:tc>
          <w:tcPr>
            <w:tcW w:w="2551" w:type="dxa"/>
            <w:vAlign w:val="center"/>
          </w:tcPr>
          <w:p>
            <w:pPr>
              <w:pStyle w:val="11"/>
            </w:pPr>
            <w:r>
              <w:t>216.49</w:t>
            </w: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216.49</w:t>
            </w:r>
          </w:p>
        </w:tc>
        <w:tc>
          <w:tcPr>
            <w:tcW w:w="2551" w:type="dxa"/>
            <w:vAlign w:val="center"/>
          </w:tcPr>
          <w:p>
            <w:pPr>
              <w:pStyle w:val="11"/>
            </w:pPr>
            <w:r>
              <w:t>216.49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535.00</w:t>
            </w:r>
          </w:p>
        </w:tc>
        <w:tc>
          <w:tcPr>
            <w:tcW w:w="2551" w:type="dxa"/>
            <w:vAlign w:val="center"/>
          </w:tcPr>
          <w:p>
            <w:pPr>
              <w:pStyle w:val="11"/>
            </w:pPr>
          </w:p>
        </w:tc>
        <w:tc>
          <w:tcPr>
            <w:tcW w:w="2551" w:type="dxa"/>
            <w:vAlign w:val="center"/>
          </w:tcPr>
          <w:p>
            <w:pPr>
              <w:pStyle w:val="11"/>
            </w:pPr>
            <w:r>
              <w:t>535.00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10.11</w:t>
            </w:r>
          </w:p>
        </w:tc>
        <w:tc>
          <w:tcPr>
            <w:tcW w:w="2551" w:type="dxa"/>
            <w:vAlign w:val="center"/>
          </w:tcPr>
          <w:p>
            <w:pPr>
              <w:pStyle w:val="11"/>
            </w:pPr>
            <w:r>
              <w:t>10.11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264.20</w:t>
            </w:r>
          </w:p>
        </w:tc>
        <w:tc>
          <w:tcPr>
            <w:tcW w:w="2551" w:type="dxa"/>
            <w:vAlign w:val="center"/>
          </w:tcPr>
          <w:p>
            <w:pPr>
              <w:pStyle w:val="15"/>
            </w:pPr>
            <w:r>
              <w:t>241.66</w:t>
            </w:r>
          </w:p>
        </w:tc>
        <w:tc>
          <w:tcPr>
            <w:tcW w:w="2552" w:type="dxa"/>
            <w:vAlign w:val="center"/>
          </w:tcPr>
          <w:p>
            <w:pPr>
              <w:pStyle w:val="15"/>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236.33</w:t>
            </w:r>
          </w:p>
        </w:tc>
        <w:tc>
          <w:tcPr>
            <w:tcW w:w="2551" w:type="dxa"/>
            <w:vAlign w:val="center"/>
          </w:tcPr>
          <w:p>
            <w:pPr>
              <w:pStyle w:val="11"/>
            </w:pPr>
            <w:r>
              <w:t>236.33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86.86</w:t>
            </w:r>
          </w:p>
        </w:tc>
        <w:tc>
          <w:tcPr>
            <w:tcW w:w="2551" w:type="dxa"/>
            <w:vAlign w:val="center"/>
          </w:tcPr>
          <w:p>
            <w:pPr>
              <w:pStyle w:val="11"/>
            </w:pPr>
            <w:r>
              <w:t>86.86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70.12</w:t>
            </w:r>
          </w:p>
        </w:tc>
        <w:tc>
          <w:tcPr>
            <w:tcW w:w="2551" w:type="dxa"/>
            <w:vAlign w:val="center"/>
          </w:tcPr>
          <w:p>
            <w:pPr>
              <w:pStyle w:val="11"/>
            </w:pPr>
            <w:r>
              <w:t>70.12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7.24</w:t>
            </w:r>
          </w:p>
        </w:tc>
        <w:tc>
          <w:tcPr>
            <w:tcW w:w="2551" w:type="dxa"/>
            <w:vAlign w:val="center"/>
          </w:tcPr>
          <w:p>
            <w:pPr>
              <w:pStyle w:val="11"/>
            </w:pPr>
            <w:r>
              <w:t>7.24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20.39</w:t>
            </w:r>
          </w:p>
        </w:tc>
        <w:tc>
          <w:tcPr>
            <w:tcW w:w="2551" w:type="dxa"/>
            <w:vAlign w:val="center"/>
          </w:tcPr>
          <w:p>
            <w:pPr>
              <w:pStyle w:val="11"/>
            </w:pPr>
            <w:r>
              <w:t>20.39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20.28</w:t>
            </w:r>
          </w:p>
        </w:tc>
        <w:tc>
          <w:tcPr>
            <w:tcW w:w="2551" w:type="dxa"/>
            <w:vAlign w:val="center"/>
          </w:tcPr>
          <w:p>
            <w:pPr>
              <w:pStyle w:val="11"/>
            </w:pPr>
            <w:r>
              <w:t>20.28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10.11</w:t>
            </w:r>
          </w:p>
        </w:tc>
        <w:tc>
          <w:tcPr>
            <w:tcW w:w="2551" w:type="dxa"/>
            <w:vAlign w:val="center"/>
          </w:tcPr>
          <w:p>
            <w:pPr>
              <w:pStyle w:val="11"/>
            </w:pPr>
            <w:r>
              <w:t>10.11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4.01</w:t>
            </w:r>
          </w:p>
        </w:tc>
        <w:tc>
          <w:tcPr>
            <w:tcW w:w="2551" w:type="dxa"/>
            <w:vAlign w:val="center"/>
          </w:tcPr>
          <w:p>
            <w:pPr>
              <w:pStyle w:val="11"/>
            </w:pPr>
            <w:r>
              <w:t>4.01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17.32</w:t>
            </w:r>
          </w:p>
        </w:tc>
        <w:tc>
          <w:tcPr>
            <w:tcW w:w="2551" w:type="dxa"/>
            <w:vAlign w:val="center"/>
          </w:tcPr>
          <w:p>
            <w:pPr>
              <w:pStyle w:val="11"/>
            </w:pPr>
            <w:r>
              <w:t>17.32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22.54</w:t>
            </w:r>
          </w:p>
        </w:tc>
        <w:tc>
          <w:tcPr>
            <w:tcW w:w="2551" w:type="dxa"/>
            <w:vAlign w:val="center"/>
          </w:tcPr>
          <w:p>
            <w:pPr>
              <w:pStyle w:val="11"/>
            </w:pPr>
          </w:p>
        </w:tc>
        <w:tc>
          <w:tcPr>
            <w:tcW w:w="2552" w:type="dxa"/>
            <w:vAlign w:val="center"/>
          </w:tcPr>
          <w:p>
            <w:pPr>
              <w:pStyle w:val="11"/>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6.06</w:t>
            </w:r>
          </w:p>
        </w:tc>
        <w:tc>
          <w:tcPr>
            <w:tcW w:w="2551" w:type="dxa"/>
            <w:vAlign w:val="center"/>
          </w:tcPr>
          <w:p>
            <w:pPr>
              <w:pStyle w:val="11"/>
            </w:pPr>
          </w:p>
        </w:tc>
        <w:tc>
          <w:tcPr>
            <w:tcW w:w="2552"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14.04</w:t>
            </w:r>
          </w:p>
        </w:tc>
        <w:tc>
          <w:tcPr>
            <w:tcW w:w="2551" w:type="dxa"/>
            <w:vAlign w:val="center"/>
          </w:tcPr>
          <w:p>
            <w:pPr>
              <w:pStyle w:val="11"/>
            </w:pPr>
          </w:p>
        </w:tc>
        <w:tc>
          <w:tcPr>
            <w:tcW w:w="2552" w:type="dxa"/>
            <w:vAlign w:val="center"/>
          </w:tcPr>
          <w:p>
            <w:pPr>
              <w:pStyle w:val="11"/>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0.48</w:t>
            </w:r>
          </w:p>
        </w:tc>
        <w:tc>
          <w:tcPr>
            <w:tcW w:w="2551" w:type="dxa"/>
            <w:vAlign w:val="center"/>
          </w:tcPr>
          <w:p>
            <w:pPr>
              <w:pStyle w:val="11"/>
            </w:pPr>
          </w:p>
        </w:tc>
        <w:tc>
          <w:tcPr>
            <w:tcW w:w="2552"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5.33</w:t>
            </w:r>
          </w:p>
        </w:tc>
        <w:tc>
          <w:tcPr>
            <w:tcW w:w="2551" w:type="dxa"/>
            <w:vAlign w:val="center"/>
          </w:tcPr>
          <w:p>
            <w:pPr>
              <w:pStyle w:val="11"/>
            </w:pPr>
            <w:r>
              <w:t>5.33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4.97</w:t>
            </w:r>
          </w:p>
        </w:tc>
        <w:tc>
          <w:tcPr>
            <w:tcW w:w="2551" w:type="dxa"/>
            <w:vAlign w:val="center"/>
          </w:tcPr>
          <w:p>
            <w:pPr>
              <w:pStyle w:val="11"/>
            </w:pPr>
            <w:r>
              <w:t>4.97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0.36</w:t>
            </w:r>
          </w:p>
        </w:tc>
        <w:tc>
          <w:tcPr>
            <w:tcW w:w="2551" w:type="dxa"/>
            <w:vAlign w:val="center"/>
          </w:tcPr>
          <w:p>
            <w:pPr>
              <w:pStyle w:val="11"/>
            </w:pPr>
            <w:r>
              <w:t>0.36</w:t>
            </w:r>
          </w:p>
        </w:tc>
        <w:tc>
          <w:tcPr>
            <w:tcW w:w="2552"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319隆尧县审计局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隆尧县审计局2022年部门预算信息公开情况说明</w:t>
      </w:r>
    </w:p>
    <w:p>
      <w:pPr>
        <w:jc w:val="center"/>
        <w:rPr>
          <w:b/>
          <w:bCs/>
        </w:rPr>
      </w:pPr>
      <w:r>
        <w:rPr>
          <w:rFonts w:ascii="方正小标宋_GBK" w:hAnsi="方正小标宋_GBK" w:eastAsia="方正小标宋_GBK" w:cs="方正小标宋_GBK"/>
          <w:b/>
          <w:bCs/>
          <w:color w:val="000000"/>
          <w:sz w:val="44"/>
        </w:rPr>
        <w:t>隆尧县审计局2022年部门预算信息公开情况说明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按照《预算法》、《地方预决算公开操作规程》和《关于进一步推进预算公开工作的实施意见》规定，现将隆尧县审计局2022年部门预算公开如下：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17"/>
      </w:pPr>
      <w: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pStyle w:val="17"/>
      </w:pPr>
      <w:r>
        <w:t>（五）按规定对县管党政主要领导干部及其他单位主要负责人实施经济责任审计和自然资源资产离任审计。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（七）依法检查审计决定执行情况，督促整改审计查出的问题，依法办理被审计单位对审计决定提请行政复议、行政诉讼或县政府裁决中的有关事项，协助配合有关部门查处相关重大案件。</w:t>
      </w:r>
    </w:p>
    <w:p>
      <w:pPr>
        <w:pStyle w:val="17"/>
      </w:pPr>
      <w:r>
        <w:t>（八）指导和监督内部审计工作，核查社会审计机构对依法属于审计监督对象的单位出具的相关审计报告。</w:t>
      </w:r>
    </w:p>
    <w:p>
      <w:pPr>
        <w:pStyle w:val="17"/>
      </w:pPr>
      <w:r>
        <w:t>（九）组织开展审计领域的交流与合作，指导和推广信息技术在审计领域的应用。</w:t>
      </w:r>
    </w:p>
    <w:p>
      <w:pPr>
        <w:pStyle w:val="17"/>
      </w:pPr>
      <w:r>
        <w:t>（十）完成县委、县政府和省、市审计部门交办的其他任务。</w:t>
      </w:r>
    </w:p>
    <w:p>
      <w:pPr>
        <w:pStyle w:val="17"/>
      </w:pPr>
    </w:p>
    <w:p>
      <w:pPr>
        <w:pStyle w:val="17"/>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按照预算管理有关规定，目前我省部门预算的编制实行综合预算管理，即全部收入和支出都反映在预算中。隆尧县审计局机关及所属事业单位的收支包含在部门预算中。</w:t>
      </w:r>
    </w:p>
    <w:p>
      <w:pPr>
        <w:spacing w:line="500" w:lineRule="exact"/>
        <w:ind w:firstLine="560"/>
        <w:rPr>
          <w:rFonts w:eastAsia="方正仿宋_GBK"/>
          <w:color w:val="000000"/>
          <w:sz w:val="28"/>
        </w:rPr>
      </w:pPr>
      <w:r>
        <w:rPr>
          <w:rFonts w:eastAsia="方正仿宋_GBK"/>
          <w:color w:val="000000"/>
          <w:sz w:val="28"/>
        </w:rPr>
        <w:t>1</w:t>
      </w:r>
      <w:r>
        <w:rPr>
          <w:rFonts w:hint="eastAsia" w:eastAsia="方正仿宋_GBK"/>
          <w:color w:val="000000"/>
          <w:sz w:val="28"/>
        </w:rPr>
        <w:t>、收入说明</w:t>
      </w:r>
    </w:p>
    <w:p>
      <w:pPr>
        <w:spacing w:line="500" w:lineRule="exact"/>
        <w:ind w:firstLine="560"/>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799.2</w:t>
      </w:r>
      <w:r>
        <w:rPr>
          <w:rFonts w:hint="eastAsia" w:eastAsia="方正仿宋_GBK"/>
          <w:color w:val="000000"/>
          <w:sz w:val="28"/>
        </w:rPr>
        <w:t>万元，其中：一般公共预算收入</w:t>
      </w:r>
      <w:r>
        <w:rPr>
          <w:rFonts w:hint="eastAsia" w:eastAsia="方正仿宋_GBK"/>
          <w:color w:val="000000"/>
          <w:sz w:val="28"/>
          <w:lang w:val="en-US" w:eastAsia="zh-CN"/>
        </w:rPr>
        <w:t>799.2</w:t>
      </w:r>
      <w:r>
        <w:rPr>
          <w:rFonts w:hint="eastAsia" w:eastAsia="方正仿宋_GBK"/>
          <w:color w:val="000000"/>
          <w:sz w:val="28"/>
        </w:rPr>
        <w:t>万元，基金预算收入</w:t>
      </w:r>
      <w:r>
        <w:rPr>
          <w:rFonts w:eastAsia="方正仿宋_GBK"/>
          <w:color w:val="000000"/>
          <w:sz w:val="28"/>
        </w:rPr>
        <w:t>0</w:t>
      </w:r>
      <w:r>
        <w:rPr>
          <w:rFonts w:hint="eastAsia" w:eastAsia="方正仿宋_GBK"/>
          <w:color w:val="000000"/>
          <w:sz w:val="28"/>
        </w:rPr>
        <w:t>万元，</w:t>
      </w:r>
      <w:r>
        <w:rPr>
          <w:rFonts w:hint="eastAsia" w:eastAsia="方正仿宋_GBK"/>
          <w:color w:val="000000"/>
          <w:sz w:val="28"/>
          <w:lang w:eastAsia="zh-CN"/>
        </w:rPr>
        <w:t>国有资本经营预算收入</w:t>
      </w:r>
      <w:r>
        <w:rPr>
          <w:rFonts w:hint="eastAsia" w:eastAsia="方正仿宋_GBK"/>
          <w:color w:val="000000"/>
          <w:sz w:val="28"/>
          <w:lang w:val="en-US" w:eastAsia="zh-CN"/>
        </w:rPr>
        <w:t>0万元，</w:t>
      </w:r>
      <w:r>
        <w:rPr>
          <w:rFonts w:hint="eastAsia" w:eastAsia="方正仿宋_GBK"/>
          <w:color w:val="000000"/>
          <w:sz w:val="28"/>
        </w:rPr>
        <w:t>财政专户核拨收入</w:t>
      </w:r>
      <w:r>
        <w:rPr>
          <w:rFonts w:eastAsia="方正仿宋_GBK"/>
          <w:color w:val="000000"/>
          <w:sz w:val="28"/>
        </w:rPr>
        <w:t>0</w:t>
      </w:r>
      <w:r>
        <w:rPr>
          <w:rFonts w:hint="eastAsia" w:eastAsia="方正仿宋_GBK"/>
          <w:color w:val="000000"/>
          <w:sz w:val="28"/>
        </w:rPr>
        <w:t>万元，</w:t>
      </w:r>
      <w:r>
        <w:rPr>
          <w:rFonts w:hint="eastAsia" w:eastAsia="方正仿宋_GBK"/>
          <w:color w:val="000000"/>
          <w:sz w:val="28"/>
          <w:lang w:eastAsia="zh-CN"/>
        </w:rPr>
        <w:t>单位资金收入</w:t>
      </w:r>
      <w:r>
        <w:rPr>
          <w:rFonts w:hint="eastAsia" w:eastAsia="方正仿宋_GBK"/>
          <w:color w:val="000000"/>
          <w:sz w:val="28"/>
          <w:lang w:val="en-US" w:eastAsia="zh-CN"/>
        </w:rPr>
        <w:t>0万元，上年结转结余0万元</w:t>
      </w:r>
      <w:r>
        <w:rPr>
          <w:rFonts w:hint="eastAsia" w:eastAsia="方正仿宋_GBK"/>
          <w:color w:val="000000"/>
          <w:sz w:val="28"/>
        </w:rPr>
        <w:t>。</w:t>
      </w:r>
    </w:p>
    <w:p>
      <w:pPr>
        <w:spacing w:line="500" w:lineRule="exact"/>
        <w:ind w:firstLine="560"/>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line="500" w:lineRule="exact"/>
        <w:ind w:firstLine="560"/>
        <w:rPr>
          <w:rFonts w:hint="eastAsia" w:eastAsia="方正仿宋_GBK"/>
          <w:color w:val="000000"/>
          <w:sz w:val="28"/>
        </w:rPr>
      </w:pPr>
      <w:r>
        <w:rPr>
          <w:rFonts w:hint="eastAsia" w:eastAsia="方正仿宋_GBK"/>
          <w:color w:val="000000"/>
          <w:sz w:val="28"/>
        </w:rPr>
        <w:t>收支预算总表支出栏、基本支出表、项目支出表按经济分类和支出功能分类科目编制，反映隆尧县审计局年度部门预算中支出预算的总体情况。</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年部门支出预算为</w:t>
      </w:r>
      <w:r>
        <w:rPr>
          <w:rFonts w:hint="eastAsia" w:eastAsia="方正仿宋_GBK"/>
          <w:color w:val="000000"/>
          <w:sz w:val="28"/>
          <w:lang w:val="en-US" w:eastAsia="zh-CN"/>
        </w:rPr>
        <w:t>799.2</w:t>
      </w:r>
      <w:r>
        <w:rPr>
          <w:rFonts w:hint="eastAsia" w:eastAsia="方正仿宋_GBK"/>
          <w:color w:val="000000"/>
          <w:sz w:val="28"/>
        </w:rPr>
        <w:t>万元，其中基本支出</w:t>
      </w:r>
      <w:r>
        <w:rPr>
          <w:rFonts w:hint="eastAsia" w:eastAsia="方正仿宋_GBK"/>
          <w:color w:val="000000"/>
          <w:sz w:val="28"/>
          <w:lang w:val="en-US" w:eastAsia="zh-CN"/>
        </w:rPr>
        <w:t>264.2</w:t>
      </w:r>
      <w:r>
        <w:rPr>
          <w:rFonts w:hint="eastAsia" w:eastAsia="方正仿宋_GBK"/>
          <w:color w:val="000000"/>
          <w:sz w:val="28"/>
        </w:rPr>
        <w:t>万元，包括人员经费</w:t>
      </w:r>
      <w:r>
        <w:rPr>
          <w:rFonts w:hint="eastAsia" w:eastAsia="方正仿宋_GBK"/>
          <w:color w:val="000000"/>
          <w:sz w:val="28"/>
          <w:lang w:val="en-US" w:eastAsia="zh-CN"/>
        </w:rPr>
        <w:t>241.66</w:t>
      </w:r>
      <w:r>
        <w:rPr>
          <w:rFonts w:hint="eastAsia" w:eastAsia="方正仿宋_GBK"/>
          <w:color w:val="000000"/>
          <w:sz w:val="28"/>
        </w:rPr>
        <w:t>万元和日常公用经费</w:t>
      </w:r>
      <w:r>
        <w:rPr>
          <w:rFonts w:hint="eastAsia" w:eastAsia="方正仿宋_GBK"/>
          <w:color w:val="000000"/>
          <w:sz w:val="28"/>
          <w:lang w:val="en-US" w:eastAsia="zh-CN"/>
        </w:rPr>
        <w:t>22.54</w:t>
      </w:r>
      <w:r>
        <w:rPr>
          <w:rFonts w:hint="eastAsia" w:eastAsia="方正仿宋_GBK"/>
          <w:color w:val="000000"/>
          <w:sz w:val="28"/>
        </w:rPr>
        <w:t>万元；项目支出</w:t>
      </w:r>
      <w:r>
        <w:rPr>
          <w:rFonts w:hint="eastAsia" w:eastAsia="方正仿宋_GBK"/>
          <w:color w:val="000000"/>
          <w:sz w:val="28"/>
          <w:lang w:val="en-US" w:eastAsia="zh-CN"/>
        </w:rPr>
        <w:t>535</w:t>
      </w:r>
      <w:r>
        <w:rPr>
          <w:rFonts w:hint="eastAsia" w:eastAsia="方正仿宋_GBK"/>
          <w:color w:val="000000"/>
          <w:sz w:val="28"/>
        </w:rPr>
        <w:t>万元，主要为审计事务支出</w:t>
      </w:r>
      <w:r>
        <w:rPr>
          <w:rFonts w:hint="eastAsia" w:eastAsia="方正仿宋_GBK"/>
          <w:color w:val="000000"/>
          <w:sz w:val="28"/>
          <w:lang w:val="en-US" w:eastAsia="zh-CN"/>
        </w:rPr>
        <w:t>535</w:t>
      </w:r>
      <w:r>
        <w:rPr>
          <w:rFonts w:hint="eastAsia" w:eastAsia="方正仿宋_GBK"/>
          <w:color w:val="000000"/>
          <w:sz w:val="28"/>
        </w:rPr>
        <w:t>万元。</w:t>
      </w:r>
    </w:p>
    <w:p>
      <w:pPr>
        <w:spacing w:line="500" w:lineRule="exact"/>
        <w:ind w:firstLine="560"/>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line="500" w:lineRule="exact"/>
        <w:ind w:firstLine="560"/>
        <w:rPr>
          <w:rFonts w:eastAsia="方正仿宋_GBK"/>
          <w:color w:val="000000"/>
          <w:sz w:val="28"/>
        </w:rPr>
      </w:pP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2</w:t>
      </w:r>
      <w:r>
        <w:rPr>
          <w:rFonts w:hint="eastAsia" w:eastAsia="方正仿宋_GBK"/>
          <w:color w:val="000000"/>
          <w:sz w:val="28"/>
        </w:rPr>
        <w:t>年部门预算收支安排</w:t>
      </w:r>
      <w:r>
        <w:rPr>
          <w:rFonts w:hint="eastAsia" w:eastAsia="方正仿宋_GBK"/>
          <w:color w:val="000000"/>
          <w:sz w:val="28"/>
          <w:lang w:val="en-US" w:eastAsia="zh-CN"/>
        </w:rPr>
        <w:t>799.2</w:t>
      </w:r>
      <w:r>
        <w:rPr>
          <w:rFonts w:hint="eastAsia" w:eastAsia="方正仿宋_GBK"/>
          <w:color w:val="000000"/>
          <w:sz w:val="28"/>
        </w:rPr>
        <w:t>万元，较</w:t>
      </w:r>
      <w:r>
        <w:rPr>
          <w:rFonts w:eastAsia="方正仿宋_GBK"/>
          <w:color w:val="000000"/>
          <w:sz w:val="28"/>
        </w:rPr>
        <w:t>20</w:t>
      </w:r>
      <w:r>
        <w:rPr>
          <w:rFonts w:hint="eastAsia" w:eastAsia="方正仿宋_GBK"/>
          <w:color w:val="000000"/>
          <w:sz w:val="28"/>
        </w:rPr>
        <w:t>2</w:t>
      </w:r>
      <w:r>
        <w:rPr>
          <w:rFonts w:hint="eastAsia" w:eastAsia="方正仿宋_GBK"/>
          <w:color w:val="000000"/>
          <w:sz w:val="28"/>
          <w:lang w:val="en-US" w:eastAsia="zh-CN"/>
        </w:rPr>
        <w:t>1</w:t>
      </w:r>
      <w:r>
        <w:rPr>
          <w:rFonts w:hint="eastAsia" w:eastAsia="方正仿宋_GBK"/>
          <w:color w:val="000000"/>
          <w:sz w:val="28"/>
        </w:rPr>
        <w:t>年</w:t>
      </w:r>
      <w:r>
        <w:rPr>
          <w:rFonts w:hint="eastAsia" w:eastAsia="方正仿宋_GBK"/>
          <w:color w:val="000000"/>
          <w:sz w:val="28"/>
          <w:lang w:eastAsia="zh-CN"/>
        </w:rPr>
        <w:t>增加</w:t>
      </w:r>
      <w:r>
        <w:rPr>
          <w:rFonts w:hint="eastAsia" w:eastAsia="方正仿宋_GBK"/>
          <w:color w:val="000000"/>
          <w:sz w:val="28"/>
          <w:lang w:val="en-US" w:eastAsia="zh-CN"/>
        </w:rPr>
        <w:t>429.95</w:t>
      </w:r>
      <w:r>
        <w:rPr>
          <w:rFonts w:hint="eastAsia" w:eastAsia="方正仿宋_GBK"/>
          <w:color w:val="000000"/>
          <w:sz w:val="28"/>
        </w:rPr>
        <w:t>万元，其中：基本支出</w:t>
      </w:r>
      <w:r>
        <w:rPr>
          <w:rFonts w:hint="eastAsia" w:eastAsia="方正仿宋_GBK"/>
          <w:color w:val="000000"/>
          <w:sz w:val="28"/>
          <w:lang w:eastAsia="zh-CN"/>
        </w:rPr>
        <w:t>增加</w:t>
      </w:r>
      <w:r>
        <w:rPr>
          <w:rFonts w:hint="eastAsia" w:eastAsia="方正仿宋_GBK"/>
          <w:color w:val="000000"/>
          <w:sz w:val="28"/>
          <w:lang w:val="en-US" w:eastAsia="zh-CN"/>
        </w:rPr>
        <w:t>59.95</w:t>
      </w:r>
      <w:r>
        <w:rPr>
          <w:rFonts w:hint="eastAsia" w:eastAsia="方正仿宋_GBK"/>
          <w:color w:val="000000"/>
          <w:sz w:val="28"/>
        </w:rPr>
        <w:t>万元，日常公用增加</w:t>
      </w:r>
      <w:r>
        <w:rPr>
          <w:rFonts w:hint="eastAsia" w:eastAsia="方正仿宋_GBK"/>
          <w:color w:val="000000"/>
          <w:sz w:val="28"/>
          <w:lang w:val="en-US" w:eastAsia="zh-CN"/>
        </w:rPr>
        <w:t>0.98</w:t>
      </w:r>
      <w:r>
        <w:rPr>
          <w:rFonts w:hint="eastAsia" w:eastAsia="方正仿宋_GBK"/>
          <w:color w:val="000000"/>
          <w:sz w:val="28"/>
        </w:rPr>
        <w:t>万元；项目支出</w:t>
      </w:r>
      <w:r>
        <w:rPr>
          <w:rFonts w:hint="eastAsia" w:eastAsia="方正仿宋_GBK"/>
          <w:color w:val="000000"/>
          <w:sz w:val="28"/>
          <w:lang w:eastAsia="zh-CN"/>
        </w:rPr>
        <w:t>增加</w:t>
      </w:r>
      <w:r>
        <w:rPr>
          <w:rFonts w:hint="eastAsia" w:eastAsia="方正仿宋_GBK"/>
          <w:color w:val="000000"/>
          <w:sz w:val="28"/>
          <w:lang w:val="en-US" w:eastAsia="zh-CN"/>
        </w:rPr>
        <w:t>370万元，</w:t>
      </w:r>
      <w:r>
        <w:rPr>
          <w:rFonts w:hint="eastAsia" w:eastAsia="方正仿宋_GBK"/>
          <w:color w:val="000000"/>
          <w:sz w:val="28"/>
          <w:lang w:eastAsia="zh-CN"/>
        </w:rPr>
        <w:t>主要原因为政府基建项目审计业务专项经费增加</w:t>
      </w:r>
      <w:r>
        <w:rPr>
          <w:rFonts w:hint="eastAsia" w:eastAsia="方正仿宋_GBK"/>
          <w:color w:val="000000"/>
          <w:sz w:val="28"/>
        </w:rPr>
        <w:t>。</w:t>
      </w:r>
      <w:r>
        <w:rPr>
          <w:rFonts w:eastAsia="方正仿宋_GBK"/>
          <w:color w:val="000000"/>
          <w:sz w:val="28"/>
        </w:rPr>
        <w:t xml:space="preserve"> </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2022年，我部门机关运行经费共计安排22.54万元，主要用于办公费、工会经费、福利费、残疾人保障金等日常运行支出。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2022年，我部门未安排“三公”经费预算。</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rPr>
          <w:sz w:val="21"/>
          <w:szCs w:val="21"/>
        </w:rPr>
      </w:pPr>
      <w:r>
        <w:rPr>
          <w:rFonts w:ascii="方正楷体_GBK" w:hAnsi="方正楷体_GBK" w:eastAsia="方正楷体_GBK" w:cs="方正楷体_GBK"/>
          <w:b/>
          <w:color w:val="000000"/>
          <w:sz w:val="24"/>
          <w:szCs w:val="21"/>
        </w:rPr>
        <w:t>第一部分 部门整体绩效目标</w:t>
      </w:r>
    </w:p>
    <w:p>
      <w:pPr>
        <w:spacing w:line="500" w:lineRule="exact"/>
        <w:ind w:firstLine="560"/>
      </w:pPr>
      <w:r>
        <w:rPr>
          <w:rFonts w:eastAsia="方正仿宋_GBK"/>
          <w:color w:val="000000"/>
          <w:sz w:val="28"/>
        </w:rPr>
        <w:t>（一）总体绩效目标</w:t>
      </w:r>
    </w:p>
    <w:p>
      <w:pPr>
        <w:pStyle w:val="21"/>
      </w:pPr>
      <w:r>
        <w:t>紧扣县委、县政府中心工作和上级审计机关工作部署，以“服务民生、服务发展”为引领，加强谋划部署，做好常态化审计工作，充分发挥项目统筹效应。一是持续开展国家重大政策措施落实情况跟踪审计，对政策落实中的薄弱点精准发力，进一步推动各项政策措施落地落实，切实提高政策资金使用效率；二是深化财政预算执行和财政收支管理审计，进一步规范财政收支行为，提高政府资金使用效益；三是加强领导干部经济责任审计，增加任中审计比例，强化对领导干部权力运行的监督和制约，促进领导干部理好财、用好权、尽好责；四是持续加强民生项目审计，保证惠民政策落实和资金的规范使用，维护群众切身利益；五是积极抓好政府投资建设项目审计，进一步规范政府投资项目建设和管理，促进政府投资项目建设程序化、规范化、合法化。</w:t>
      </w:r>
    </w:p>
    <w:p>
      <w:pPr>
        <w:spacing w:line="500" w:lineRule="exact"/>
        <w:ind w:firstLine="560"/>
      </w:pPr>
      <w:r>
        <w:rPr>
          <w:rFonts w:eastAsia="方正仿宋_GBK"/>
          <w:color w:val="000000"/>
          <w:sz w:val="28"/>
        </w:rPr>
        <w:t>（二）分项绩效目标</w:t>
      </w:r>
    </w:p>
    <w:p>
      <w:pPr>
        <w:pStyle w:val="22"/>
      </w:pPr>
      <w:r>
        <w:t>（1）全面依法履行审计监督职责</w:t>
      </w:r>
    </w:p>
    <w:p>
      <w:pPr>
        <w:pStyle w:val="22"/>
        <w:rPr>
          <w:rFonts w:hint="eastAsia" w:eastAsia="方正仿宋_GBK"/>
          <w:lang w:eastAsia="zh-CN"/>
        </w:rPr>
      </w:pPr>
      <w:r>
        <w:t>绩效目标：按照审计署、省审计厅和市各级委托要求，依法全面旅行审计监督责任</w:t>
      </w:r>
      <w:r>
        <w:rPr>
          <w:rFonts w:hint="eastAsia"/>
          <w:lang w:eastAsia="zh-CN"/>
        </w:rPr>
        <w:t>。</w:t>
      </w:r>
    </w:p>
    <w:p>
      <w:pPr>
        <w:pStyle w:val="22"/>
      </w:pPr>
      <w:r>
        <w:t xml:space="preserve">绩效指标：完成年度审计项目，项目完成率达到100%。 </w:t>
      </w:r>
    </w:p>
    <w:p>
      <w:pPr>
        <w:pStyle w:val="22"/>
      </w:pPr>
      <w:r>
        <w:t>（2）提高财政资金使用效益</w:t>
      </w:r>
    </w:p>
    <w:p>
      <w:pPr>
        <w:pStyle w:val="22"/>
      </w:pPr>
      <w:r>
        <w:t>绩效目标：审查财政收支真实、合法和效益情况，推动建立现代财政制度、提高财政资金使用绩效、维护国家财政安全，督促被审单位提高财政资金使用效益、完善落实法规制度、做好审计问题整改工作。</w:t>
      </w:r>
    </w:p>
    <w:p>
      <w:pPr>
        <w:pStyle w:val="22"/>
      </w:pPr>
      <w:r>
        <w:t>绩效指标：审计项目合格率达到100%，项目完成及时率95%（含）以上，达到审计建议采纳率达到90%以上，审计问题整改率达到90%（含）以上，审计报告通过率达到100%，项目委托单位对审计评价报告满意度达到90%（含）以上。</w:t>
      </w:r>
    </w:p>
    <w:p>
      <w:pPr>
        <w:spacing w:line="500" w:lineRule="exact"/>
        <w:ind w:firstLine="560"/>
      </w:pPr>
      <w:r>
        <w:rPr>
          <w:rFonts w:eastAsia="方正仿宋_GBK"/>
          <w:color w:val="000000"/>
          <w:sz w:val="28"/>
        </w:rPr>
        <w:t>（三）工作保障措施</w:t>
      </w:r>
    </w:p>
    <w:p>
      <w:pPr>
        <w:pStyle w:val="23"/>
      </w:pPr>
      <w:r>
        <w:t>（1）完善制度建设。按照县级财政重点绩效评价管理办法和部门绩效自评办法有关规定，切实发挥资金效益，坚持制度先行、规范管理，及时修订完善绩效管理制度，进一步优化绩效管理流程，规范管理行为。</w:t>
      </w:r>
    </w:p>
    <w:p>
      <w:pPr>
        <w:pStyle w:val="23"/>
      </w:pPr>
      <w:r>
        <w:t>（2）加强预算支出管理。严格执行预算法规制度，编实编细预算项目，优化支出结构，尽快履行政府采购手续，迅速启动有关项目，及时支付资金，确保按时完成支出进度。</w:t>
      </w:r>
    </w:p>
    <w:p>
      <w:pPr>
        <w:pStyle w:val="23"/>
      </w:pPr>
      <w:r>
        <w:t>（3）加强绩效运行监控。按要求开展绩效运行监控，对无法预期完成绩效目标的进行督促问责，调减相关预算资金，确保绩效目标如期保质实现。</w:t>
      </w:r>
    </w:p>
    <w:p>
      <w:pPr>
        <w:pStyle w:val="23"/>
      </w:pPr>
      <w:r>
        <w:t>（4）规范财务资产管理。进一步完善财务制度，结合新出台的法规文件，修订相应财务规定，严格审批程序，加强固定资产登记、使用和报废处置管理，做到支出合理，物尽其用。</w:t>
      </w:r>
    </w:p>
    <w:p>
      <w:pPr>
        <w:pStyle w:val="23"/>
      </w:pPr>
      <w:r>
        <w:t>（5）加强内部监督。加强内部监督制度建设，对绩效运行情况、重大支出决策、对外投资、资产处置及其他重要经济业务事项的决策和执行进行督导，完善内审制度，对会计资料进行内部审计，并配合做好审计、财政监督等外部监督工作，确保财政资金安全有效。</w:t>
      </w:r>
    </w:p>
    <w:p>
      <w:pPr>
        <w:pStyle w:val="23"/>
      </w:pPr>
      <w:r>
        <w:t>（6）加强宣传培训调研等。加强人员培训，提高本部门职工业务素质；加强调研，提出优化财政资金配置、提高资金使用效益的</w:t>
      </w:r>
      <w:bookmarkStart w:id="18" w:name="_GoBack"/>
      <w:r>
        <w:t>意见</w:t>
      </w:r>
      <w:bookmarkEnd w:id="18"/>
      <w:r>
        <w:t>；加大宣传力度，强化预算绩效管理意识，促进预算绩效管理水平进一步提升。</w:t>
      </w:r>
    </w:p>
    <w:p>
      <w:pPr>
        <w:ind w:firstLine="640"/>
        <w:rPr>
          <w:rFonts w:ascii="方正楷体_GBK" w:hAnsi="方正楷体_GBK" w:eastAsia="方正楷体_GBK" w:cs="方正楷体_GBK"/>
          <w:b/>
          <w:color w:val="000000"/>
          <w:sz w:val="24"/>
          <w:szCs w:val="21"/>
          <w:highlight w:val="none"/>
        </w:rPr>
      </w:pPr>
    </w:p>
    <w:p>
      <w:pPr>
        <w:ind w:firstLine="640"/>
        <w:rPr>
          <w:rFonts w:ascii="方正楷体_GBK" w:hAnsi="方正楷体_GBK" w:eastAsia="方正楷体_GBK" w:cs="方正楷体_GBK"/>
          <w:b/>
          <w:color w:val="000000"/>
          <w:sz w:val="24"/>
          <w:szCs w:val="21"/>
          <w:highlight w:val="none"/>
        </w:rPr>
      </w:pPr>
      <w:r>
        <w:rPr>
          <w:rFonts w:ascii="方正楷体_GBK" w:hAnsi="方正楷体_GBK" w:eastAsia="方正楷体_GBK" w:cs="方正楷体_GBK"/>
          <w:b/>
          <w:color w:val="000000"/>
          <w:sz w:val="24"/>
          <w:szCs w:val="21"/>
          <w:highlight w:val="none"/>
        </w:rPr>
        <w:t>第二部分  专项资金绩效目标</w:t>
      </w:r>
    </w:p>
    <w:p>
      <w:pPr>
        <w:rPr>
          <w:rFonts w:hint="eastAsia" w:ascii="Times New Roman" w:hAnsi="Times New Roman" w:eastAsia="方正仿宋_GBK" w:cs="Times New Roman"/>
          <w:sz w:val="28"/>
          <w:szCs w:val="24"/>
          <w:lang w:val="en-US" w:eastAsia="zh-CN" w:bidi="ar-SA"/>
        </w:rPr>
      </w:pPr>
      <w:r>
        <w:rPr>
          <w:rFonts w:hint="eastAsia" w:ascii="方正楷体_GBK" w:hAnsi="方正楷体_GBK" w:eastAsia="方正楷体_GBK" w:cs="方正楷体_GBK"/>
          <w:b/>
          <w:color w:val="000000"/>
          <w:sz w:val="24"/>
          <w:szCs w:val="21"/>
          <w:highlight w:val="none"/>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p>
    <w:p>
      <w:pPr>
        <w:rPr>
          <w:rFonts w:hint="default" w:ascii="Times New Roman" w:hAnsi="Times New Roman" w:eastAsia="方正仿宋_GBK" w:cs="Times New Roman"/>
          <w:sz w:val="28"/>
          <w:szCs w:val="24"/>
          <w:lang w:val="en-US" w:eastAsia="zh-CN" w:bidi="ar-SA"/>
        </w:rPr>
      </w:pPr>
    </w:p>
    <w:p>
      <w:pPr>
        <w:numPr>
          <w:ilvl w:val="0"/>
          <w:numId w:val="1"/>
        </w:numPr>
        <w:ind w:firstLine="640"/>
        <w:rPr>
          <w:rFonts w:ascii="方正楷体_GBK" w:hAnsi="方正楷体_GBK" w:eastAsia="方正楷体_GBK" w:cs="方正楷体_GBK"/>
          <w:b/>
          <w:color w:val="000000"/>
          <w:sz w:val="24"/>
          <w:szCs w:val="21"/>
        </w:rPr>
      </w:pPr>
      <w:r>
        <w:rPr>
          <w:rFonts w:ascii="方正楷体_GBK" w:hAnsi="方正楷体_GBK" w:eastAsia="方正楷体_GBK" w:cs="方正楷体_GBK"/>
          <w:b/>
          <w:color w:val="000000"/>
          <w:sz w:val="24"/>
          <w:szCs w:val="21"/>
        </w:rPr>
        <w:t xml:space="preserve"> 预算项目绩效目标</w:t>
      </w:r>
    </w:p>
    <w:p>
      <w:pPr>
        <w:pStyle w:val="24"/>
        <w:ind w:firstLine="560"/>
        <w:rPr>
          <w:b w:val="0"/>
          <w:bCs/>
        </w:rPr>
      </w:pPr>
      <w:r>
        <w:rPr>
          <w:rFonts w:hint="eastAsia" w:ascii="方正仿宋_GBK" w:hAnsi="方正仿宋_GBK" w:eastAsia="方正仿宋_GBK" w:cs="方正仿宋_GBK"/>
          <w:b w:val="0"/>
          <w:bCs/>
          <w:color w:val="000000"/>
          <w:sz w:val="28"/>
          <w:lang w:eastAsia="zh-CN"/>
        </w:rPr>
        <w:t>（一）</w:t>
      </w:r>
      <w:r>
        <w:rPr>
          <w:rFonts w:ascii="方正仿宋_GBK" w:hAnsi="方正仿宋_GBK" w:eastAsia="方正仿宋_GBK" w:cs="方正仿宋_GBK"/>
          <w:b w:val="0"/>
          <w:bCs/>
          <w:color w:val="000000"/>
          <w:sz w:val="28"/>
        </w:rPr>
        <w:t>审计工作经费绩效目标表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1.外聘人员保障审计工作开展</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外聘人事代理人员数量</w:t>
            </w:r>
          </w:p>
        </w:tc>
        <w:tc>
          <w:tcPr>
            <w:tcW w:w="2835" w:type="dxa"/>
            <w:vAlign w:val="center"/>
          </w:tcPr>
          <w:p>
            <w:pPr>
              <w:pStyle w:val="26"/>
            </w:pPr>
            <w:r>
              <w:t>外聘人事代理人员数量</w:t>
            </w:r>
          </w:p>
        </w:tc>
        <w:tc>
          <w:tcPr>
            <w:tcW w:w="2551" w:type="dxa"/>
            <w:vAlign w:val="center"/>
          </w:tcPr>
          <w:p>
            <w:pPr>
              <w:pStyle w:val="26"/>
            </w:pPr>
            <w:r>
              <w:t>≥13个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工作考核合格率</w:t>
            </w:r>
          </w:p>
        </w:tc>
        <w:tc>
          <w:tcPr>
            <w:tcW w:w="2835" w:type="dxa"/>
            <w:vAlign w:val="center"/>
          </w:tcPr>
          <w:p>
            <w:pPr>
              <w:pStyle w:val="26"/>
            </w:pPr>
            <w:r>
              <w:t>工作考核合格率</w:t>
            </w:r>
          </w:p>
        </w:tc>
        <w:tc>
          <w:tcPr>
            <w:tcW w:w="2551" w:type="dxa"/>
            <w:vAlign w:val="center"/>
          </w:tcPr>
          <w:p>
            <w:pPr>
              <w:pStyle w:val="26"/>
            </w:pPr>
            <w:r>
              <w:t>100百分比</w:t>
            </w:r>
          </w:p>
        </w:tc>
        <w:tc>
          <w:tcPr>
            <w:tcW w:w="2268" w:type="dxa"/>
            <w:vAlign w:val="center"/>
          </w:tcPr>
          <w:p>
            <w:pPr>
              <w:pStyle w:val="26"/>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工作完成及时率</w:t>
            </w:r>
          </w:p>
        </w:tc>
        <w:tc>
          <w:tcPr>
            <w:tcW w:w="2835" w:type="dxa"/>
            <w:vAlign w:val="center"/>
          </w:tcPr>
          <w:p>
            <w:pPr>
              <w:pStyle w:val="26"/>
            </w:pPr>
            <w:r>
              <w:t>工作完成及时率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人员费用成本</w:t>
            </w:r>
          </w:p>
        </w:tc>
        <w:tc>
          <w:tcPr>
            <w:tcW w:w="2835" w:type="dxa"/>
            <w:vAlign w:val="center"/>
          </w:tcPr>
          <w:p>
            <w:pPr>
              <w:pStyle w:val="26"/>
            </w:pPr>
            <w:r>
              <w:t>人员费用成本</w:t>
            </w:r>
          </w:p>
        </w:tc>
        <w:tc>
          <w:tcPr>
            <w:tcW w:w="2551" w:type="dxa"/>
            <w:vAlign w:val="center"/>
          </w:tcPr>
          <w:p>
            <w:pPr>
              <w:pStyle w:val="26"/>
            </w:pPr>
            <w:r>
              <w:t>60万元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完成率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被审单位满意率</w:t>
            </w:r>
          </w:p>
        </w:tc>
        <w:tc>
          <w:tcPr>
            <w:tcW w:w="2835" w:type="dxa"/>
            <w:vAlign w:val="center"/>
          </w:tcPr>
          <w:p>
            <w:pPr>
              <w:pStyle w:val="26"/>
            </w:pPr>
            <w:r>
              <w:t>被审单位满意度</w:t>
            </w:r>
          </w:p>
        </w:tc>
        <w:tc>
          <w:tcPr>
            <w:tcW w:w="2551" w:type="dxa"/>
            <w:vAlign w:val="center"/>
          </w:tcPr>
          <w:p>
            <w:pPr>
              <w:pStyle w:val="26"/>
            </w:pPr>
            <w:r>
              <w:t>100百分比</w:t>
            </w:r>
          </w:p>
        </w:tc>
        <w:tc>
          <w:tcPr>
            <w:tcW w:w="2268" w:type="dxa"/>
            <w:vAlign w:val="center"/>
          </w:tcPr>
          <w:p>
            <w:pPr>
              <w:pStyle w:val="26"/>
            </w:pPr>
            <w:r>
              <w:t>年度工作计划</w:t>
            </w:r>
          </w:p>
        </w:tc>
      </w:tr>
    </w:tbl>
    <w:p>
      <w:pPr>
        <w:pStyle w:val="24"/>
        <w:rPr>
          <w:b w:val="0"/>
          <w:bCs w:val="0"/>
          <w:sz w:val="24"/>
          <w:szCs w:val="24"/>
        </w:rPr>
      </w:pPr>
    </w:p>
    <w:p>
      <w:pPr>
        <w:pStyle w:val="24"/>
        <w:ind w:firstLine="560"/>
        <w:rPr>
          <w:b w:val="0"/>
          <w:bCs w:val="0"/>
          <w:sz w:val="24"/>
          <w:szCs w:val="24"/>
        </w:rPr>
      </w:pPr>
      <w:r>
        <w:rPr>
          <w:rFonts w:hint="eastAsia" w:ascii="方正仿宋_GBK" w:hAnsi="方正仿宋_GBK" w:eastAsia="方正仿宋_GBK" w:cs="方正仿宋_GBK"/>
          <w:b w:val="0"/>
          <w:bCs w:val="0"/>
          <w:color w:val="000000"/>
          <w:sz w:val="28"/>
          <w:szCs w:val="24"/>
          <w:lang w:eastAsia="zh-CN"/>
        </w:rPr>
        <w:t>（二）</w:t>
      </w:r>
      <w:r>
        <w:rPr>
          <w:rFonts w:ascii="方正仿宋_GBK" w:hAnsi="方正仿宋_GBK" w:eastAsia="方正仿宋_GBK" w:cs="方正仿宋_GBK"/>
          <w:b w:val="0"/>
          <w:bCs w:val="0"/>
          <w:color w:val="000000"/>
          <w:sz w:val="28"/>
          <w:szCs w:val="24"/>
        </w:rPr>
        <w:t>审计业务专项经费绩效目标表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1.落实审计监督责任，按计划完成年度审计工作任务</w:t>
            </w:r>
            <w:r>
              <w:tab/>
            </w:r>
            <w:r>
              <w:tab/>
            </w:r>
            <w:r>
              <w:tab/>
            </w:r>
            <w:r>
              <w:tab/>
            </w:r>
          </w:p>
          <w:p>
            <w:pPr>
              <w:pStyle w:val="26"/>
            </w:pP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审计项目数量</w:t>
            </w:r>
          </w:p>
        </w:tc>
        <w:tc>
          <w:tcPr>
            <w:tcW w:w="2835" w:type="dxa"/>
            <w:vAlign w:val="center"/>
          </w:tcPr>
          <w:p>
            <w:pPr>
              <w:pStyle w:val="26"/>
            </w:pPr>
            <w:r>
              <w:t>全年完成审计项目的个数</w:t>
            </w:r>
          </w:p>
        </w:tc>
        <w:tc>
          <w:tcPr>
            <w:tcW w:w="2551" w:type="dxa"/>
            <w:vAlign w:val="center"/>
          </w:tcPr>
          <w:p>
            <w:pPr>
              <w:pStyle w:val="26"/>
            </w:pPr>
            <w:r>
              <w:t>≥20个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审计问题整改率</w:t>
            </w:r>
          </w:p>
        </w:tc>
        <w:tc>
          <w:tcPr>
            <w:tcW w:w="2835" w:type="dxa"/>
            <w:vAlign w:val="center"/>
          </w:tcPr>
          <w:p>
            <w:pPr>
              <w:pStyle w:val="26"/>
            </w:pPr>
            <w:r>
              <w:t>被审单位完成问题整改情况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审计项目完成及时率</w:t>
            </w:r>
          </w:p>
        </w:tc>
        <w:tc>
          <w:tcPr>
            <w:tcW w:w="2835" w:type="dxa"/>
            <w:vAlign w:val="center"/>
          </w:tcPr>
          <w:p>
            <w:pPr>
              <w:pStyle w:val="26"/>
            </w:pPr>
            <w:r>
              <w:t>按照计划审计项目完成及时率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审计业务成本</w:t>
            </w:r>
          </w:p>
        </w:tc>
        <w:tc>
          <w:tcPr>
            <w:tcW w:w="2835" w:type="dxa"/>
            <w:vAlign w:val="center"/>
          </w:tcPr>
          <w:p>
            <w:pPr>
              <w:pStyle w:val="26"/>
            </w:pPr>
            <w:r>
              <w:t>完成审计计划所发生的费用</w:t>
            </w:r>
          </w:p>
        </w:tc>
        <w:tc>
          <w:tcPr>
            <w:tcW w:w="2551" w:type="dxa"/>
            <w:vAlign w:val="center"/>
          </w:tcPr>
          <w:p>
            <w:pPr>
              <w:pStyle w:val="26"/>
            </w:pPr>
            <w:r>
              <w:t>75万元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被审计单位调账处理完成率</w:t>
            </w:r>
          </w:p>
        </w:tc>
        <w:tc>
          <w:tcPr>
            <w:tcW w:w="2835" w:type="dxa"/>
            <w:vAlign w:val="center"/>
          </w:tcPr>
          <w:p>
            <w:pPr>
              <w:pStyle w:val="26"/>
            </w:pPr>
            <w:r>
              <w:t>被审计单位调账处理完成情况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被审单位满意率</w:t>
            </w:r>
          </w:p>
        </w:tc>
        <w:tc>
          <w:tcPr>
            <w:tcW w:w="2835" w:type="dxa"/>
            <w:vAlign w:val="center"/>
          </w:tcPr>
          <w:p>
            <w:pPr>
              <w:pStyle w:val="26"/>
            </w:pPr>
            <w:r>
              <w:t>被审单位满意度</w:t>
            </w:r>
          </w:p>
        </w:tc>
        <w:tc>
          <w:tcPr>
            <w:tcW w:w="2551" w:type="dxa"/>
            <w:vAlign w:val="center"/>
          </w:tcPr>
          <w:p>
            <w:pPr>
              <w:pStyle w:val="26"/>
            </w:pPr>
            <w:r>
              <w:t>100百分比</w:t>
            </w:r>
          </w:p>
        </w:tc>
        <w:tc>
          <w:tcPr>
            <w:tcW w:w="2268" w:type="dxa"/>
            <w:vAlign w:val="center"/>
          </w:tcPr>
          <w:p>
            <w:pPr>
              <w:pStyle w:val="26"/>
            </w:pPr>
            <w:r>
              <w:t>调查问卷</w:t>
            </w:r>
          </w:p>
        </w:tc>
      </w:tr>
    </w:tbl>
    <w:p>
      <w:pPr>
        <w:pStyle w:val="24"/>
      </w:pPr>
    </w:p>
    <w:p>
      <w:pPr>
        <w:pStyle w:val="24"/>
        <w:ind w:firstLine="560"/>
        <w:rPr>
          <w:b w:val="0"/>
          <w:bCs/>
        </w:rPr>
      </w:pPr>
      <w:r>
        <w:rPr>
          <w:rFonts w:hint="eastAsia" w:ascii="方正仿宋_GBK" w:hAnsi="方正仿宋_GBK" w:eastAsia="方正仿宋_GBK" w:cs="方正仿宋_GBK"/>
          <w:b w:val="0"/>
          <w:bCs/>
          <w:color w:val="000000"/>
          <w:sz w:val="28"/>
          <w:lang w:eastAsia="zh-CN"/>
        </w:rPr>
        <w:t>（三）</w:t>
      </w:r>
      <w:r>
        <w:rPr>
          <w:rFonts w:ascii="方正仿宋_GBK" w:hAnsi="方正仿宋_GBK" w:eastAsia="方正仿宋_GBK" w:cs="方正仿宋_GBK"/>
          <w:b w:val="0"/>
          <w:bCs/>
          <w:color w:val="000000"/>
          <w:sz w:val="28"/>
        </w:rPr>
        <w:t>政府基建项目审计业务专项经费绩效目标表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jc w:val="left"/>
            </w:pPr>
          </w:p>
          <w:p>
            <w:pPr>
              <w:pStyle w:val="26"/>
              <w:jc w:val="left"/>
            </w:pPr>
            <w:r>
              <w:t>1.落实审计监督责任，按计划完成年度审计工作任务</w:t>
            </w:r>
            <w:r>
              <w:rPr>
                <w:rFonts w:hint="eastAsia"/>
                <w:lang w:eastAsia="zh-CN"/>
              </w:rPr>
              <w:t>，</w:t>
            </w:r>
            <w:r>
              <w:t>督促审计问题整改</w:t>
            </w:r>
            <w:r>
              <w:rPr>
                <w:rFonts w:hint="eastAsia"/>
                <w:lang w:eastAsia="zh-CN"/>
              </w:rPr>
              <w:t>，</w:t>
            </w:r>
            <w:r>
              <w:t>出具审计评价和审计报告，为领导决策提供建议和服务</w:t>
            </w:r>
            <w:r>
              <w:rPr>
                <w:rFonts w:hint="eastAsia"/>
                <w:lang w:eastAsia="zh-CN"/>
              </w:rPr>
              <w:t>。</w:t>
            </w:r>
            <w:r>
              <w:tab/>
            </w:r>
            <w:r>
              <w:tab/>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审计项目数量</w:t>
            </w:r>
          </w:p>
        </w:tc>
        <w:tc>
          <w:tcPr>
            <w:tcW w:w="2835" w:type="dxa"/>
            <w:vAlign w:val="center"/>
          </w:tcPr>
          <w:p>
            <w:pPr>
              <w:pStyle w:val="26"/>
            </w:pPr>
            <w:r>
              <w:t>全年完成审计项目的个数</w:t>
            </w:r>
          </w:p>
        </w:tc>
        <w:tc>
          <w:tcPr>
            <w:tcW w:w="2551" w:type="dxa"/>
            <w:vAlign w:val="center"/>
          </w:tcPr>
          <w:p>
            <w:pPr>
              <w:pStyle w:val="26"/>
            </w:pPr>
            <w:r>
              <w:t>≥20个</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审计问题整改率</w:t>
            </w:r>
          </w:p>
        </w:tc>
        <w:tc>
          <w:tcPr>
            <w:tcW w:w="2835" w:type="dxa"/>
            <w:vAlign w:val="center"/>
          </w:tcPr>
          <w:p>
            <w:pPr>
              <w:pStyle w:val="26"/>
            </w:pPr>
            <w:r>
              <w:t>被审单位完成问题整改情况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为按时完成审计档案归档的审计项目</w:t>
            </w:r>
          </w:p>
        </w:tc>
        <w:tc>
          <w:tcPr>
            <w:tcW w:w="2835" w:type="dxa"/>
            <w:vAlign w:val="center"/>
          </w:tcPr>
          <w:p>
            <w:pPr>
              <w:pStyle w:val="26"/>
            </w:pPr>
            <w:r>
              <w:t>按照计划审计项目归档完成及时率</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委托审计费用</w:t>
            </w:r>
          </w:p>
        </w:tc>
        <w:tc>
          <w:tcPr>
            <w:tcW w:w="2835" w:type="dxa"/>
            <w:vAlign w:val="center"/>
          </w:tcPr>
          <w:p>
            <w:pPr>
              <w:pStyle w:val="26"/>
            </w:pPr>
            <w:r>
              <w:t>完成计划所发生的费用</w:t>
            </w:r>
          </w:p>
        </w:tc>
        <w:tc>
          <w:tcPr>
            <w:tcW w:w="2551" w:type="dxa"/>
            <w:vAlign w:val="center"/>
          </w:tcPr>
          <w:p>
            <w:pPr>
              <w:pStyle w:val="26"/>
            </w:pPr>
            <w:r>
              <w:t>458万元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被审计单位根据审计建议完成整改情况</w:t>
            </w:r>
          </w:p>
        </w:tc>
        <w:tc>
          <w:tcPr>
            <w:tcW w:w="2835" w:type="dxa"/>
            <w:vAlign w:val="center"/>
          </w:tcPr>
          <w:p>
            <w:pPr>
              <w:pStyle w:val="26"/>
            </w:pPr>
            <w:r>
              <w:t>被审计单位完成整改情况</w:t>
            </w:r>
          </w:p>
        </w:tc>
        <w:tc>
          <w:tcPr>
            <w:tcW w:w="2551" w:type="dxa"/>
            <w:vAlign w:val="center"/>
          </w:tcPr>
          <w:p>
            <w:pPr>
              <w:pStyle w:val="26"/>
            </w:pPr>
            <w:r>
              <w:t>100百分比</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委托单位满意率</w:t>
            </w:r>
          </w:p>
        </w:tc>
        <w:tc>
          <w:tcPr>
            <w:tcW w:w="2835" w:type="dxa"/>
            <w:vAlign w:val="center"/>
          </w:tcPr>
          <w:p>
            <w:pPr>
              <w:pStyle w:val="26"/>
            </w:pPr>
            <w:r>
              <w:t>委托单位满意度</w:t>
            </w:r>
          </w:p>
        </w:tc>
        <w:tc>
          <w:tcPr>
            <w:tcW w:w="2551" w:type="dxa"/>
            <w:vAlign w:val="center"/>
          </w:tcPr>
          <w:p>
            <w:pPr>
              <w:pStyle w:val="26"/>
            </w:pPr>
            <w:r>
              <w:t>100百分比</w:t>
            </w:r>
          </w:p>
        </w:tc>
        <w:tc>
          <w:tcPr>
            <w:tcW w:w="2268" w:type="dxa"/>
            <w:vAlign w:val="center"/>
          </w:tcPr>
          <w:p>
            <w:pPr>
              <w:pStyle w:val="26"/>
            </w:pPr>
            <w:r>
              <w:t>年度工作总结</w:t>
            </w:r>
          </w:p>
          <w:p>
            <w:pPr>
              <w:pStyle w:val="26"/>
            </w:pPr>
          </w:p>
        </w:tc>
      </w:tr>
    </w:tbl>
    <w:p>
      <w:pPr>
        <w:pStyle w:val="24"/>
        <w:sectPr>
          <w:pgSz w:w="16840" w:h="11900" w:orient="landscape"/>
          <w:pgMar w:top="1361" w:right="1020" w:bottom="1361"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2022年，隆尧县审计局安排政府采购预算5.00万元。具体内容见下表。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319隆尧县审计局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隆尧县审计局本级小计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5.00</w:t>
            </w:r>
          </w:p>
        </w:tc>
        <w:tc>
          <w:tcPr>
            <w:tcW w:w="964" w:type="dxa"/>
            <w:vAlign w:val="center"/>
          </w:tcPr>
          <w:p>
            <w:pPr>
              <w:pStyle w:val="15"/>
            </w:pPr>
            <w:r>
              <w:t>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审计业务专项经费</w:t>
            </w:r>
          </w:p>
        </w:tc>
        <w:tc>
          <w:tcPr>
            <w:tcW w:w="964" w:type="dxa"/>
            <w:vAlign w:val="center"/>
          </w:tcPr>
          <w:p>
            <w:pPr>
              <w:pStyle w:val="11"/>
            </w:pPr>
            <w:r>
              <w:t>75.00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审计业务专项经费</w:t>
            </w:r>
          </w:p>
        </w:tc>
        <w:tc>
          <w:tcPr>
            <w:tcW w:w="964" w:type="dxa"/>
            <w:vAlign w:val="center"/>
          </w:tcPr>
          <w:p>
            <w:pPr>
              <w:pStyle w:val="11"/>
            </w:pPr>
            <w:r>
              <w:t>75.00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隆尧县审计局（含所属单位）上年末固定资产金额为6</w:t>
      </w:r>
      <w:r>
        <w:rPr>
          <w:rFonts w:hint="eastAsia" w:eastAsia="方正仿宋_GBK"/>
          <w:color w:val="000000"/>
          <w:sz w:val="28"/>
          <w:lang w:val="en-US" w:eastAsia="zh-CN"/>
        </w:rPr>
        <w:t>6</w:t>
      </w:r>
      <w:r>
        <w:rPr>
          <w:rFonts w:eastAsia="方正仿宋_GBK"/>
          <w:color w:val="000000"/>
          <w:sz w:val="28"/>
        </w:rPr>
        <w:t>.19万元（详见下表）。本年度拟购置固定资产总额为5.00万元，已按要求列入政府采购预算，详见政府采购预算表。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319隆尧县审计局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w:t>
            </w:r>
            <w:r>
              <w:rPr>
                <w:rFonts w:hint="eastAsia"/>
                <w:lang w:val="en-US" w:eastAsia="zh-CN"/>
              </w:rPr>
              <w:t>6</w:t>
            </w:r>
            <w:r>
              <w:t>.19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206</w:t>
            </w:r>
          </w:p>
        </w:tc>
        <w:tc>
          <w:tcPr>
            <w:tcW w:w="2835" w:type="dxa"/>
            <w:vAlign w:val="center"/>
          </w:tcPr>
          <w:p>
            <w:pPr>
              <w:pStyle w:val="11"/>
            </w:pPr>
            <w:r>
              <w:t>66.19</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w:t>
      </w:r>
      <w:r>
        <w:rPr>
          <w:rFonts w:hint="eastAsia" w:eastAsia="方正仿宋_GBK"/>
          <w:color w:val="000000"/>
          <w:sz w:val="28"/>
          <w:lang w:eastAsia="zh-CN"/>
        </w:rPr>
        <w:t>项。</w:t>
      </w:r>
    </w:p>
    <w:p>
      <w:pPr>
        <w:spacing w:line="500" w:lineRule="exact"/>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小标宋简体">
    <w:altName w:val="宋体"/>
    <w:panose1 w:val="00000600000000000000"/>
    <w:charset w:val="86"/>
    <w:family w:val="auto"/>
    <w:pitch w:val="default"/>
    <w:sig w:usb0="00000000" w:usb1="00000000" w:usb2="00000012" w:usb3="00000000" w:csb0="00160001" w:csb1="1203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43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44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C4872B"/>
    <w:multiLevelType w:val="singleLevel"/>
    <w:tmpl w:val="AFC4872B"/>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yMGMxMzM0NDJiOTRmZmYyODczMmE5MTQ0YmZkZjYifQ=="/>
  </w:docVars>
  <w:rsids>
    <w:rsidRoot w:val="008B2821"/>
    <w:rsid w:val="008B2821"/>
    <w:rsid w:val="009A7F09"/>
    <w:rsid w:val="00BC4FCB"/>
    <w:rsid w:val="079B5016"/>
    <w:rsid w:val="07F263CC"/>
    <w:rsid w:val="083B45F4"/>
    <w:rsid w:val="0D796145"/>
    <w:rsid w:val="14C85D3C"/>
    <w:rsid w:val="1D7C5DE9"/>
    <w:rsid w:val="28043B1E"/>
    <w:rsid w:val="2EFB1C72"/>
    <w:rsid w:val="3ACD5B79"/>
    <w:rsid w:val="3C20500F"/>
    <w:rsid w:val="4302232B"/>
    <w:rsid w:val="66046C59"/>
    <w:rsid w:val="670E54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990d678-4548-4b88-86a9-c3be32531798"/>
    <w:qFormat/>
    <w:uiPriority w:val="0"/>
    <w:rPr>
      <w:rFonts w:ascii="Times New Roman" w:hAnsi="Times New Roman" w:eastAsia="Times New Roman" w:cs="Times New Roman"/>
      <w:sz w:val="24"/>
      <w:szCs w:val="24"/>
      <w:lang w:val="en-US" w:eastAsia="uk-UA" w:bidi="ar-SA"/>
    </w:rPr>
  </w:style>
  <w:style w:type="paragraph" w:customStyle="1" w:styleId="25">
    <w:name w:val="单元格样式1_f625739e-41d7-4a0d-9ca0-6d7575db10a6"/>
    <w:basedOn w:val="1"/>
    <w:qFormat/>
    <w:uiPriority w:val="0"/>
    <w:pPr>
      <w:jc w:val="center"/>
    </w:pPr>
    <w:rPr>
      <w:rFonts w:ascii="方正书宋_GBK" w:hAnsi="方正书宋_GBK" w:eastAsia="方正书宋_GBK" w:cs="方正书宋_GBK"/>
      <w:b/>
      <w:sz w:val="21"/>
    </w:rPr>
  </w:style>
  <w:style w:type="paragraph" w:customStyle="1" w:styleId="26">
    <w:name w:val="单元格样式2_c030d66c-8279-4587-87dd-f6ffae91acec"/>
    <w:basedOn w:val="1"/>
    <w:qFormat/>
    <w:uiPriority w:val="0"/>
    <w:rPr>
      <w:rFonts w:ascii="方正书宋_GBK" w:hAnsi="方正书宋_GBK" w:eastAsia="方正书宋_GBK" w:cs="方正书宋_GBK"/>
      <w:sz w:val="21"/>
    </w:rPr>
  </w:style>
  <w:style w:type="paragraph" w:customStyle="1" w:styleId="27">
    <w:name w:val="单元格样式3_7858f46c-bada-4e9b-a3e8-810223004ddf"/>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autoRedefine/>
    <w:qFormat/>
    <w:uiPriority w:val="0"/>
    <w:pPr>
      <w:spacing w:before="120"/>
      <w:ind w:firstLine="560"/>
    </w:pPr>
    <w:rPr>
      <w:rFonts w:eastAsia="方正仿宋_GBK"/>
      <w:color w:val="000000"/>
      <w:sz w:val="28"/>
    </w:rPr>
  </w:style>
  <w:style w:type="character" w:customStyle="1" w:styleId="37">
    <w:name w:val="页眉 Char"/>
    <w:basedOn w:val="6"/>
    <w:link w:val="3"/>
    <w:autoRedefine/>
    <w:semiHidden/>
    <w:qFormat/>
    <w:uiPriority w:val="99"/>
    <w:rPr>
      <w:rFonts w:eastAsia="Times New Roman"/>
      <w:sz w:val="18"/>
      <w:szCs w:val="18"/>
      <w:lang w:eastAsia="uk-UA"/>
    </w:rPr>
  </w:style>
  <w:style w:type="character" w:customStyle="1" w:styleId="38">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2022-02-15T10:29:43Z</dcterms:created>
  <dcterms:modified xsi:type="dcterms:W3CDTF">2022-02-15T02:29:43Z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2022-02-15T10:29:41Z</dcterms:created>
  <dcterms:modified xsi:type="dcterms:W3CDTF">2022-02-15T02:29:41Z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2022-02-15T10:29:44Z</dcterms:created>
  <dcterms:modified xsi:type="dcterms:W3CDTF">2022-02-15T02:29:44Z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2022-02-15T10:29:41Z</dcterms:created>
  <dcterms:modified xsi:type="dcterms:W3CDTF">2022-02-15T02:29:41Z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9376D1-5BAB-4D4E-BE0A-5476A08AC693}">
  <ds:schemaRefs/>
</ds:datastoreItem>
</file>

<file path=customXml/itemProps3.xml><?xml version="1.0" encoding="utf-8"?>
<ds:datastoreItem xmlns:ds="http://schemas.openxmlformats.org/officeDocument/2006/customXml" ds:itemID="{BD10C372-96EC-4285-8208-66B834973C87}">
  <ds:schemaRefs/>
</ds:datastoreItem>
</file>

<file path=customXml/itemProps4.xml><?xml version="1.0" encoding="utf-8"?>
<ds:datastoreItem xmlns:ds="http://schemas.openxmlformats.org/officeDocument/2006/customXml" ds:itemID="{9B92484A-01B0-4851-954F-8C28CF3B1845}">
  <ds:schemaRefs/>
</ds:datastoreItem>
</file>

<file path=customXml/itemProps5.xml><?xml version="1.0" encoding="utf-8"?>
<ds:datastoreItem xmlns:ds="http://schemas.openxmlformats.org/officeDocument/2006/customXml" ds:itemID="{E713D6E2-F005-4F2F-BADB-74C286EAE139}">
  <ds:schemaRefs/>
</ds:datastoreItem>
</file>

<file path=customXml/itemProps6.xml><?xml version="1.0" encoding="utf-8"?>
<ds:datastoreItem xmlns:ds="http://schemas.openxmlformats.org/officeDocument/2006/customXml" ds:itemID="{50925560-F21E-40D8-AF5F-A1C8F02270F7}">
  <ds:schemaRefs/>
</ds:datastoreItem>
</file>

<file path=customXml/itemProps7.xml><?xml version="1.0" encoding="utf-8"?>
<ds:datastoreItem xmlns:ds="http://schemas.openxmlformats.org/officeDocument/2006/customXml" ds:itemID="{CFD3C904-311E-4D3F-B57F-9F8186BB4ECB}">
  <ds:schemaRefs/>
</ds:datastoreItem>
</file>

<file path=customXml/itemProps8.xml><?xml version="1.0" encoding="utf-8"?>
<ds:datastoreItem xmlns:ds="http://schemas.openxmlformats.org/officeDocument/2006/customXml" ds:itemID="{863FE8B6-772C-4221-821B-E965392F6B91}">
  <ds:schemaRefs/>
</ds:datastoreItem>
</file>

<file path=customXml/itemProps9.xml><?xml version="1.0" encoding="utf-8"?>
<ds:datastoreItem xmlns:ds="http://schemas.openxmlformats.org/officeDocument/2006/customXml" ds:itemID="{791FE11D-C5D3-44AC-B2CC-FD98B8888A0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27</Pages>
  <Words>7738</Words>
  <Characters>9068</Characters>
  <Lines>151</Lines>
  <Paragraphs>42</Paragraphs>
  <TotalTime>2</TotalTime>
  <ScaleCrop>false</ScaleCrop>
  <LinksUpToDate>false</LinksUpToDate>
  <CharactersWithSpaces>9220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2022-02-15T02:36:00Z</dcterms:created>
  <dc:creator>lenovo</dc:creator>
  <cp:lastModifiedBy>Administrator</cp:lastModifiedBy>
  <cp:lastPrinted>2022-07-27T09:25:00Z</cp:lastPrinted>
  <dcterms:modified xsi:type="dcterms:W3CDTF">2024-01-16T05:49:16Z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380CE9E23318405A916D9DE8FB250934_13</vt:lpwstr>
  </property>
</Properties>
</file>