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rPr>
          <w:rFonts w:ascii="黑体" w:eastAsia="黑体" w:cs="仿宋" w:hAnsi="黑体"/>
          <w:sz w:val="48"/>
          <w:szCs w:val="48"/>
        </w:rPr>
      </w:pPr>
    </w:p>
    <w:p>
      <w:pPr>
        <w:jc w:val="center"/>
        <w:rPr>
          <w:rFonts w:ascii="黑体" w:eastAsia="黑体" w:cs="仿宋" w:hAnsi="黑体"/>
          <w:sz w:val="48"/>
          <w:szCs w:val="48"/>
        </w:rPr>
      </w:pPr>
      <w:r>
        <w:rPr>
          <w:rFonts w:ascii="黑体" w:eastAsia="黑体" w:cs="仿宋" w:hAnsi="黑体" w:hint="eastAsia"/>
          <w:sz w:val="48"/>
          <w:szCs w:val="48"/>
        </w:rPr>
        <w:t>隆尧县行政审批局</w:t>
      </w:r>
    </w:p>
    <w:p>
      <w:pPr>
        <w:jc w:val="center"/>
        <w:rPr>
          <w:rFonts w:ascii="黑体" w:eastAsia="黑体" w:cs="仿宋" w:hAnsi="黑体"/>
          <w:sz w:val="52"/>
          <w:szCs w:val="52"/>
        </w:rPr>
      </w:pPr>
      <w:r>
        <w:rPr>
          <w:rFonts w:ascii="黑体" w:eastAsia="黑体" w:cs="仿宋" w:hAnsi="黑体" w:hint="eastAsia"/>
          <w:sz w:val="52"/>
          <w:szCs w:val="52"/>
        </w:rPr>
        <w:t>部门整体绩效评价报告</w:t>
      </w:r>
    </w:p>
    <w:p>
      <w:pPr>
        <w:rPr>
          <w:rFonts w:ascii="黑体" w:eastAsia="黑体" w:cs="仿宋" w:hAnsi="黑体"/>
          <w:sz w:val="32"/>
          <w:szCs w:val="32"/>
        </w:rPr>
      </w:pPr>
    </w:p>
    <w:p>
      <w:pPr>
        <w:rPr>
          <w:rFonts w:ascii="黑体" w:eastAsia="黑体" w:cs="仿宋" w:hAnsi="黑体"/>
          <w:sz w:val="32"/>
          <w:szCs w:val="32"/>
        </w:rPr>
      </w:pPr>
      <w:r>
        <w:rPr>
          <w:rFonts w:ascii="黑体" w:eastAsia="黑体" w:cs="仿宋" w:hAnsi="黑体" w:hint="eastAsia"/>
          <w:sz w:val="32"/>
          <w:szCs w:val="32"/>
        </w:rPr>
        <w:t>一、基本概况</w:t>
      </w:r>
    </w:p>
    <w:p>
      <w:pPr>
        <w:ind w:firstLineChars="200" w:firstLine="640"/>
        <w:rPr>
          <w:rFonts w:ascii="仿宋" w:eastAsia="仿宋" w:cs="仿宋" w:hAnsi="仿宋"/>
          <w:sz w:val="32"/>
          <w:szCs w:val="32"/>
        </w:rPr>
      </w:pPr>
      <w:r>
        <w:rPr>
          <w:rFonts w:ascii="仿宋" w:eastAsia="仿宋" w:cs="仿宋" w:hAnsi="仿宋" w:hint="eastAsia"/>
          <w:sz w:val="32"/>
          <w:szCs w:val="32"/>
        </w:rPr>
        <w:t>包括部门主要职责职能，组织架构、人员及资产情况、部门履职总体目标、年度整体绩效目标、工作任务，预算资金安排及资金支出情况。</w:t>
      </w:r>
    </w:p>
    <w:p>
      <w:pPr>
        <w:ind w:firstLineChars="200" w:firstLine="640"/>
        <w:rPr>
          <w:rFonts w:ascii="仿宋" w:eastAsia="仿宋" w:cs="仿宋" w:hAnsi="仿宋"/>
          <w:b/>
          <w:sz w:val="32"/>
          <w:szCs w:val="32"/>
        </w:rPr>
      </w:pPr>
      <w:r>
        <w:rPr>
          <w:rFonts w:ascii="仿宋" w:eastAsia="仿宋" w:cs="仿宋" w:hAnsi="仿宋" w:hint="eastAsia"/>
          <w:b/>
          <w:sz w:val="32"/>
          <w:szCs w:val="32"/>
        </w:rPr>
        <w:t>主要职责职能</w:t>
      </w:r>
    </w:p>
    <w:p>
      <w:pPr>
        <w:spacing w:line="360" w:lineRule="auto"/>
        <w:ind w:firstLineChars="200" w:firstLine="640"/>
        <w:rPr>
          <w:rFonts w:ascii="仿宋" w:eastAsia="仿宋" w:hAnsi="仿宋"/>
          <w:color w:val="000000"/>
          <w:sz w:val="32"/>
          <w:szCs w:val="32"/>
        </w:rPr>
      </w:pPr>
      <w:r>
        <w:rPr>
          <w:rFonts w:ascii="仿宋" w:eastAsia="仿宋" w:hAnsi="仿宋" w:hint="eastAsia"/>
          <w:color w:val="000000"/>
          <w:sz w:val="32"/>
          <w:szCs w:val="32"/>
        </w:rPr>
        <w:t>根据隆尧县行政审批局主要职责内设机构和人员编制规定，隆尧县行政审批局主要职责如下：</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一）贯彻执行党中央、国务院和省委、省政府及市委、市政府、县委、县政府“放管服”改革、行政审批、政务服务、公共资源交易、社会信用体系建设有关方针政策和法律法规，制定和完善有关规章制度和管理办法并组织实施。</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二）负责综合协调和监督管理县级各部门行政审批等事项和公共服务事项的集中统一办理；组织相关部门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三）协调指导全县公共资源交易市场工作。拟订全县公共资源交易市场管理制度和规则；编制全县公共资源交易目录；负责建设、管理全县统一的公共资源交易电子服务系统；负责推进全县公共资源交易领域信用体系建设；监督全县公共资源交易项目进场交易；负责全县公共资源交易项目场内交易活动的监督工作，受理对县公共资源交易中心的投诉举报，将违法违规问题移送有关部门处理；协调县公共资源交易的联动执法。</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四）组织协调全县“放管服”改革工作。指导、协调贯彻落实党中央、国务院和省委、省政府及市委、市政府、县委、县政府关于“放管服”改革的政策措施，承担县推进政府职能转变和“放管服”改革协调小组的日常工作。</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五）指导协调全县行政审批制度改革工作。建立健全县行政审批管理体系；推进简政放权，清理和规范各类行政许可等管理事项；协调推进行政审批标准化工作；承担县行政审批制度改革工作领导小组的日常工作；协调有关部门，建立完善审批服务联动工作机制。</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六）指导协调全县政务服务管理工作。负责优化政务服务供给，降低制度性交易成本，提升政务服务效能；负责推进审批服务便民化；指导协调县有关部门为公民、法人或其他组织提供规范、高效、优质的政务服务。</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七）统筹推进全县“互联网+政务服务”工作，构建全县一体化政务服务平台。推行政务服务网上办理，形成管理机构、实体大厅、网上平台“三位一体”的政务服务管理模式；推进全县电子证照库建设；推进全县政务服务平台规范化、标准化、集约化建设。负责行政审批、公共资源交易平台的建设和管理，会同有关部门推进行政审批、公共资源交易信息化建设。</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八）引导和推动全县社会信用体系建设。组织制定发展规划和年度工作要点；推动健全信用法规制度和标准体系；负责全县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九）建立健全全县政务服务、行政审批服务效能可量化的考核评价制度；对具有政务服务职能的部门进行综合考评，对进驻政务服务大厅事项的办理情况、办理效能，以及办事人员的服务质量等进行监督；负责对进驻政务服务大厅各部门窗口及其工作人员进行教育、培训和管理。</w:t>
      </w:r>
    </w:p>
    <w:p>
      <w:pPr>
        <w:adjustRightInd w:val="0"/>
        <w:snapToGrid w:val="0"/>
        <w:spacing w:line="560" w:lineRule="exact"/>
        <w:ind w:firstLineChars="200" w:firstLine="640"/>
        <w:rPr>
          <w:rFonts w:ascii="仿宋" w:eastAsia="仿宋" w:hAnsi="仿宋"/>
          <w:color w:val="000000"/>
          <w:sz w:val="32"/>
          <w:szCs w:val="32"/>
        </w:rPr>
      </w:pPr>
      <w:r>
        <w:rPr>
          <w:rFonts w:ascii="仿宋" w:eastAsia="仿宋" w:hAnsi="仿宋" w:hint="eastAsia"/>
          <w:color w:val="000000"/>
          <w:sz w:val="32"/>
          <w:szCs w:val="32"/>
        </w:rPr>
        <w:t>（十）完成县委、县政府交办的其他任务。</w:t>
      </w:r>
    </w:p>
    <w:p>
      <w:pPr>
        <w:pStyle w:val="16"/>
        <w:spacing w:line="360" w:lineRule="auto"/>
        <w:ind w:firstLineChars="200" w:firstLine="632"/>
        <w:rPr>
          <w:rFonts w:ascii="仿宋" w:eastAsia="仿宋" w:cs="仿宋" w:hAnsi="仿宋"/>
          <w:b/>
          <w:szCs w:val="32"/>
        </w:rPr>
      </w:pPr>
      <w:r>
        <w:rPr>
          <w:rFonts w:ascii="仿宋" w:eastAsia="仿宋" w:cs="仿宋" w:hAnsi="仿宋" w:hint="eastAsia"/>
          <w:b/>
          <w:szCs w:val="32"/>
        </w:rPr>
        <w:t>组织架构、人员及资产情况</w:t>
      </w:r>
    </w:p>
    <w:p>
      <w:pPr>
        <w:pStyle w:val="16"/>
        <w:spacing w:line="360" w:lineRule="auto"/>
        <w:ind w:firstLineChars="200" w:firstLine="632"/>
        <w:rPr>
          <w:rFonts w:ascii="仿宋" w:eastAsia="仿宋" w:cs="仿宋" w:hAnsi="仿宋"/>
          <w:b/>
          <w:szCs w:val="32"/>
        </w:rPr>
      </w:pPr>
      <w:r>
        <w:rPr>
          <w:rFonts w:ascii="仿宋" w:eastAsia="仿宋" w:cs="Times New Roman" w:hAnsi="仿宋" w:hint="eastAsia"/>
          <w:color w:val="000000"/>
          <w:szCs w:val="32"/>
        </w:rPr>
        <w:t>县行政审批局设下列内设机构：（一）综合办公室。负责综合协调、机要保密、文书档案、信息统计、会务宣传、应急管理、安全保卫、后勤保障、人事编制、劳动工资、党群、工青妇等工作。负责机关年度财务计划、财务报表、预算申请、支出管理和运行保障等。负责拟订政务服务、行政审批服务效能考核评价制度；负责对有政务服务职能的部门政务服务事项办理情况、办理效能进行监督，牵头组织综合考评；负责对办事人员的审批案卷和窗口人员的服务质量进行监督，并进行绩效考核；负责疏通社会和群众监督渠道，广泛接受社会监督和评议；受理对进驻部门及其进驻工作人员政务服务工作的投诉，会同、协调相关部门按规定处理；受理和处理对县行政审批局及其工作人员的投诉；负责对行政审批事项实施电子监察，督查并通报工作纪律，纠正违规行为。（二）政策法规股。承担规范性文件的合法性审核和法律法规政策征求意见的回复工作；对审批服务事项的设定依据、受理要件、办理流程进行合法性审核；承办有关行政复议和行政应诉工作；组织实施有关法律法规宣传教育；承办法治考核工作。负责全县行政审批制度改革工作；负责推进审批服务的规范化、标准化以及管理机构、实体大厅、网上平台“三位一体”的管理体系建设；负责编制、公开全县统一的行政许可事项和公共服务事项的事项目录、工作规程、办事指南等；负责行政许可事项和公共服务事项的动态调整；负责行政许可事项和公共服务事项的标准化管理工作；负责推进相对集中行政许可权改革；组织县级行政许可事项和公共服务事项入驻县政务服务大厅集中办理；负责推进全县审批和公共服务服务便民化；承担县行政审批制度改革工作领导小组办公室的日常工作。负责组织拟订全县“放管服”改革相关法规制度和政策性文件；负责沟通协调县政府推进政府职能转变和“放管服”改革协调小组工作；组织开展“放管服”改革重大问题调查研究；组织新闻媒体做好政策宣传解读和舆论引导工作；承担县推进政府职能转变和“放管服”改革协调小组办公室的日常工作。（三）综合受理股。落实国务院“放管服”改革“前台综合受理、后台分类审批”要求，履行行政审批局所有事项“前台综合受理”工作，承担“一窗受理”职能。（四）审批一室。负责投资建设项目和社会事务相关审批职责。（五）审批二室。负责城管、住建、交通和教科文卫领域相关审批职责。（六）审批三室。负责商事登记相关审批职责。（七）勘验评审股。负责行政审批环节中现场勘验、评估、评审等职责。（八）公共资源交易监督和社会信用体系建设股。负责协调指导全县公共资源交易市场工作；负责县公共资源交易中心内部管理制度和规则的审查、备案；编制全县公共资源交易目录；负责管理全县统一的公共资源交易电子服务系统；负责推进全县公共资源交易领域信用体系建设；指导全县并负责县本级公共资源交易项目进场交易；负责全县公共资源交易项目场内交易活动的监督工作，将违法违规问题移送有关部门处理；协调开展县公共资源交易活动的联动执法；指导、监督县公共资源交易中心工作；受理和处理对县公共资源交易中心及其工作人员的投诉。负责研究制定全县社会信用体系建设的制度、发展规划和年度工作要点；推动全县社会信用体系建设；推动全县社会信用体系建设规范化、标准化；负责全县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办公室的日常工作。负责统筹推进全县“互联网+政务服务”工作，建设全县一体化在线政务服务平合；贯彻执行全省一体化在线政务服务平台业务规范和技术标准；推进全县在线政务服务平台规范化、标准化、集约化建设，推动各级政务服务事项网上办理；牵头负责政务服务数据采集、汇聚和开放共享工作，建设全县政务平台事项库，编制公开政务数据资源目录并及时动态更新，推进政务服务同一事项、同一编码、同一网上技术规范；负责全县电子证照库建设和管理；指导政务服务平台和公共资源交易电子服务系统建设。负责机关行政审批、公共资源交易、社会信用体系网络系统的建设运维等；负责“自助服务大厅”试点及推广工作；实施行政审批服务办理“全不见面”牵头工作。</w:t>
      </w:r>
    </w:p>
    <w:p>
      <w:pPr>
        <w:pStyle w:val="16"/>
        <w:spacing w:line="360" w:lineRule="auto"/>
        <w:ind w:firstLineChars="200" w:firstLine="632"/>
        <w:rPr>
          <w:rFonts w:ascii="仿宋" w:eastAsia="仿宋" w:cs="Times New Roman" w:hAnsi="仿宋"/>
          <w:color w:val="000000"/>
          <w:szCs w:val="32"/>
        </w:rPr>
      </w:pPr>
      <w:r>
        <w:rPr>
          <w:rFonts w:ascii="仿宋" w:eastAsia="仿宋" w:cs="Times New Roman" w:hAnsi="仿宋" w:hint="eastAsia"/>
          <w:color w:val="000000"/>
          <w:szCs w:val="32"/>
        </w:rPr>
        <w:t>2020年末在职人员34人。年末固定资产净值244.75万元。</w:t>
      </w:r>
    </w:p>
    <w:p>
      <w:pPr>
        <w:adjustRightInd w:val="0"/>
        <w:spacing w:line="570" w:lineRule="exact"/>
        <w:ind w:firstLine="640"/>
        <w:rPr>
          <w:rFonts w:ascii="仿宋" w:eastAsia="仿宋" w:cs="仿宋" w:hAnsi="仿宋"/>
          <w:b/>
          <w:bCs/>
          <w:sz w:val="32"/>
          <w:szCs w:val="32"/>
        </w:rPr>
      </w:pPr>
      <w:r>
        <w:rPr>
          <w:rFonts w:ascii="仿宋" w:eastAsia="仿宋" w:cs="仿宋" w:hAnsi="仿宋" w:hint="eastAsia"/>
          <w:b/>
          <w:bCs/>
          <w:sz w:val="32"/>
          <w:szCs w:val="32"/>
        </w:rPr>
        <w:t>部门履职总体目标：</w:t>
      </w:r>
    </w:p>
    <w:p>
      <w:pPr>
        <w:adjustRightInd w:val="0"/>
        <w:snapToGrid w:val="0"/>
        <w:spacing w:line="560" w:lineRule="exact"/>
        <w:ind w:firstLineChars="200" w:firstLine="632"/>
        <w:rPr>
          <w:rFonts w:ascii="仿宋" w:eastAsia="仿宋" w:cs="Times New Roman" w:hAnsi="仿宋"/>
          <w:color w:val="000000"/>
          <w:spacing w:val="-2"/>
          <w:sz w:val="32"/>
          <w:szCs w:val="32"/>
        </w:rPr>
      </w:pPr>
      <w:r>
        <w:rPr>
          <w:rFonts w:ascii="仿宋" w:eastAsia="仿宋" w:cs="Times New Roman" w:hAnsi="仿宋" w:hint="eastAsia"/>
          <w:color w:val="000000"/>
          <w:spacing w:val="-2"/>
          <w:sz w:val="32"/>
          <w:szCs w:val="32"/>
        </w:rPr>
        <w:t>（一）贯彻执行党中央、国务院和省委、省政府及市委、市政府、县委、县政府“放管服”改革、行政审批、政务服务、公共资源交易、社会信用体系建设有关方针政策和法律法规，制定和完善有关规章制度和管理办法并组织实施。</w:t>
      </w:r>
    </w:p>
    <w:p>
      <w:pPr>
        <w:adjustRightInd w:val="0"/>
        <w:snapToGrid w:val="0"/>
        <w:spacing w:line="560" w:lineRule="exact"/>
        <w:ind w:firstLineChars="200" w:firstLine="632"/>
        <w:rPr>
          <w:rFonts w:ascii="仿宋" w:eastAsia="仿宋" w:cs="Times New Roman" w:hAnsi="仿宋"/>
          <w:color w:val="000000"/>
          <w:spacing w:val="-2"/>
          <w:sz w:val="32"/>
          <w:szCs w:val="32"/>
        </w:rPr>
      </w:pPr>
      <w:r>
        <w:rPr>
          <w:rFonts w:ascii="仿宋" w:eastAsia="仿宋" w:cs="Times New Roman" w:hAnsi="仿宋" w:hint="eastAsia"/>
          <w:color w:val="000000"/>
          <w:spacing w:val="-2"/>
          <w:sz w:val="32"/>
          <w:szCs w:val="32"/>
        </w:rPr>
        <w:t>（二）负责综合协调和监督管理县级各部门行政审批等事项和公共服务事项的集中统一办理；组织相关部门开展审批服务事项的联合办理和联审会办；研究推进并联审批服务工作。负责办理县政府确定集中行使的行政审批事项及相关事项，并承担相应的法律责任；负责统一组织行政审批涉及的现场勘查、技术论证和社会听证等工作；负责对行政审批事项及相关事项的流程进行规范、优化，推进行政审批、政务服务标准化建设；负责协调与项目建设相关企业及中介服务机构的入驻事宜。</w:t>
      </w:r>
    </w:p>
    <w:p>
      <w:pPr>
        <w:adjustRightInd w:val="0"/>
        <w:snapToGrid w:val="0"/>
        <w:spacing w:line="560" w:lineRule="exact"/>
        <w:ind w:firstLineChars="200" w:firstLine="632"/>
        <w:rPr>
          <w:rFonts w:ascii="仿宋" w:eastAsia="仿宋" w:cs="Times New Roman" w:hAnsi="仿宋"/>
          <w:color w:val="000000"/>
          <w:spacing w:val="-2"/>
          <w:sz w:val="32"/>
          <w:szCs w:val="32"/>
        </w:rPr>
      </w:pPr>
      <w:r>
        <w:rPr>
          <w:rFonts w:ascii="仿宋" w:eastAsia="仿宋" w:cs="Times New Roman" w:hAnsi="仿宋" w:hint="eastAsia"/>
          <w:color w:val="000000"/>
          <w:spacing w:val="-2"/>
          <w:sz w:val="32"/>
          <w:szCs w:val="32"/>
        </w:rPr>
        <w:t>（三）协调指导全县公共资源交易市场工作。拟订全县公共资源交易市场管理制度和规则；编制全县公共资源交易目录；负责建设、管理全县统一的公共资源交易电子服务系统；负责推进全县公共资源交易领域信用体系建设；监督全县公共资源交易项目进场交易；负责全县公共资源交易项目场内交易活动的监督工作，受理对县公共资源交易中心的投诉举报，将违法违规问题移送有关部门处理；协调县公共资源交易的联动执法。</w:t>
      </w:r>
    </w:p>
    <w:p>
      <w:pPr>
        <w:adjustRightInd w:val="0"/>
        <w:snapToGrid w:val="0"/>
        <w:spacing w:line="560" w:lineRule="exact"/>
        <w:ind w:firstLineChars="200" w:firstLine="632"/>
        <w:rPr>
          <w:rFonts w:ascii="仿宋" w:eastAsia="仿宋" w:cs="Times New Roman" w:hAnsi="仿宋"/>
          <w:color w:val="000000"/>
          <w:spacing w:val="-2"/>
          <w:sz w:val="32"/>
          <w:szCs w:val="32"/>
        </w:rPr>
      </w:pPr>
      <w:r>
        <w:rPr>
          <w:rFonts w:ascii="仿宋" w:eastAsia="仿宋" w:cs="Times New Roman" w:hAnsi="仿宋" w:hint="eastAsia"/>
          <w:color w:val="000000"/>
          <w:spacing w:val="-2"/>
          <w:sz w:val="32"/>
          <w:szCs w:val="32"/>
        </w:rPr>
        <w:t>（四）组织协调全县“放管服”改革工作。指导、协调贯彻落实党中央、国务院和省委、省政府及市委、市政府、县委、县政府关于“放管服”改革的政策措施，承担县推进政府职能转变和“放管服”改革协调小组的日常工作。</w:t>
      </w:r>
    </w:p>
    <w:p>
      <w:pPr>
        <w:adjustRightInd w:val="0"/>
        <w:snapToGrid w:val="0"/>
        <w:spacing w:line="560" w:lineRule="exact"/>
        <w:ind w:firstLineChars="200" w:firstLine="632"/>
        <w:rPr>
          <w:rFonts w:ascii="仿宋" w:eastAsia="仿宋" w:cs="Times New Roman" w:hAnsi="仿宋"/>
          <w:color w:val="000000"/>
          <w:spacing w:val="-2"/>
          <w:sz w:val="32"/>
          <w:szCs w:val="32"/>
        </w:rPr>
      </w:pPr>
      <w:r>
        <w:rPr>
          <w:rFonts w:ascii="仿宋" w:eastAsia="仿宋" w:cs="Times New Roman" w:hAnsi="仿宋" w:hint="eastAsia"/>
          <w:color w:val="000000"/>
          <w:spacing w:val="-2"/>
          <w:sz w:val="32"/>
          <w:szCs w:val="32"/>
        </w:rPr>
        <w:t>（五）指导协调全县行政审批制度改革工作。建立健全县行政审批管理体系；推进简政放权，清理和规范各类行政许可等管理事项；协调推进行政审批标准化工作；承担县行政审批制度改革工作领导小组的日常工作；协调有关部门，建立完善审批服务联动工作机制。</w:t>
      </w:r>
    </w:p>
    <w:p>
      <w:pPr>
        <w:adjustRightInd w:val="0"/>
        <w:snapToGrid w:val="0"/>
        <w:spacing w:line="560" w:lineRule="exact"/>
        <w:ind w:firstLineChars="200" w:firstLine="632"/>
        <w:rPr>
          <w:rFonts w:ascii="仿宋" w:eastAsia="仿宋" w:cs="Times New Roman" w:hAnsi="仿宋"/>
          <w:color w:val="000000"/>
          <w:spacing w:val="-2"/>
          <w:sz w:val="32"/>
          <w:szCs w:val="32"/>
        </w:rPr>
      </w:pPr>
      <w:r>
        <w:rPr>
          <w:rFonts w:ascii="仿宋" w:eastAsia="仿宋" w:cs="Times New Roman" w:hAnsi="仿宋" w:hint="eastAsia"/>
          <w:color w:val="000000"/>
          <w:spacing w:val="-2"/>
          <w:sz w:val="32"/>
          <w:szCs w:val="32"/>
        </w:rPr>
        <w:t>（六）指导协调全县政务服务管理工作。负责优化政务服务供给，降低制度性交易成本，提升政务服务效能；负责推进审批服务便民化；指导协调县有关部门为公民、法人或其他组织提供规范、高效、优质的政务服务。</w:t>
      </w:r>
    </w:p>
    <w:p>
      <w:pPr>
        <w:adjustRightInd w:val="0"/>
        <w:snapToGrid w:val="0"/>
        <w:spacing w:line="560" w:lineRule="exact"/>
        <w:ind w:firstLineChars="200" w:firstLine="632"/>
        <w:rPr>
          <w:rFonts w:ascii="仿宋" w:eastAsia="仿宋" w:cs="Times New Roman" w:hAnsi="仿宋"/>
          <w:color w:val="000000"/>
          <w:spacing w:val="-2"/>
          <w:sz w:val="32"/>
          <w:szCs w:val="32"/>
        </w:rPr>
      </w:pPr>
      <w:r>
        <w:rPr>
          <w:rFonts w:ascii="仿宋" w:eastAsia="仿宋" w:cs="Times New Roman" w:hAnsi="仿宋" w:hint="eastAsia"/>
          <w:color w:val="000000"/>
          <w:spacing w:val="-2"/>
          <w:sz w:val="32"/>
          <w:szCs w:val="32"/>
        </w:rPr>
        <w:t>（七）统筹推进全县“互联网+政务服务”工作，构建全县一体化政务服务平台。推行政务服务网上办理，形成管理机构、实体大厅、网上平台“三位一体”的政务服务管理模式；推进全县电子证照库建设；推进全县政务服务平台规范化、标准化、集约化建设。负责行政审批、公共资源交易平台的建设和管理，会同有关部门推进行政审批、公共资源交易信息化建设。</w:t>
      </w:r>
    </w:p>
    <w:p>
      <w:pPr>
        <w:adjustRightInd w:val="0"/>
        <w:snapToGrid w:val="0"/>
        <w:spacing w:line="560" w:lineRule="exact"/>
        <w:ind w:firstLineChars="200" w:firstLine="632"/>
        <w:rPr>
          <w:rFonts w:ascii="仿宋" w:eastAsia="仿宋" w:cs="Times New Roman" w:hAnsi="仿宋"/>
          <w:color w:val="000000"/>
          <w:spacing w:val="-2"/>
          <w:sz w:val="32"/>
          <w:szCs w:val="32"/>
        </w:rPr>
      </w:pPr>
      <w:r>
        <w:rPr>
          <w:rFonts w:ascii="仿宋" w:eastAsia="仿宋" w:cs="Times New Roman" w:hAnsi="仿宋" w:hint="eastAsia"/>
          <w:color w:val="000000"/>
          <w:spacing w:val="-2"/>
          <w:sz w:val="32"/>
          <w:szCs w:val="32"/>
        </w:rPr>
        <w:t>（八）引导和推动全县社会信用体系建设。组织制定发展规划和年度工作要点；推动健全信用法规制度和标准体系；负责全县信用信息数据库、共享平台和网站建设，推动信用信息的汇聚、交换、共享和应用；负责守信联合激励和失信联合惩戒制度建设和工作实施，建立诚信综合监督体系；组织开展失信问题专项治理；加强城市信用建设，培育和发展信用服务市场；承担县社会信用体系建设领导小组的日常工作。</w:t>
      </w:r>
    </w:p>
    <w:p>
      <w:pPr>
        <w:adjustRightInd w:val="0"/>
        <w:snapToGrid w:val="0"/>
        <w:spacing w:line="560" w:lineRule="exact"/>
        <w:ind w:firstLineChars="200" w:firstLine="632"/>
        <w:rPr>
          <w:rFonts w:ascii="仿宋" w:eastAsia="仿宋" w:cs="Times New Roman" w:hAnsi="仿宋"/>
          <w:color w:val="000000"/>
          <w:spacing w:val="-2"/>
          <w:sz w:val="32"/>
          <w:szCs w:val="32"/>
        </w:rPr>
      </w:pPr>
      <w:r>
        <w:rPr>
          <w:rFonts w:ascii="仿宋" w:eastAsia="仿宋" w:cs="Times New Roman" w:hAnsi="仿宋" w:hint="eastAsia"/>
          <w:color w:val="000000"/>
          <w:spacing w:val="-2"/>
          <w:sz w:val="32"/>
          <w:szCs w:val="32"/>
        </w:rPr>
        <w:t>（九）建立健全全县政务服务、行政审批服务效能可量化的考核评价制度；对具有政务服务职能的部门进行综合考评，对进驻政务服务大厅事项的办理情况、办理效能，以及办事人员的服务质量等进行监督；负责对进驻政务服务大厅各部门窗口及其工作人员进行教育、培训和管理。</w:t>
      </w:r>
    </w:p>
    <w:p>
      <w:pPr>
        <w:ind w:firstLineChars="200" w:firstLine="640"/>
        <w:rPr>
          <w:rFonts w:ascii="Times New Roman" w:eastAsia="仿宋" w:cs="Times New Roman" w:hAnsi="Times New Roman"/>
          <w:b/>
          <w:bCs/>
          <w:sz w:val="32"/>
          <w:szCs w:val="32"/>
        </w:rPr>
      </w:pPr>
      <w:r>
        <w:rPr>
          <w:rFonts w:ascii="仿宋" w:eastAsia="仿宋" w:cs="仿宋" w:hAnsi="仿宋" w:hint="eastAsia"/>
          <w:b/>
          <w:bCs/>
          <w:sz w:val="32"/>
          <w:szCs w:val="32"/>
        </w:rPr>
        <w:t>年度整体绩效目标</w:t>
      </w:r>
      <w:r>
        <w:rPr>
          <w:rFonts w:ascii="Times New Roman" w:eastAsia="仿宋" w:cs="Times New Roman" w:hAnsi="Times New Roman" w:hint="eastAsia"/>
          <w:b/>
          <w:bCs/>
          <w:sz w:val="32"/>
          <w:szCs w:val="32"/>
        </w:rPr>
        <w:t>：</w:t>
      </w:r>
    </w:p>
    <w:p>
      <w:pPr>
        <w:autoSpaceDE w:val="0"/>
        <w:autoSpaceDN w:val="0"/>
        <w:adjustRightInd w:val="0"/>
        <w:ind w:left="198" w:firstLineChars="200" w:firstLine="632"/>
        <w:jc w:val="left"/>
        <w:rPr>
          <w:rFonts w:ascii="Times New Roman" w:eastAsia="仿宋" w:cs="Times New Roman" w:hAnsi="Times New Roman"/>
          <w:b/>
          <w:bCs/>
          <w:sz w:val="32"/>
          <w:szCs w:val="32"/>
        </w:rPr>
      </w:pPr>
      <w:r>
        <w:rPr>
          <w:rFonts w:ascii="仿宋" w:eastAsia="仿宋" w:cs="Times New Roman" w:hAnsi="仿宋" w:hint="eastAsia"/>
          <w:color w:val="000000"/>
          <w:spacing w:val="-2"/>
          <w:sz w:val="32"/>
          <w:szCs w:val="32"/>
        </w:rPr>
        <w:t>（一）创新服务模式。一是进一步加大并联审批力度，精减审批环节，减少申报材料。二是推动实体政务大厅向网上办事大厅延伸，实行网上受理、网上办理、网上反馈，让“数据多跑路，群众少跑腿”。三是完善预约服务机制，通过电话预约、网上预约、现场预约等方式开展服务。四是在园区设立行政审批分局机构，以更好的服务两个园区建设。</w:t>
      </w:r>
    </w:p>
    <w:p>
      <w:pPr>
        <w:autoSpaceDE w:val="0"/>
        <w:autoSpaceDN w:val="0"/>
        <w:adjustRightInd w:val="0"/>
        <w:ind w:left="198" w:firstLineChars="200" w:firstLine="632"/>
        <w:jc w:val="left"/>
        <w:rPr>
          <w:rFonts w:ascii="Times New Roman" w:eastAsia="仿宋" w:cs="Times New Roman" w:hAnsi="Times New Roman"/>
          <w:b/>
          <w:bCs/>
          <w:sz w:val="32"/>
          <w:szCs w:val="32"/>
        </w:rPr>
      </w:pPr>
      <w:r>
        <w:rPr>
          <w:rFonts w:ascii="仿宋" w:eastAsia="仿宋" w:cs="Times New Roman" w:hAnsi="仿宋" w:hint="eastAsia"/>
          <w:color w:val="000000"/>
          <w:spacing w:val="-2"/>
          <w:sz w:val="32"/>
          <w:szCs w:val="32"/>
        </w:rPr>
        <w:t>（二）加强信息共享。借助政务服务平台互联互通建设，探索把不涉密数据向公共服务平台转移的路径，推进与各部门网上审批系统的信息资源共享，加强数据的内部流转，实现与市中心纵向联通，与县内部门间横向联通。</w:t>
      </w:r>
    </w:p>
    <w:p>
      <w:pPr>
        <w:autoSpaceDE w:val="0"/>
        <w:autoSpaceDN w:val="0"/>
        <w:adjustRightInd w:val="0"/>
        <w:ind w:left="198" w:firstLineChars="200" w:firstLine="632"/>
        <w:jc w:val="left"/>
        <w:rPr>
          <w:rFonts w:ascii="仿宋" w:eastAsia="仿宋" w:cs="Times New Roman" w:hAnsi="仿宋"/>
          <w:color w:val="000000"/>
          <w:spacing w:val="-2"/>
          <w:sz w:val="32"/>
          <w:szCs w:val="32"/>
        </w:rPr>
      </w:pPr>
      <w:r>
        <w:rPr>
          <w:rFonts w:ascii="仿宋" w:eastAsia="仿宋" w:cs="Times New Roman" w:hAnsi="仿宋" w:hint="eastAsia"/>
          <w:color w:val="000000"/>
          <w:spacing w:val="-2"/>
          <w:sz w:val="32"/>
          <w:szCs w:val="32"/>
        </w:rPr>
        <w:t>（三）规范中介服务。监督指导涉及行政审批的中介机构严格遵守服务事项目录中明确的收费依据、收费标准、服务时限、服务承诺等规定，按照“实体入驻＋网络平台”的模式，探索建立涉及行政审批及公共资源交易的“中介机构超市”，不断规范中介机构行为，提高审批中介服务水平。</w:t>
      </w:r>
    </w:p>
    <w:p>
      <w:pPr>
        <w:ind w:firstLineChars="200" w:firstLine="640"/>
        <w:rPr>
          <w:rFonts w:ascii="黑体" w:eastAsia="黑体" w:cs="Times New Roman" w:hAnsi="黑体"/>
          <w:sz w:val="32"/>
          <w:szCs w:val="32"/>
        </w:rPr>
      </w:pPr>
      <w:r>
        <w:rPr>
          <w:rFonts w:ascii="仿宋" w:eastAsia="仿宋" w:cs="仿宋" w:hAnsi="仿宋" w:hint="eastAsia"/>
          <w:b/>
          <w:bCs/>
          <w:sz w:val="32"/>
          <w:szCs w:val="32"/>
        </w:rPr>
        <w:t>部门预算安排的总体情况</w:t>
      </w:r>
    </w:p>
    <w:p>
      <w:pPr>
        <w:ind w:firstLine="640"/>
        <w:rPr>
          <w:rFonts w:ascii="Times New Roman" w:eastAsia="仿宋" w:cs="Times New Roman" w:hAnsi="Times New Roman"/>
          <w:color w:val="000000"/>
          <w:sz w:val="32"/>
          <w:szCs w:val="32"/>
        </w:rPr>
      </w:pPr>
      <w:r>
        <w:rPr>
          <w:rFonts w:ascii="Times New Roman" w:eastAsia="仿宋" w:cs="Times New Roman" w:hAnsi="Times New Roman"/>
          <w:color w:val="000000"/>
          <w:sz w:val="32"/>
          <w:szCs w:val="32"/>
        </w:rPr>
        <w:t>按照预算管理有关规定，目前我省部门预算的编制实行综合预算</w:t>
      </w:r>
      <w:r>
        <w:rPr>
          <w:rFonts w:ascii="Times New Roman" w:eastAsia="仿宋" w:cs="Times New Roman" w:hAnsi="Times New Roman" w:hint="eastAsia"/>
          <w:color w:val="000000"/>
          <w:sz w:val="32"/>
          <w:szCs w:val="32"/>
        </w:rPr>
        <w:t>管理</w:t>
      </w:r>
      <w:r>
        <w:rPr>
          <w:rFonts w:ascii="Times New Roman" w:eastAsia="仿宋" w:cs="Times New Roman" w:hAnsi="Times New Roman"/>
          <w:color w:val="000000"/>
          <w:sz w:val="32"/>
          <w:szCs w:val="32"/>
        </w:rPr>
        <w:t>，即全部收入和支出都反映的预算中。</w:t>
      </w:r>
      <w:r>
        <w:rPr>
          <w:rFonts w:ascii="Times New Roman" w:eastAsia="仿宋" w:cs="Times New Roman" w:hAnsi="Times New Roman" w:hint="eastAsia"/>
          <w:color w:val="000000"/>
          <w:sz w:val="32"/>
          <w:szCs w:val="32"/>
        </w:rPr>
        <w:t>隆尧县行政审批局</w:t>
      </w:r>
      <w:r>
        <w:rPr>
          <w:rFonts w:ascii="Times New Roman" w:eastAsia="仿宋" w:cs="Times New Roman" w:hAnsi="Times New Roman"/>
          <w:color w:val="000000"/>
          <w:sz w:val="32"/>
          <w:szCs w:val="32"/>
        </w:rPr>
        <w:t>及所属事业单位的收支包含在部门预算中。</w:t>
      </w:r>
    </w:p>
    <w:p>
      <w:pPr>
        <w:ind w:firstLine="640"/>
        <w:rPr>
          <w:rFonts w:ascii="Times New Roman" w:eastAsia="仿宋" w:cs="Times New Roman" w:hAnsi="Times New Roman"/>
          <w:color w:val="000000"/>
          <w:sz w:val="32"/>
          <w:szCs w:val="32"/>
        </w:rPr>
      </w:pPr>
      <w:r>
        <w:rPr>
          <w:rFonts w:ascii="Times New Roman" w:eastAsia="仿宋" w:cs="Times New Roman" w:hAnsi="Times New Roman" w:hint="eastAsia"/>
          <w:color w:val="000000"/>
          <w:sz w:val="32"/>
          <w:szCs w:val="32"/>
        </w:rPr>
        <w:t>1、</w:t>
      </w:r>
      <w:r>
        <w:rPr>
          <w:rFonts w:ascii="Times New Roman" w:eastAsia="仿宋" w:cs="Times New Roman" w:hAnsi="Times New Roman"/>
          <w:color w:val="000000"/>
          <w:sz w:val="32"/>
          <w:szCs w:val="32"/>
        </w:rPr>
        <w:t>收入说明</w:t>
      </w:r>
    </w:p>
    <w:p>
      <w:pPr>
        <w:rPr>
          <w:rFonts w:ascii="Times New Roman" w:eastAsia="仿宋" w:cs="Times New Roman" w:hAnsi="Times New Roman"/>
          <w:color w:val="000000"/>
          <w:sz w:val="32"/>
          <w:szCs w:val="32"/>
        </w:rPr>
      </w:pPr>
      <w:r>
        <w:rPr>
          <w:rFonts w:ascii="Times New Roman" w:eastAsia="仿宋" w:cs="Times New Roman" w:hAnsi="Times New Roman" w:hint="eastAsia"/>
          <w:color w:val="000000"/>
          <w:sz w:val="32"/>
          <w:szCs w:val="32"/>
        </w:rPr>
        <w:t>反映本部门当年全部收入。2020年预算收入</w:t>
      </w:r>
      <w:r>
        <w:rPr>
          <w:rFonts w:ascii="仿宋_GB2312" w:eastAsia="仿宋_GB2312" w:cs="仿宋_GB2312" w:hint="eastAsia"/>
          <w:sz w:val="24"/>
        </w:rPr>
        <w:t>388.82</w:t>
      </w:r>
      <w:r>
        <w:rPr>
          <w:rFonts w:ascii="Times New Roman" w:eastAsia="仿宋" w:cs="Times New Roman" w:hAnsi="Times New Roman" w:hint="eastAsia"/>
          <w:color w:val="000000"/>
          <w:sz w:val="32"/>
          <w:szCs w:val="32"/>
        </w:rPr>
        <w:t>万元，其中：一般公共预算收入388.82万元，基金预算收入0万元，财政专户核拨收入0万元，其他来源收入0万元。</w:t>
      </w:r>
    </w:p>
    <w:p>
      <w:pPr>
        <w:ind w:firstLine="640"/>
        <w:rPr>
          <w:rFonts w:ascii="Times New Roman" w:eastAsia="仿宋" w:cs="Times New Roman" w:hAnsi="Times New Roman"/>
          <w:color w:val="000000"/>
          <w:sz w:val="32"/>
          <w:szCs w:val="32"/>
        </w:rPr>
      </w:pPr>
      <w:r>
        <w:rPr>
          <w:rFonts w:ascii="Times New Roman" w:eastAsia="仿宋" w:cs="Times New Roman" w:hAnsi="Times New Roman" w:hint="eastAsia"/>
          <w:color w:val="000000"/>
          <w:sz w:val="32"/>
          <w:szCs w:val="32"/>
        </w:rPr>
        <w:t>2、</w:t>
      </w:r>
      <w:r>
        <w:rPr>
          <w:rFonts w:ascii="Times New Roman" w:eastAsia="仿宋" w:cs="Times New Roman" w:hAnsi="Times New Roman"/>
          <w:color w:val="000000"/>
          <w:sz w:val="32"/>
          <w:szCs w:val="32"/>
        </w:rPr>
        <w:t>支出说明</w:t>
      </w:r>
    </w:p>
    <w:p>
      <w:pPr>
        <w:ind w:firstLine="640"/>
        <w:rPr>
          <w:rFonts w:ascii="Times New Roman" w:eastAsia="仿宋" w:cs="Times New Roman" w:hAnsi="Times New Roman"/>
          <w:color w:val="000000"/>
          <w:sz w:val="32"/>
          <w:szCs w:val="32"/>
        </w:rPr>
      </w:pPr>
      <w:r>
        <w:rPr>
          <w:rFonts w:ascii="Times New Roman" w:eastAsia="仿宋" w:cs="Times New Roman" w:hAnsi="Times New Roman" w:hint="eastAsia"/>
          <w:color w:val="000000"/>
          <w:sz w:val="32"/>
          <w:szCs w:val="32"/>
        </w:rPr>
        <w:t>收支预算总表支出栏、基本支出表、项目支出表按经济分类和支出功能分类科目编制，反映隆尧县行政审批局年度部门预算中支出预算的总体情况。2020年部门支出预算为</w:t>
      </w:r>
      <w:r>
        <w:rPr>
          <w:rFonts w:ascii="Times New Roman" w:eastAsia="仿宋" w:cs="Times New Roman" w:hAnsi="Times New Roman"/>
          <w:color w:val="000000"/>
          <w:sz w:val="32"/>
          <w:szCs w:val="32"/>
        </w:rPr>
        <w:t>38</w:t>
      </w:r>
      <w:r>
        <w:rPr>
          <w:rFonts w:ascii="Times New Roman" w:eastAsia="仿宋" w:cs="Times New Roman" w:hAnsi="Times New Roman" w:hint="eastAsia"/>
          <w:color w:val="000000"/>
          <w:sz w:val="32"/>
          <w:szCs w:val="32"/>
        </w:rPr>
        <w:t>8.82万元，其中基本支出243.71万元，包括人员经费225.26万元和日常公用经费18.45万元；项目支出</w:t>
      </w:r>
      <w:r>
        <w:rPr>
          <w:rFonts w:ascii="Times New Roman" w:eastAsia="仿宋" w:cs="Times New Roman" w:hAnsi="Times New Roman"/>
          <w:color w:val="000000"/>
          <w:sz w:val="32"/>
          <w:szCs w:val="32"/>
        </w:rPr>
        <w:t>1</w:t>
      </w:r>
      <w:r>
        <w:rPr>
          <w:rFonts w:ascii="Times New Roman" w:eastAsia="仿宋" w:cs="Times New Roman" w:hAnsi="Times New Roman" w:hint="eastAsia"/>
          <w:color w:val="000000"/>
          <w:sz w:val="32"/>
          <w:szCs w:val="32"/>
        </w:rPr>
        <w:t>45.11万元，主要为政务公开审批支出</w:t>
      </w:r>
      <w:r>
        <w:rPr>
          <w:rFonts w:ascii="Times New Roman" w:eastAsia="仿宋" w:cs="Times New Roman" w:hAnsi="Times New Roman"/>
          <w:color w:val="000000"/>
          <w:sz w:val="32"/>
          <w:szCs w:val="32"/>
        </w:rPr>
        <w:t>1</w:t>
      </w:r>
      <w:r>
        <w:rPr>
          <w:rFonts w:ascii="Times New Roman" w:eastAsia="仿宋" w:cs="Times New Roman" w:hAnsi="Times New Roman" w:hint="eastAsia"/>
          <w:color w:val="000000"/>
          <w:sz w:val="32"/>
          <w:szCs w:val="32"/>
        </w:rPr>
        <w:t>45.11元。</w:t>
      </w:r>
    </w:p>
    <w:p>
      <w:pPr>
        <w:ind w:firstLine="640"/>
        <w:rPr>
          <w:rFonts w:ascii="Times New Roman" w:eastAsia="仿宋" w:cs="Times New Roman" w:hAnsi="Times New Roman"/>
          <w:color w:val="000000"/>
          <w:sz w:val="32"/>
          <w:szCs w:val="32"/>
        </w:rPr>
      </w:pPr>
      <w:r>
        <w:rPr>
          <w:rFonts w:ascii="Times New Roman" w:eastAsia="仿宋" w:cs="Times New Roman" w:hAnsi="Times New Roman" w:hint="eastAsia"/>
          <w:color w:val="000000"/>
          <w:sz w:val="32"/>
          <w:szCs w:val="32"/>
        </w:rPr>
        <w:t>3、</w:t>
      </w:r>
      <w:r>
        <w:rPr>
          <w:rFonts w:ascii="Times New Roman" w:eastAsia="仿宋" w:cs="Times New Roman" w:hAnsi="Times New Roman"/>
          <w:color w:val="000000"/>
          <w:sz w:val="32"/>
          <w:szCs w:val="32"/>
        </w:rPr>
        <w:t>比上年增减情况</w:t>
      </w:r>
    </w:p>
    <w:p>
      <w:pPr>
        <w:ind w:firstLine="640"/>
        <w:rPr>
          <w:rFonts w:ascii="Times New Roman" w:eastAsia="仿宋" w:cs="Times New Roman" w:hAnsi="Times New Roman"/>
          <w:color w:val="000000"/>
          <w:sz w:val="32"/>
          <w:szCs w:val="32"/>
        </w:rPr>
      </w:pPr>
      <w:r>
        <w:rPr>
          <w:rFonts w:ascii="Times New Roman" w:eastAsia="仿宋" w:cs="Times New Roman" w:hAnsi="Times New Roman" w:hint="eastAsia"/>
          <w:color w:val="000000"/>
          <w:sz w:val="32"/>
          <w:szCs w:val="32"/>
        </w:rPr>
        <w:t>2020年部门预算收支安排388.82万元，较2019年减少0.43万元，其中：基本支出增加54.35万元，主要是增加人员经费；项目支出减少54.79万元，项目经费减少。</w:t>
      </w:r>
    </w:p>
    <w:p>
      <w:pPr>
        <w:rPr>
          <w:rFonts w:ascii="Times New Roman" w:eastAsia="仿宋" w:cs="Times New Roman" w:hAnsi="Times New Roman"/>
          <w:color w:val="000000"/>
          <w:sz w:val="32"/>
          <w:szCs w:val="32"/>
        </w:rPr>
      </w:pPr>
      <w:r>
        <w:rPr>
          <w:rFonts w:ascii="黑体" w:eastAsia="黑体" w:hAnsi="黑体" w:hint="eastAsia"/>
          <w:sz w:val="32"/>
        </w:rPr>
        <w:t>二、</w:t>
      </w:r>
      <w:r>
        <w:rPr>
          <w:rFonts w:ascii="黑体" w:eastAsia="黑体" w:cs="仿宋" w:hAnsi="黑体" w:hint="eastAsia"/>
          <w:sz w:val="32"/>
          <w:szCs w:val="32"/>
        </w:rPr>
        <w:t>预算绩效管理开展及整体绩效实现情况</w:t>
      </w:r>
    </w:p>
    <w:p>
      <w:pPr>
        <w:ind w:firstLineChars="200" w:firstLine="640"/>
        <w:rPr>
          <w:rFonts w:ascii="仿宋" w:eastAsia="仿宋" w:cs="黑体" w:hAnsi="仿宋"/>
          <w:bCs/>
          <w:sz w:val="32"/>
          <w:szCs w:val="32"/>
        </w:rPr>
      </w:pPr>
      <w:r>
        <w:rPr>
          <w:rFonts w:ascii="仿宋" w:eastAsia="仿宋" w:hAnsi="仿宋" w:hint="eastAsia"/>
          <w:b/>
          <w:sz w:val="32"/>
          <w:szCs w:val="32"/>
        </w:rPr>
        <w:t>（一）、绩效自评工作开展情况</w:t>
      </w:r>
    </w:p>
    <w:p>
      <w:pPr>
        <w:widowControl/>
        <w:spacing w:line="360" w:lineRule="auto"/>
        <w:ind w:firstLine="555"/>
        <w:jc w:val="left"/>
        <w:rPr>
          <w:rFonts w:ascii="仿宋" w:eastAsia="仿宋" w:hAnsi="仿宋"/>
          <w:sz w:val="32"/>
          <w:szCs w:val="32"/>
        </w:rPr>
      </w:pPr>
      <w:r>
        <w:rPr>
          <w:rFonts w:ascii="仿宋" w:eastAsia="仿宋" w:hAnsi="仿宋" w:hint="eastAsia"/>
          <w:sz w:val="32"/>
          <w:szCs w:val="32"/>
        </w:rPr>
        <w:t>1、项目评价目的：总结、评价当年各项费用是否按时、足额支付；是否落实国家各项审批政策；是否保障了审批规范化、大厅建设人性化；能否合理使用审批经费，优化政务服务环境；评价社会公众对审批活动、政府采购活动、公共资源交易活动的满意度。总结工作成效和问题，为以后审批项目实施提供经验。</w:t>
      </w:r>
    </w:p>
    <w:p>
      <w:pPr>
        <w:spacing w:line="360" w:lineRule="auto"/>
        <w:ind w:firstLineChars="200" w:firstLine="640"/>
        <w:rPr>
          <w:rFonts w:ascii="仿宋" w:eastAsia="仿宋" w:hAnsi="仿宋"/>
          <w:sz w:val="32"/>
          <w:szCs w:val="32"/>
        </w:rPr>
      </w:pPr>
      <w:r>
        <w:rPr>
          <w:rFonts w:ascii="仿宋" w:eastAsia="仿宋" w:hAnsi="仿宋" w:hint="eastAsia"/>
          <w:sz w:val="32"/>
          <w:szCs w:val="32"/>
        </w:rPr>
        <w:t>2、绩效评价标准和评价方法：按照财政支出项目绩效评价的得分评价方法和等级换算方法，客观实际的评价项目绩效的</w:t>
      </w:r>
      <w:bookmarkStart w:id="0" w:name="_GoBack"/>
      <w:bookmarkEnd w:id="0"/>
      <w:r>
        <w:rPr>
          <w:rFonts w:ascii="仿宋" w:eastAsia="仿宋" w:hAnsi="仿宋" w:hint="eastAsia"/>
          <w:sz w:val="32"/>
          <w:szCs w:val="32"/>
        </w:rPr>
        <w:t>各项得分和优差等级。</w:t>
      </w:r>
    </w:p>
    <w:p>
      <w:pPr>
        <w:ind w:firstLineChars="200" w:firstLine="640"/>
        <w:rPr>
          <w:rFonts w:ascii="仿宋" w:eastAsia="仿宋" w:hAnsi="仿宋"/>
          <w:b/>
          <w:sz w:val="32"/>
          <w:szCs w:val="32"/>
        </w:rPr>
      </w:pPr>
      <w:r>
        <w:rPr>
          <w:rFonts w:ascii="仿宋" w:eastAsia="仿宋" w:hAnsi="仿宋" w:hint="eastAsia"/>
          <w:sz w:val="32"/>
          <w:szCs w:val="32"/>
        </w:rPr>
        <w:t>3、绩效评价实施过程：成立项目绩效评价组，由单位的评价工作负责人、项目负责人以及财务人员、其他相关人员组成评价组，认真回顾、总结和分析项目实施及相关工作开展情况，对照项目绩效目标和指标内容进行分析，作出项目绩效报告的基本内容；对照项目管理绩效指标和项目效果绩效指标各项内容，客观实际的分析达到的情况和实现程度，作出相应的评价。</w:t>
      </w:r>
    </w:p>
    <w:p>
      <w:pPr>
        <w:ind w:firstLineChars="200" w:firstLine="640"/>
        <w:rPr>
          <w:rFonts w:ascii="仿宋" w:eastAsia="仿宋" w:hAnsi="仿宋"/>
          <w:b/>
          <w:sz w:val="32"/>
          <w:szCs w:val="32"/>
        </w:rPr>
      </w:pPr>
      <w:r>
        <w:rPr>
          <w:rFonts w:ascii="仿宋" w:eastAsia="仿宋" w:hAnsi="仿宋" w:hint="eastAsia"/>
          <w:b/>
          <w:sz w:val="32"/>
          <w:szCs w:val="32"/>
        </w:rPr>
        <w:t>（二）、综合评价结论</w:t>
      </w:r>
    </w:p>
    <w:p>
      <w:pPr>
        <w:ind w:firstLineChars="200" w:firstLine="640"/>
        <w:rPr>
          <w:rFonts w:ascii="仿宋" w:eastAsia="仿宋" w:hAnsi="仿宋"/>
          <w:sz w:val="32"/>
          <w:szCs w:val="32"/>
        </w:rPr>
      </w:pPr>
      <w:r>
        <w:rPr>
          <w:rFonts w:ascii="仿宋" w:eastAsia="仿宋" w:hAnsi="仿宋" w:hint="eastAsia"/>
          <w:sz w:val="32"/>
          <w:szCs w:val="32"/>
        </w:rPr>
        <w:t>部门整体支出项目具有明确的目标，项目实施过程中严格按照省财政厅有关项目管理和经费管理规定执行，资金到位及时，使用得当。明确项目的绩效目标、绩效指标、评价标准、年度工作计划等事项，制定了相应的管理制度，积极组织推动项目实施，顺利完成项目，实现了预期目标。取得了较好的社会效益和经济效益。</w:t>
      </w:r>
    </w:p>
    <w:p>
      <w:pPr>
        <w:tabs>
          <w:tab w:val="left" w:pos="733"/>
        </w:tabs>
        <w:ind w:firstLineChars="200" w:firstLine="640"/>
        <w:rPr>
          <w:rFonts w:ascii="仿宋" w:eastAsia="仿宋" w:hAnsi="仿宋"/>
          <w:b/>
          <w:bCs/>
          <w:sz w:val="32"/>
          <w:szCs w:val="32"/>
        </w:rPr>
      </w:pPr>
      <w:r>
        <w:rPr>
          <w:rFonts w:ascii="仿宋" w:eastAsia="仿宋" w:hAnsi="仿宋" w:hint="eastAsia"/>
          <w:b/>
          <w:bCs/>
          <w:sz w:val="32"/>
          <w:szCs w:val="32"/>
        </w:rPr>
        <w:t>（三）、绩效目标实现情况</w:t>
      </w:r>
    </w:p>
    <w:p>
      <w:pPr>
        <w:ind w:firstLineChars="200" w:firstLine="640"/>
        <w:rPr>
          <w:rFonts w:ascii="仿宋" w:eastAsia="仿宋" w:hAnsi="仿宋"/>
          <w:sz w:val="32"/>
          <w:szCs w:val="32"/>
        </w:rPr>
      </w:pPr>
      <w:r>
        <w:rPr>
          <w:rFonts w:ascii="仿宋" w:eastAsia="仿宋" w:hAnsi="仿宋" w:hint="eastAsia"/>
          <w:sz w:val="32"/>
          <w:szCs w:val="32"/>
        </w:rPr>
        <w:t>申请的财政资金到位后，积极组织推动项目实施，顺利完成项目。</w:t>
      </w:r>
      <w:r>
        <w:rPr>
          <w:rFonts w:ascii="仿宋" w:eastAsia="仿宋" w:cs="仿宋_GB2312" w:hAnsi="仿宋" w:hint="eastAsia"/>
          <w:color w:val="333333"/>
          <w:kern w:val="0"/>
          <w:sz w:val="32"/>
          <w:szCs w:val="32"/>
          <w:shd w:val="clear" w:color="auto" w:fill="FFFFFF"/>
        </w:rPr>
        <w:t>我局的项目绩效目标总体评价为优。具体如下：</w:t>
      </w:r>
    </w:p>
    <w:p>
      <w:pPr>
        <w:widowControl/>
        <w:shd w:val="clear" w:color="auto" w:fill="FFFFFF"/>
        <w:spacing w:before="100" w:beforeAutospacing="1" w:after="100" w:afterAutospacing="1" w:line="540" w:lineRule="atLeast"/>
        <w:ind w:firstLine="480"/>
        <w:jc w:val="left"/>
        <w:rPr>
          <w:rFonts w:ascii="仿宋" w:eastAsia="仿宋" w:hAnsi="仿宋"/>
          <w:sz w:val="32"/>
          <w:szCs w:val="32"/>
        </w:rPr>
      </w:pPr>
      <w:r>
        <w:rPr>
          <w:rFonts w:ascii="仿宋" w:eastAsia="仿宋" w:hAnsi="仿宋"/>
          <w:sz w:val="32"/>
          <w:szCs w:val="32"/>
        </w:rPr>
        <w:t>（一）经济性：项目在实施过程中，严格控制经费支出，实际总支出</w:t>
      </w:r>
      <w:r>
        <w:rPr>
          <w:rFonts w:ascii="仿宋" w:eastAsia="仿宋" w:hAnsi="仿宋" w:hint="eastAsia"/>
          <w:sz w:val="32"/>
          <w:szCs w:val="32"/>
        </w:rPr>
        <w:t>基本</w:t>
      </w:r>
      <w:r>
        <w:rPr>
          <w:rFonts w:ascii="仿宋" w:eastAsia="仿宋" w:hAnsi="仿宋"/>
          <w:sz w:val="32"/>
          <w:szCs w:val="32"/>
        </w:rPr>
        <w:t>未超出预算。</w:t>
      </w:r>
    </w:p>
    <w:p>
      <w:pPr>
        <w:widowControl/>
        <w:shd w:val="clear" w:color="auto" w:fill="FFFFFF"/>
        <w:spacing w:before="100" w:beforeAutospacing="1" w:after="100" w:afterAutospacing="1" w:line="540" w:lineRule="atLeast"/>
        <w:ind w:firstLine="480"/>
        <w:jc w:val="left"/>
        <w:rPr>
          <w:rFonts w:ascii="仿宋" w:eastAsia="仿宋" w:hAnsi="仿宋"/>
          <w:sz w:val="32"/>
          <w:szCs w:val="32"/>
        </w:rPr>
      </w:pPr>
      <w:r>
        <w:rPr>
          <w:rFonts w:ascii="仿宋" w:eastAsia="仿宋" w:hAnsi="仿宋"/>
          <w:sz w:val="32"/>
          <w:szCs w:val="32"/>
        </w:rPr>
        <w:t>（二）效率性：在规定时间内完成</w:t>
      </w:r>
      <w:r>
        <w:rPr>
          <w:rFonts w:ascii="仿宋" w:eastAsia="仿宋" w:hAnsi="仿宋" w:hint="eastAsia"/>
          <w:sz w:val="32"/>
          <w:szCs w:val="32"/>
        </w:rPr>
        <w:t>各项目进度</w:t>
      </w:r>
      <w:r>
        <w:rPr>
          <w:rFonts w:ascii="仿宋" w:eastAsia="仿宋" w:hAnsi="仿宋"/>
          <w:sz w:val="32"/>
          <w:szCs w:val="32"/>
        </w:rPr>
        <w:t>。</w:t>
      </w:r>
    </w:p>
    <w:p>
      <w:pPr>
        <w:widowControl/>
        <w:shd w:val="clear" w:color="auto" w:fill="FFFFFF"/>
        <w:spacing w:before="100" w:beforeAutospacing="1" w:after="100" w:afterAutospacing="1" w:line="540" w:lineRule="atLeast"/>
        <w:ind w:firstLine="480"/>
        <w:jc w:val="left"/>
        <w:rPr>
          <w:rFonts w:ascii="仿宋" w:eastAsia="仿宋" w:hAnsi="仿宋"/>
          <w:sz w:val="32"/>
          <w:szCs w:val="32"/>
        </w:rPr>
      </w:pPr>
      <w:r>
        <w:rPr>
          <w:rFonts w:ascii="仿宋" w:eastAsia="仿宋" w:hAnsi="仿宋"/>
          <w:sz w:val="32"/>
          <w:szCs w:val="32"/>
        </w:rPr>
        <w:t>（三）效益性：项目预期目标按质按量完成。</w:t>
      </w:r>
      <w:r>
        <w:rPr>
          <w:rFonts w:ascii="仿宋" w:eastAsia="仿宋" w:hAnsi="仿宋" w:hint="eastAsia"/>
          <w:sz w:val="32"/>
          <w:szCs w:val="32"/>
        </w:rPr>
        <w:t>项目</w:t>
      </w:r>
      <w:r>
        <w:rPr>
          <w:rFonts w:ascii="仿宋" w:eastAsia="仿宋" w:hAnsi="仿宋"/>
          <w:sz w:val="32"/>
          <w:szCs w:val="32"/>
        </w:rPr>
        <w:t>的实施为</w:t>
      </w:r>
      <w:r>
        <w:rPr>
          <w:rFonts w:ascii="仿宋" w:eastAsia="仿宋" w:hAnsi="仿宋" w:hint="eastAsia"/>
          <w:sz w:val="32"/>
          <w:szCs w:val="32"/>
        </w:rPr>
        <w:t>审批和服务效能提高情况</w:t>
      </w:r>
      <w:r>
        <w:rPr>
          <w:rFonts w:ascii="仿宋" w:eastAsia="仿宋" w:hAnsi="仿宋"/>
          <w:sz w:val="32"/>
          <w:szCs w:val="32"/>
        </w:rPr>
        <w:t>发挥了积极的作用。</w:t>
      </w:r>
    </w:p>
    <w:p>
      <w:pPr>
        <w:ind w:firstLineChars="150" w:firstLine="480"/>
        <w:rPr>
          <w:rFonts w:ascii="仿宋" w:eastAsia="仿宋" w:hAnsi="仿宋"/>
          <w:sz w:val="32"/>
          <w:szCs w:val="32"/>
        </w:rPr>
      </w:pPr>
      <w:r>
        <w:rPr>
          <w:rFonts w:ascii="仿宋" w:eastAsia="仿宋" w:hAnsi="仿宋"/>
          <w:sz w:val="32"/>
          <w:szCs w:val="32"/>
        </w:rPr>
        <w:t>（四）可持续性：</w:t>
      </w:r>
      <w:r>
        <w:rPr>
          <w:rFonts w:ascii="仿宋" w:eastAsia="仿宋" w:hAnsi="仿宋" w:hint="eastAsia"/>
          <w:sz w:val="32"/>
          <w:szCs w:val="32"/>
        </w:rPr>
        <w:t>项目</w:t>
      </w:r>
      <w:r>
        <w:rPr>
          <w:rFonts w:ascii="仿宋" w:eastAsia="仿宋" w:hAnsi="仿宋"/>
          <w:sz w:val="32"/>
          <w:szCs w:val="32"/>
        </w:rPr>
        <w:t>的实施坚持以人为本，改善了</w:t>
      </w:r>
      <w:r>
        <w:rPr>
          <w:rFonts w:ascii="仿宋" w:eastAsia="仿宋" w:hAnsi="仿宋" w:hint="eastAsia"/>
          <w:sz w:val="32"/>
          <w:szCs w:val="32"/>
        </w:rPr>
        <w:t>审批服务条件和环境</w:t>
      </w:r>
      <w:r>
        <w:rPr>
          <w:rFonts w:ascii="仿宋" w:eastAsia="仿宋" w:hAnsi="仿宋"/>
          <w:sz w:val="32"/>
          <w:szCs w:val="32"/>
        </w:rPr>
        <w:t>，满足了群众的</w:t>
      </w:r>
      <w:r>
        <w:rPr>
          <w:rFonts w:ascii="仿宋" w:eastAsia="仿宋" w:hAnsi="仿宋" w:hint="eastAsia"/>
          <w:sz w:val="32"/>
          <w:szCs w:val="32"/>
        </w:rPr>
        <w:t>审批</w:t>
      </w:r>
      <w:r>
        <w:rPr>
          <w:rFonts w:ascii="仿宋" w:eastAsia="仿宋" w:hAnsi="仿宋"/>
          <w:sz w:val="32"/>
          <w:szCs w:val="32"/>
        </w:rPr>
        <w:t>需求。</w:t>
      </w:r>
    </w:p>
    <w:p>
      <w:pPr>
        <w:rPr>
          <w:rFonts w:ascii="仿宋" w:eastAsia="仿宋" w:hAnsi="仿宋"/>
          <w:sz w:val="32"/>
          <w:szCs w:val="32"/>
        </w:rPr>
      </w:pPr>
    </w:p>
    <w:p>
      <w:pPr>
        <w:pStyle w:val="15"/>
        <w:numPr>
          <w:ilvl w:val="0"/>
          <w:numId w:val="1"/>
        </w:numPr>
        <w:ind w:firstLineChars="0"/>
        <w:rPr>
          <w:rFonts w:ascii="黑体" w:eastAsia="黑体" w:cs="仿宋" w:hAnsi="黑体"/>
          <w:bCs/>
          <w:color w:val="000000"/>
          <w:sz w:val="32"/>
          <w:szCs w:val="32"/>
        </w:rPr>
      </w:pPr>
      <w:r>
        <w:rPr>
          <w:rFonts w:ascii="黑体" w:eastAsia="黑体" w:cs="仿宋" w:hAnsi="黑体" w:hint="eastAsia"/>
          <w:bCs/>
          <w:color w:val="000000"/>
          <w:sz w:val="32"/>
          <w:szCs w:val="32"/>
        </w:rPr>
        <w:t>各项绩效目标的实现程度及差异性原因分析</w:t>
      </w:r>
    </w:p>
    <w:p>
      <w:pPr>
        <w:widowControl/>
        <w:shd w:val="clear" w:color="auto" w:fill="FFFFFF"/>
        <w:spacing w:before="100" w:beforeAutospacing="1" w:after="100" w:afterAutospacing="1" w:line="540" w:lineRule="atLeast"/>
        <w:jc w:val="left"/>
        <w:rPr>
          <w:rFonts w:ascii="仿宋" w:eastAsia="仿宋" w:cs="宋体" w:hAnsi="仿宋"/>
          <w:b/>
          <w:color w:val="000000"/>
          <w:kern w:val="0"/>
          <w:sz w:val="32"/>
          <w:szCs w:val="32"/>
        </w:rPr>
      </w:pPr>
      <w:r>
        <w:rPr>
          <w:rFonts w:ascii="仿宋" w:eastAsia="仿宋" w:cs="仿宋" w:hAnsi="仿宋" w:hint="eastAsia"/>
          <w:b/>
          <w:bCs/>
          <w:color w:val="000000"/>
          <w:sz w:val="32"/>
          <w:szCs w:val="32"/>
        </w:rPr>
        <w:t xml:space="preserve">  </w:t>
      </w:r>
      <w:r>
        <w:rPr>
          <w:rFonts w:ascii="仿宋" w:eastAsia="仿宋" w:cs="宋体" w:hAnsi="仿宋" w:hint="eastAsia"/>
          <w:b/>
          <w:color w:val="000000"/>
          <w:kern w:val="0"/>
          <w:sz w:val="32"/>
          <w:szCs w:val="32"/>
        </w:rPr>
        <w:t>（一）项目组织实施情况分析</w:t>
      </w:r>
    </w:p>
    <w:p>
      <w:pPr>
        <w:widowControl/>
        <w:shd w:val="clear" w:color="auto" w:fill="FFFFFF"/>
        <w:spacing w:before="100" w:beforeAutospacing="1" w:after="100" w:afterAutospacing="1" w:line="540" w:lineRule="atLeast"/>
        <w:ind w:firstLineChars="200" w:firstLine="640"/>
        <w:jc w:val="left"/>
        <w:rPr>
          <w:rFonts w:ascii="仿宋" w:eastAsia="仿宋" w:cs="宋体" w:hAnsi="仿宋"/>
          <w:color w:val="000000"/>
          <w:kern w:val="0"/>
          <w:sz w:val="32"/>
          <w:szCs w:val="32"/>
        </w:rPr>
      </w:pPr>
      <w:r>
        <w:rPr>
          <w:rFonts w:ascii="仿宋" w:eastAsia="仿宋" w:cs="宋体" w:hAnsi="仿宋" w:hint="eastAsia"/>
          <w:color w:val="000000"/>
          <w:kern w:val="0"/>
          <w:sz w:val="32"/>
          <w:szCs w:val="32"/>
        </w:rPr>
        <w:t>针对年初预算项目，我局</w:t>
      </w:r>
      <w:r>
        <w:rPr>
          <w:rFonts w:ascii="仿宋" w:eastAsia="仿宋" w:cs="宋体" w:hAnsi="仿宋"/>
          <w:color w:val="000000"/>
          <w:kern w:val="0"/>
          <w:sz w:val="32"/>
          <w:szCs w:val="32"/>
        </w:rPr>
        <w:t>采取早做安排、积极落实</w:t>
      </w:r>
      <w:r>
        <w:rPr>
          <w:rFonts w:ascii="仿宋" w:eastAsia="仿宋" w:cs="宋体" w:hAnsi="仿宋" w:hint="eastAsia"/>
          <w:color w:val="000000"/>
          <w:kern w:val="0"/>
          <w:sz w:val="32"/>
          <w:szCs w:val="32"/>
        </w:rPr>
        <w:t>、</w:t>
      </w:r>
      <w:r>
        <w:rPr>
          <w:rFonts w:ascii="仿宋" w:eastAsia="仿宋" w:cs="宋体" w:hAnsi="仿宋"/>
          <w:color w:val="000000"/>
          <w:kern w:val="0"/>
          <w:sz w:val="32"/>
          <w:szCs w:val="32"/>
        </w:rPr>
        <w:t>强化监督</w:t>
      </w:r>
      <w:r>
        <w:rPr>
          <w:rFonts w:ascii="仿宋" w:eastAsia="仿宋" w:cs="宋体" w:hAnsi="仿宋" w:hint="eastAsia"/>
          <w:color w:val="000000"/>
          <w:kern w:val="0"/>
          <w:sz w:val="32"/>
          <w:szCs w:val="32"/>
        </w:rPr>
        <w:t>等</w:t>
      </w:r>
      <w:r>
        <w:rPr>
          <w:rFonts w:ascii="仿宋" w:eastAsia="仿宋" w:cs="宋体" w:hAnsi="仿宋"/>
          <w:color w:val="000000"/>
          <w:kern w:val="0"/>
          <w:sz w:val="32"/>
          <w:szCs w:val="32"/>
        </w:rPr>
        <w:t>措施强力推进</w:t>
      </w:r>
      <w:r>
        <w:rPr>
          <w:rFonts w:ascii="仿宋" w:eastAsia="仿宋" w:cs="宋体" w:hAnsi="仿宋" w:hint="eastAsia"/>
          <w:color w:val="000000"/>
          <w:kern w:val="0"/>
          <w:sz w:val="32"/>
          <w:szCs w:val="32"/>
        </w:rPr>
        <w:t>项目</w:t>
      </w:r>
      <w:r>
        <w:rPr>
          <w:rFonts w:ascii="仿宋" w:eastAsia="仿宋" w:cs="宋体" w:hAnsi="仿宋"/>
          <w:color w:val="000000"/>
          <w:kern w:val="0"/>
          <w:sz w:val="32"/>
          <w:szCs w:val="32"/>
        </w:rPr>
        <w:t>的实施。</w:t>
      </w:r>
      <w:r>
        <w:rPr>
          <w:rFonts w:ascii="仿宋" w:eastAsia="仿宋" w:cs="宋体" w:hAnsi="仿宋" w:hint="eastAsia"/>
          <w:color w:val="000000"/>
          <w:kern w:val="0"/>
          <w:sz w:val="32"/>
          <w:szCs w:val="32"/>
        </w:rPr>
        <w:t>2020年底，所有</w:t>
      </w:r>
      <w:r>
        <w:rPr>
          <w:rFonts w:ascii="仿宋" w:eastAsia="仿宋" w:cs="宋体" w:hAnsi="仿宋"/>
          <w:color w:val="000000"/>
          <w:kern w:val="0"/>
          <w:sz w:val="32"/>
          <w:szCs w:val="32"/>
        </w:rPr>
        <w:t>项目</w:t>
      </w:r>
      <w:r>
        <w:rPr>
          <w:rFonts w:ascii="仿宋" w:eastAsia="仿宋" w:cs="宋体" w:hAnsi="仿宋" w:hint="eastAsia"/>
          <w:color w:val="000000"/>
          <w:kern w:val="0"/>
          <w:sz w:val="32"/>
          <w:szCs w:val="32"/>
        </w:rPr>
        <w:t>均已完成</w:t>
      </w:r>
      <w:r>
        <w:rPr>
          <w:rFonts w:ascii="仿宋" w:eastAsia="仿宋" w:cs="宋体" w:hAnsi="仿宋"/>
          <w:color w:val="000000"/>
          <w:kern w:val="0"/>
          <w:sz w:val="32"/>
          <w:szCs w:val="32"/>
        </w:rPr>
        <w:t>。</w:t>
      </w:r>
      <w:r>
        <w:rPr>
          <w:rFonts w:ascii="仿宋" w:eastAsia="仿宋" w:cs="仿宋" w:hAnsi="仿宋" w:hint="eastAsia"/>
          <w:color w:val="000000"/>
          <w:sz w:val="32"/>
          <w:szCs w:val="32"/>
        </w:rPr>
        <w:t>另2020年劳务派遣人员工资保险费年初财政预算安排68.811万元，因年中劳务派遣人员变动，年初预算7.42万元未形成支出，结余支付中心。</w:t>
      </w:r>
    </w:p>
    <w:p>
      <w:pPr>
        <w:widowControl/>
        <w:shd w:val="clear" w:color="auto" w:fill="FFFFFF"/>
        <w:spacing w:before="100" w:beforeAutospacing="1" w:after="100" w:afterAutospacing="1" w:line="540" w:lineRule="atLeast"/>
        <w:ind w:firstLineChars="50" w:firstLine="160"/>
        <w:jc w:val="left"/>
        <w:rPr>
          <w:rFonts w:ascii="仿宋" w:eastAsia="仿宋" w:cs="宋体" w:hAnsi="仿宋"/>
          <w:b/>
          <w:color w:val="000000"/>
          <w:kern w:val="0"/>
          <w:sz w:val="32"/>
          <w:szCs w:val="32"/>
        </w:rPr>
      </w:pPr>
      <w:r>
        <w:rPr>
          <w:rFonts w:ascii="仿宋" w:eastAsia="仿宋" w:cs="宋体" w:hAnsi="仿宋" w:hint="eastAsia"/>
          <w:b/>
          <w:color w:val="000000"/>
          <w:kern w:val="0"/>
          <w:sz w:val="32"/>
          <w:szCs w:val="32"/>
        </w:rPr>
        <w:t>（二）项目管理情况分析</w:t>
      </w:r>
    </w:p>
    <w:p>
      <w:pPr>
        <w:widowControl/>
        <w:shd w:val="clear" w:color="auto" w:fill="FFFFFF"/>
        <w:spacing w:before="100" w:beforeAutospacing="1" w:after="100" w:afterAutospacing="1" w:line="540" w:lineRule="atLeast"/>
        <w:ind w:firstLineChars="200" w:firstLine="640"/>
        <w:jc w:val="left"/>
        <w:rPr>
          <w:rFonts w:ascii="仿宋" w:eastAsia="仿宋" w:cs="仿宋" w:hAnsi="仿宋"/>
          <w:color w:val="000000"/>
          <w:sz w:val="32"/>
          <w:szCs w:val="32"/>
          <w:highlight w:val="green"/>
        </w:rPr>
      </w:pPr>
      <w:r>
        <w:rPr>
          <w:rFonts w:ascii="仿宋" w:eastAsia="仿宋" w:cs="宋体" w:hAnsi="仿宋"/>
          <w:color w:val="000000"/>
          <w:kern w:val="0"/>
          <w:sz w:val="32"/>
          <w:szCs w:val="32"/>
        </w:rPr>
        <w:t>为保证项目质量和项目的顺利实施，我局</w:t>
      </w:r>
      <w:r>
        <w:rPr>
          <w:rFonts w:ascii="仿宋" w:eastAsia="仿宋" w:cs="宋体" w:hAnsi="仿宋" w:hint="eastAsia"/>
          <w:color w:val="000000"/>
          <w:kern w:val="0"/>
          <w:sz w:val="32"/>
          <w:szCs w:val="32"/>
        </w:rPr>
        <w:t>按照有关法律法规</w:t>
      </w:r>
      <w:r>
        <w:rPr>
          <w:rFonts w:ascii="仿宋" w:eastAsia="仿宋" w:cs="宋体" w:hAnsi="仿宋"/>
          <w:color w:val="000000"/>
          <w:kern w:val="0"/>
          <w:sz w:val="32"/>
          <w:szCs w:val="32"/>
        </w:rPr>
        <w:t>加强项目的管理，并指定专人对项目实施监督，做到发现问题及时整改。</w:t>
      </w:r>
    </w:p>
    <w:p>
      <w:pPr>
        <w:rPr>
          <w:rFonts w:ascii="黑体" w:eastAsia="黑体" w:hAnsi="黑体"/>
          <w:sz w:val="32"/>
          <w:szCs w:val="32"/>
        </w:rPr>
      </w:pPr>
      <w:r>
        <w:rPr>
          <w:rFonts w:ascii="黑体" w:eastAsia="黑体" w:hAnsi="黑体" w:hint="eastAsia"/>
          <w:bCs/>
          <w:sz w:val="32"/>
          <w:szCs w:val="32"/>
        </w:rPr>
        <w:t>四、偏离绩效目标的原因和下一步改进措施</w:t>
      </w:r>
    </w:p>
    <w:p>
      <w:pPr>
        <w:ind w:firstLineChars="200" w:firstLine="640"/>
        <w:rPr>
          <w:rFonts w:ascii="仿宋" w:eastAsia="仿宋" w:hAnsi="仿宋"/>
          <w:sz w:val="32"/>
          <w:szCs w:val="32"/>
        </w:rPr>
      </w:pPr>
      <w:r>
        <w:rPr>
          <w:rFonts w:ascii="仿宋" w:eastAsia="仿宋" w:hAnsi="仿宋" w:hint="eastAsia"/>
          <w:sz w:val="32"/>
          <w:szCs w:val="32"/>
        </w:rPr>
        <w:t>项目绩效预算计划工作还不到位，需要加强绩效预算工作，项目绩效预算计划工作要落实。</w:t>
      </w:r>
    </w:p>
    <w:p>
      <w:pPr>
        <w:rPr>
          <w:rFonts w:ascii="黑体" w:eastAsia="黑体" w:hAnsi="黑体"/>
          <w:bCs/>
          <w:sz w:val="32"/>
          <w:szCs w:val="32"/>
        </w:rPr>
      </w:pPr>
      <w:r>
        <w:rPr>
          <w:rFonts w:ascii="黑体" w:eastAsia="黑体" w:hAnsi="黑体" w:hint="eastAsia"/>
          <w:bCs/>
          <w:sz w:val="32"/>
          <w:szCs w:val="32"/>
        </w:rPr>
        <w:t>五、建议</w:t>
      </w:r>
    </w:p>
    <w:p>
      <w:pPr>
        <w:autoSpaceDE w:val="0"/>
        <w:autoSpaceDN w:val="0"/>
        <w:adjustRightInd w:val="0"/>
        <w:ind w:left="198" w:firstLineChars="200" w:firstLine="640"/>
        <w:jc w:val="left"/>
        <w:rPr>
          <w:rFonts w:ascii="仿宋" w:eastAsia="仿宋" w:cs="Times New Roman" w:hAnsi="仿宋"/>
          <w:b/>
          <w:bCs/>
          <w:sz w:val="32"/>
          <w:szCs w:val="32"/>
        </w:rPr>
      </w:pPr>
      <w:r>
        <w:rPr>
          <w:rFonts w:ascii="仿宋" w:eastAsia="仿宋" w:hAnsi="仿宋" w:hint="eastAsia"/>
          <w:sz w:val="32"/>
          <w:szCs w:val="32"/>
        </w:rPr>
        <w:t>要加强项目绩效管理，制定和细化绩效目标、绩效指标的科学体系，加强项目绩效评价考核。按照预算项目绩效信息公开的有关规定，适度向社会或一定范围进行信息公开，体现财政资金使用的社会、公众性监督管理</w:t>
      </w:r>
    </w:p>
    <w:p>
      <w:pPr>
        <w:adjustRightInd w:val="0"/>
        <w:spacing w:line="570" w:lineRule="exact"/>
        <w:ind w:firstLine="640"/>
        <w:rPr>
          <w:rFonts w:ascii="Times New Roman" w:eastAsia="仿宋" w:cs="Times New Roman" w:hAnsi="Times New Roman"/>
          <w:b/>
          <w:bCs/>
          <w:color w:val="000000"/>
          <w:sz w:val="32"/>
          <w:szCs w:val="32"/>
        </w:rPr>
      </w:pPr>
    </w:p>
    <w:p>
      <w:pPr>
        <w:pStyle w:val="16"/>
        <w:spacing w:line="360" w:lineRule="auto"/>
        <w:ind w:firstLineChars="200" w:firstLine="632"/>
        <w:rPr>
          <w:rFonts w:ascii="仿宋" w:eastAsia="仿宋" w:cs="Times New Roman" w:hAnsi="仿宋"/>
          <w:color w:val="000000"/>
          <w:szCs w:val="32"/>
        </w:rPr>
      </w:pPr>
    </w:p>
    <w:p/>
    <w:sectPr>
      <w:footerReference w:type="default" r:id="rId2"/>
      <w:pgSz w:w="11906" w:h="16838"/>
      <w:pgMar w:top="1440" w:right="1800" w:bottom="1440" w:left="1800" w:header="851" w:footer="992" w:gutter="0"/>
      <w:cols w:num="1" w:space="425"/>
      <w:docGrid w:type="lines" w:linePitch="312" w:charSpace="0"/>
    </w:sectPr>
  </w:body>
</w:document>
</file>

<file path=word/fontTable.xml><?xml version="1.0" encoding="utf-8"?>
<w:fonts xmlns:w="http://schemas.openxmlformats.org/wordprocessingml/2006/main" xmlns:r="http://schemas.openxmlformats.org/officeDocument/2006/relationships">
  <w:font w:name="黑体">
    <w:altName w:val="SimHei"/>
    <w:panose1 w:val="02010609060101010101"/>
    <w:charset w:val="86"/>
    <w:family w:val="modern"/>
    <w:pitch w:val="variable"/>
    <w:sig w:usb0="800002BF" w:usb1="38CF7CFA" w:usb2="00000016" w:usb3="00000000" w:csb0="00040001" w:csb1="00000000"/>
  </w:font>
  <w:font w:name="仿宋">
    <w:panose1 w:val="02010609060101010101"/>
    <w:charset w:val="86"/>
    <w:family w:val="modern"/>
    <w:pitch w:val="variable"/>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微软雅黑"/>
    <w:panose1 w:val="00000000000000000000"/>
    <w:charset w:val="86"/>
    <w:family w:val="auto"/>
    <w:pitch w:val="variable"/>
    <w:sig w:usb0="00000000" w:usb1="080E0000" w:usb2="0000000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auto"/>
    <w:pitch w:val="variable"/>
    <w:sig w:usb0="00007A87" w:usb1="80000000" w:usb2="00000008" w:usb3="00000000" w:csb0="400001FF" w:csb1="FFFF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sdt>
    <w:sdtPr>
      <w:id w:val="117422209"/>
      <w:docPartObj>
        <w:docPartGallery w:val="Page Numbers (Bottom of Page)"/>
        <w:docPartUnique/>
      </w:docPartObj>
    </w:sdtPr>
    <w:sdtContent>
      <w:p>
        <w:pPr>
          <w:pStyle w:val="18"/>
          <w:tabs>
            <w:tab w:val="center" w:pos="4153"/>
            <w:tab w:val="right" w:pos="8306"/>
          </w:tabs>
          <w:jc w:val="center"/>
        </w:pPr>
        <w:r>
          <w:fldChar w:fldCharType="begin"/>
        </w:r>
        <w:r>
          <w:instrText xml:space="preserve"> PAGE   \* MERGEFORMAT </w:instrText>
        </w:r>
        <w:r>
          <w:fldChar w:fldCharType="separate"/>
        </w:r>
        <w:r>
          <w:rPr>
            <w:lang w:val="zh-CN"/>
          </w:rPr>
          <w:t>1</w:t>
        </w:r>
        <w:r>
          <w:fldChar w:fldCharType="end"/>
        </w:r>
      </w:p>
    </w:sdtContent>
  </w:sdt>
  <w:p>
    <w:pPr>
      <w:pStyle w:val="18"/>
      <w:tabs>
        <w:tab w:val="center" w:pos="4153"/>
        <w:tab w:val="right" w:pos="8306"/>
      </w:tabs>
    </w:pP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16C37EEF"/>
    <w:multiLevelType w:val="hybridMultilevel"/>
    <w:tmpl w:val="5CDA7C2E"/>
    <w:lvl w:ilvl="0">
      <w:start w:val="3"/>
      <w:numFmt w:val="japaneseCounting"/>
      <w:lvlRestart w:val="0"/>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9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2"/>
  </w:compat>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Calibri" w:eastAsia="宋体" w:cs="Arial" w:hAnsi="Calibri"/>
      <w:kern w:val="2"/>
      <w:sz w:val="21"/>
      <w:szCs w:val="22"/>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Arial" w:hAnsi="Calibri"/>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Calibri"/>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Arial" w:hAnsi="Calibri"/>
      <w:b/>
      <w:bCs/>
      <w:kern w:val="2"/>
      <w:sz w:val="32"/>
      <w:szCs w:val="32"/>
      <w:lang w:val="en-US" w:eastAsia="zh-CN" w:bidi="ar-SA"/>
    </w:rPr>
  </w:style>
  <w:style w:type="character" w:default="1" w:styleId="10">
    <w:name w:val="Default Paragraph Font"/>
    <w:qFormat/>
  </w:style>
  <w:style w:type="paragraph" w:styleId="15">
    <w:name w:val="List Paragraph"/>
    <w:qFormat/>
    <w:basedOn w:val="0"/>
    <w:pPr>
      <w:ind w:firstLineChars="200" w:firstLine="200"/>
    </w:pPr>
  </w:style>
  <w:style w:type="paragraph" w:styleId="16">
    <w:name w:val="Body Text"/>
    <w:qFormat/>
    <w:basedOn w:val="0"/>
    <w:pPr>
      <w:autoSpaceDE w:val="0"/>
      <w:autoSpaceDN w:val="0"/>
      <w:adjustRightInd w:val="0"/>
      <w:snapToGrid w:val="0"/>
      <w:spacing w:line="588" w:lineRule="atLeast"/>
    </w:pPr>
    <w:rPr>
      <w:rFonts w:ascii="宋体" w:eastAsia="仿宋_GB2312" w:hAnsi="宋体"/>
      <w:spacing w:val="-2"/>
      <w:sz w:val="32"/>
      <w:szCs w:val="24"/>
    </w:rPr>
  </w:style>
  <w:style w:type="paragraph" w:styleId="17">
    <w:name w:val="header"/>
    <w:qFormat/>
    <w:basedOn w:val="0"/>
    <w:pPr>
      <w:pBdr>
        <w:bottom w:val="single" w:sz="6" w:space="1" w:color="auto"/>
      </w:pBdr>
      <w:tabs>
        <w:tab w:val="center" w:pos="4153"/>
        <w:tab w:val="right" w:pos="8306"/>
      </w:tabs>
      <w:snapToGrid w:val="0"/>
      <w:jc w:val="center"/>
    </w:pPr>
    <w:rPr>
      <w:rFonts w:ascii="Times New Roman" w:eastAsia="宋体" w:cs="Times New Roman" w:hAnsi="Times New Roman"/>
      <w:sz w:val="18"/>
      <w:szCs w:val="18"/>
    </w:rPr>
  </w:style>
  <w:style w:type="paragraph" w:styleId="18">
    <w:name w:val="footer"/>
    <w:qFormat/>
    <w:basedOn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8CE3946E-4714-40B6-BC93-C4DE9CC99FEA}">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47</TotalTime>
  <Application>Yozo_Office27021597764231189</Application>
  <Pages>13</Pages>
  <Words>0</Words>
  <Characters>4926</Characters>
  <Lines>0</Lines>
  <Paragraphs>69</Paragraphs>
  <CharactersWithSpaces>6569</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5</cp:revision>
  <cp:lastPrinted>2021-03-25T07:50:00Z</cp:lastPrinted>
  <dcterms:created xsi:type="dcterms:W3CDTF">2021-03-25T06:48:00Z</dcterms:created>
  <dcterms:modified xsi:type="dcterms:W3CDTF">2024-01-16T04:22:36Z</dcterms:modified>
</cp:coreProperties>
</file>