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隆尧县人力资源和社会保障局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ascii="方正小标宋简体" w:hAnsi="方正小标宋简体" w:eastAsia="方正小标宋简体" w:cs="方正小标宋简体"/>
          <w:color w:val="000000"/>
          <w:sz w:val="44"/>
          <w:szCs w:val="44"/>
        </w:rPr>
        <w:t>202</w:t>
      </w:r>
      <w:r>
        <w:rPr>
          <w:rFonts w:hint="eastAsia" w:ascii="方正小标宋简体" w:hAnsi="方正小标宋简体" w:eastAsia="方正小标宋简体" w:cs="方正小标宋简体"/>
          <w:color w:val="000000"/>
          <w:sz w:val="44"/>
          <w:szCs w:val="44"/>
          <w:lang w:val="en-US" w:eastAsia="zh-CN"/>
        </w:rPr>
        <w:t>2</w:t>
      </w:r>
      <w:r>
        <w:rPr>
          <w:rFonts w:hint="eastAsia" w:ascii="方正小标宋简体" w:hAnsi="方正小标宋简体" w:eastAsia="方正小标宋简体" w:cs="方正小标宋简体"/>
          <w:color w:val="000000"/>
          <w:sz w:val="44"/>
          <w:szCs w:val="44"/>
        </w:rPr>
        <w:t>年度法治建设工作情况报告</w:t>
      </w:r>
    </w:p>
    <w:p>
      <w:pPr>
        <w:keepNext w:val="0"/>
        <w:keepLines w:val="0"/>
        <w:pageBreakBefore w:val="0"/>
        <w:widowControl w:val="0"/>
        <w:kinsoku/>
        <w:wordWrap/>
        <w:overflowPunct/>
        <w:topLinePunct w:val="0"/>
        <w:autoSpaceDE/>
        <w:autoSpaceDN/>
        <w:bidi w:val="0"/>
        <w:adjustRightInd/>
        <w:snapToGrid/>
        <w:spacing w:before="313" w:beforeLines="100"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我局在县委、县政府的正确领导下，在中共隆尧县委全面依法治县委员会办公室的具体指导下，紧紧围绕法治政府建设的工作主线，始终将改善和发展民生作为人社法治工作的出发点和落脚点，坚持把法治政府建设放在加强自身建设的重要位置，全面推进依法行政工作，为我县人社事业发展创造良好的法治环境。现将我局2022年开展法治政府建设情况报告如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一、主要举措</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一年来，我局认真落实《中共隆尧县委全面依法治县委员会2022年工作要点》确定的目标任务，深入推进依法行政，加快建设完善法治体系，为全县社会健康稳定发展奠定了坚实基础。</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依法行政工作稳步推进。</w:t>
      </w:r>
      <w:r>
        <w:rPr>
          <w:rFonts w:hint="eastAsia" w:ascii="仿宋_GB2312" w:hAnsi="仿宋_GB2312" w:eastAsia="仿宋_GB2312" w:cs="仿宋_GB2312"/>
          <w:sz w:val="32"/>
          <w:szCs w:val="32"/>
          <w:lang w:val="en-US" w:eastAsia="zh-CN"/>
        </w:rPr>
        <w:t>我局高度重视法治政府建设工作，局法治建设工作领导小组充分发挥统筹协调作用，将法治建设列入年度工作要点，与全局工作同步部署、同步推进。各科室严格按照三定方案全面履行自身职能，有步骤、有重点地推进法治建设实施与落实，全面打造“法治人社”。</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加强法治学习和培训。</w:t>
      </w:r>
      <w:r>
        <w:rPr>
          <w:rFonts w:hint="eastAsia" w:ascii="仿宋_GB2312" w:hAnsi="仿宋_GB2312" w:eastAsia="仿宋_GB2312" w:cs="仿宋_GB2312"/>
          <w:sz w:val="32"/>
          <w:szCs w:val="32"/>
          <w:lang w:val="en-US" w:eastAsia="zh-CN"/>
        </w:rPr>
        <w:t>我局坚持领导干部学法制度，通过“党史学习教育”“民主生活会”等学习活动，组织领导党员干部积极学习党的二十大精神、习近平新时代中国特色社会主义思想以及《宪法》、《中国共产党廉洁自律准则》等法律法规，提高党员干部政治站位及学法懂法守法用法意识。同时，强化执法人员对《中华人民共和国行政处罚法》、《中华人民共和国行政复议法》、《中华人民共和国</w:t>
      </w:r>
      <w:bookmarkStart w:id="0" w:name="_GoBack"/>
      <w:bookmarkEnd w:id="0"/>
      <w:r>
        <w:rPr>
          <w:rFonts w:hint="eastAsia" w:ascii="仿宋_GB2312" w:hAnsi="仿宋_GB2312" w:eastAsia="仿宋_GB2312" w:cs="仿宋_GB2312"/>
          <w:sz w:val="32"/>
          <w:szCs w:val="32"/>
          <w:lang w:val="en-US" w:eastAsia="zh-CN"/>
        </w:rPr>
        <w:t>行政诉讼法》等法律法规知识的学习培训，通过学习培训使执法人员的自身素质和执法水平得到明显提高。</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）继续充分发挥法律顾问作用。</w:t>
      </w:r>
      <w:r>
        <w:rPr>
          <w:rFonts w:hint="eastAsia" w:ascii="仿宋_GB2312" w:hAnsi="宋体" w:eastAsia="仿宋_GB2312" w:cs="宋体"/>
          <w:color w:val="000000"/>
          <w:kern w:val="0"/>
          <w:sz w:val="32"/>
          <w:szCs w:val="36"/>
        </w:rPr>
        <w:t>为进一步提高我局依法行政、科学决策的能力和水平，充分发挥法律人才在政府机关法治建设中的作用，我局完善了法律顾问制度，专门为我局的重大行政决策事项和制定规范性文件等方面提供法律服务。</w:t>
      </w:r>
      <w:r>
        <w:rPr>
          <w:rFonts w:hint="eastAsia" w:ascii="仿宋_GB2312" w:hAnsi="仿宋_GB2312" w:eastAsia="仿宋_GB2312" w:cs="仿宋_GB2312"/>
          <w:sz w:val="32"/>
          <w:szCs w:val="32"/>
          <w:lang w:eastAsia="zh-CN"/>
        </w:rPr>
        <w:t>充分发挥法律顾问、法制工作者在重大决策、规范性文件合法性审查、合同协议等法律文件审查、重大行政执法决定法制审核、代理行政复议诉讼案件、化解矛盾纠纷、提供法律咨询论证等方面的积极作用。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（四）依法行政制度体系不断健全。</w:t>
      </w:r>
      <w:r>
        <w:rPr>
          <w:rFonts w:hint="eastAsia" w:ascii="仿宋_GB2312" w:hAnsi="仿宋_GB2312" w:eastAsia="仿宋_GB2312" w:cs="仿宋_GB2312"/>
          <w:sz w:val="32"/>
          <w:szCs w:val="32"/>
          <w:lang w:eastAsia="zh-CN"/>
        </w:rPr>
        <w:t>严格规范性文件制定和监督管理。严格执行规范性文件制定有关程序，落实起草论证、公开征求意见、合法性审核、保密性审查、集体讨论决定、备案审查等制度。</w:t>
      </w:r>
      <w:r>
        <w:rPr>
          <w:rFonts w:hint="eastAsia" w:ascii="仿宋_GB2312" w:hAnsi="仿宋_GB2312" w:eastAsia="仿宋_GB2312" w:cs="仿宋_GB2312"/>
          <w:sz w:val="32"/>
          <w:szCs w:val="32"/>
          <w:lang w:val="en-US" w:eastAsia="zh-CN"/>
        </w:rPr>
        <w:t>同时，</w:t>
      </w:r>
      <w:r>
        <w:rPr>
          <w:rFonts w:hint="eastAsia" w:ascii="仿宋_GB2312" w:hAnsi="仿宋_GB2312" w:eastAsia="仿宋_GB2312" w:cs="仿宋_GB2312"/>
          <w:sz w:val="32"/>
          <w:szCs w:val="32"/>
          <w:lang w:eastAsia="zh-CN"/>
        </w:rPr>
        <w:t>加强规范性文件清理，按照“谁起草实施，谁负责提出清理意见”的原则，</w:t>
      </w:r>
      <w:r>
        <w:rPr>
          <w:rFonts w:hint="eastAsia" w:ascii="仿宋_GB2312" w:hAnsi="仿宋_GB2312" w:eastAsia="仿宋_GB2312" w:cs="仿宋_GB2312"/>
          <w:sz w:val="32"/>
          <w:szCs w:val="32"/>
        </w:rPr>
        <w:t>组织开展规范性文件清理工作，</w:t>
      </w:r>
      <w:r>
        <w:rPr>
          <w:rFonts w:hint="eastAsia" w:ascii="仿宋_GB2312" w:hAnsi="仿宋_GB2312" w:eastAsia="仿宋_GB2312" w:cs="仿宋_GB2312"/>
          <w:sz w:val="32"/>
          <w:szCs w:val="32"/>
          <w:lang w:eastAsia="zh-CN"/>
        </w:rPr>
        <w:t>清理结果在政府门户网站及时向社会</w:t>
      </w:r>
      <w:r>
        <w:rPr>
          <w:rFonts w:hint="eastAsia" w:ascii="仿宋_GB2312" w:hAnsi="仿宋_GB2312" w:eastAsia="仿宋_GB2312" w:cs="仿宋_GB2312"/>
          <w:sz w:val="32"/>
          <w:szCs w:val="32"/>
          <w:lang w:val="en-US" w:eastAsia="zh-CN"/>
        </w:rPr>
        <w:t>进行</w:t>
      </w:r>
      <w:r>
        <w:rPr>
          <w:rFonts w:hint="eastAsia" w:ascii="仿宋_GB2312" w:hAnsi="仿宋_GB2312" w:eastAsia="仿宋_GB2312" w:cs="仿宋_GB2312"/>
          <w:sz w:val="32"/>
          <w:szCs w:val="32"/>
          <w:lang w:eastAsia="zh-CN"/>
        </w:rPr>
        <w:t>公布</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（五）社会矛盾化解工作稳中有进。</w:t>
      </w:r>
      <w:r>
        <w:rPr>
          <w:rFonts w:hint="eastAsia" w:ascii="仿宋_GB2312" w:hAnsi="仿宋_GB2312" w:eastAsia="仿宋_GB2312" w:cs="仿宋_GB2312"/>
          <w:sz w:val="32"/>
          <w:szCs w:val="32"/>
          <w:lang w:eastAsia="zh-CN"/>
        </w:rPr>
        <w:t>加强行政复议和应诉工作。</w:t>
      </w:r>
      <w:r>
        <w:rPr>
          <w:rFonts w:hint="eastAsia" w:ascii="仿宋_GB2312" w:hAnsi="仿宋_GB2312" w:eastAsia="仿宋_GB2312" w:cs="仿宋_GB2312"/>
          <w:sz w:val="32"/>
          <w:szCs w:val="32"/>
        </w:rPr>
        <w:t>深化行政复议体制改革，加强行政复议规范化建设，提高行政复议办案质量。强化行政应诉工作，依法办理行政应诉案件，落实行政机关负责人出庭应诉制度。通过行政复议、调解仲裁、申诉受理、劳动监察、政府信息公开、信访、司法等</w:t>
      </w:r>
      <w:r>
        <w:rPr>
          <w:rFonts w:hint="eastAsia" w:ascii="仿宋_GB2312" w:hAnsi="仿宋_GB2312" w:eastAsia="仿宋_GB2312" w:cs="仿宋_GB2312"/>
          <w:sz w:val="32"/>
          <w:szCs w:val="32"/>
          <w:lang w:eastAsia="zh-CN"/>
        </w:rPr>
        <w:t>多种</w:t>
      </w:r>
      <w:r>
        <w:rPr>
          <w:rFonts w:hint="eastAsia" w:ascii="仿宋_GB2312" w:hAnsi="仿宋_GB2312" w:eastAsia="仿宋_GB2312" w:cs="仿宋_GB2312"/>
          <w:sz w:val="32"/>
          <w:szCs w:val="32"/>
        </w:rPr>
        <w:t>途径，引导群众通过法定途径解决问题，注重运用调解手段化解矛盾纠纷，维护社会稳定大局。</w:t>
      </w:r>
      <w:r>
        <w:rPr>
          <w:rFonts w:hint="eastAsia" w:ascii="仿宋_GB2312" w:hAnsi="仿宋_GB2312" w:eastAsia="仿宋_GB2312" w:cs="仿宋_GB2312"/>
          <w:sz w:val="32"/>
          <w:szCs w:val="32"/>
          <w:lang w:val="en-US" w:eastAsia="zh-CN"/>
        </w:rPr>
        <w:t>继续</w:t>
      </w:r>
      <w:r>
        <w:rPr>
          <w:rFonts w:hint="eastAsia" w:ascii="仿宋_GB2312" w:hAnsi="仿宋_GB2312" w:eastAsia="仿宋_GB2312" w:cs="仿宋_GB2312"/>
          <w:kern w:val="2"/>
          <w:sz w:val="32"/>
          <w:szCs w:val="32"/>
          <w:lang w:val="en-US" w:eastAsia="zh-CN" w:bidi="ar-SA"/>
        </w:rPr>
        <w:t>开展欠薪常态排查，对劳动者进行现场面对面法律法规、政策宣传，检查企业劳动合同签订、工资支付等情况，增强劳资双方的权益维护意识，切实规范企业用工行为。每年至少组织2次以上专项检查行动，专项治理企业欠薪失信行为，推进劳动保障诚信体系建设。畅通举报投诉咨询电话，开启绿色通道，快速处理简易案件。</w:t>
      </w:r>
      <w:r>
        <w:rPr>
          <w:rFonts w:hint="eastAsia" w:ascii="仿宋_GB2312" w:hAnsi="仿宋_GB2312" w:eastAsia="仿宋_GB2312" w:cs="仿宋_GB2312"/>
          <w:sz w:val="32"/>
          <w:szCs w:val="32"/>
          <w:lang w:val="en-US" w:eastAsia="zh-CN"/>
        </w:rPr>
        <w:t>加强司法衔接，积极与法院、公安局等部门沟通协调，依法打击恶意欠薪行为，维护了社会大局稳定。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（六）严格规范行政执法。</w:t>
      </w:r>
      <w:r>
        <w:rPr>
          <w:rFonts w:hint="eastAsia" w:ascii="仿宋_GB2312" w:hAnsi="仿宋_GB2312" w:eastAsia="仿宋_GB2312" w:cs="仿宋_GB2312"/>
          <w:sz w:val="32"/>
          <w:szCs w:val="32"/>
        </w:rPr>
        <w:t>一是认真贯彻执行省市人社部门制定的行政裁量权基准制度，执行本部门行政执法全过程记录、重大执法决定法制审核、行政执法公示制度。二是推行“双随机、一公开”监管方式，认真组织开展人社“双随机”抽查活动，及时公布抽查结果，增加执法透明度，自觉接受社会监督。三是加强行政执法人员监管，全面实行行政执法人员持证上岗制度，对不符合持证条件以及岗位调整后不再从事行政执法活动的持证人员进行清理，未经执法资格考试合格，不得授予执法资格，不得从事执法活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二、当前工作存在的问题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一年来，县人社局在法治政府建设方面虽然取得了一定的成绩，但在实际工作中仍存在一些不足：</w:t>
      </w:r>
    </w:p>
    <w:p>
      <w:pPr>
        <w:spacing w:line="600" w:lineRule="exact"/>
        <w:ind w:firstLine="640" w:firstLineChars="200"/>
        <w:rPr>
          <w:rFonts w:hint="eastAsia" w:ascii="仿宋_GB2312" w:hAnsi="Times New Roman" w:eastAsia="仿宋_GB2312" w:cs="Times New Roman"/>
          <w:color w:val="000000"/>
          <w:sz w:val="32"/>
          <w:szCs w:val="32"/>
          <w:lang w:eastAsia="zh-CN"/>
        </w:rPr>
      </w:pP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color w:val="000000"/>
          <w:sz w:val="32"/>
          <w:szCs w:val="32"/>
          <w:lang w:eastAsia="zh-CN"/>
        </w:rPr>
        <w:t>普法宣传力度不够。</w:t>
      </w:r>
      <w:r>
        <w:rPr>
          <w:rFonts w:hint="eastAsia" w:ascii="仿宋_GB2312" w:hAnsi="Times New Roman" w:eastAsia="仿宋_GB2312" w:cs="Times New Roman"/>
          <w:color w:val="000000"/>
          <w:sz w:val="32"/>
          <w:szCs w:val="32"/>
          <w:lang w:eastAsia="zh-CN"/>
        </w:rPr>
        <w:t>普法宣传教育宣传形式和手段不够丰富，法律法规宣传进基层、进企业等落实不够，利用新媒体开展普法宣传创新力度还需加强。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（二）执法力量和执法能力薄弱。</w:t>
      </w:r>
      <w:r>
        <w:rPr>
          <w:rFonts w:hint="eastAsia" w:ascii="仿宋_GB2312" w:hAnsi="仿宋_GB2312" w:eastAsia="仿宋_GB2312" w:cs="仿宋_GB2312"/>
          <w:sz w:val="32"/>
          <w:szCs w:val="32"/>
          <w:lang w:val="en-US" w:eastAsia="zh-CN"/>
        </w:rPr>
        <w:t>目前我单位仍然存在执法队伍身兼数职、专业人员少、执法力量分散薄弱的问题，执法力量无法满足工作需求，执法监管效果有待提升。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三、下一步工作谋划</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下一步</w:t>
      </w:r>
      <w:r>
        <w:rPr>
          <w:rFonts w:hint="eastAsia" w:ascii="仿宋_GB2312" w:hAnsi="仿宋_GB2312" w:eastAsia="仿宋_GB2312" w:cs="仿宋_GB2312"/>
          <w:sz w:val="32"/>
          <w:szCs w:val="32"/>
        </w:rPr>
        <w:t>，我局将按照</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政府的要求，紧紧围绕贯彻落实党的</w:t>
      </w:r>
      <w:r>
        <w:rPr>
          <w:rFonts w:hint="eastAsia" w:ascii="仿宋_GB2312" w:hAnsi="仿宋_GB2312" w:eastAsia="仿宋_GB2312" w:cs="仿宋_GB2312"/>
          <w:sz w:val="32"/>
          <w:szCs w:val="32"/>
          <w:lang w:eastAsia="zh-CN"/>
        </w:rPr>
        <w:t>二十大</w:t>
      </w:r>
      <w:r>
        <w:rPr>
          <w:rFonts w:hint="eastAsia" w:ascii="仿宋_GB2312" w:hAnsi="仿宋_GB2312" w:eastAsia="仿宋_GB2312" w:cs="仿宋_GB2312"/>
          <w:sz w:val="32"/>
          <w:szCs w:val="32"/>
        </w:rPr>
        <w:t>精神和关于法治政府建设要求，立足发挥法治保障作用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服务全</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发展，在继续做好学法培训、合法性审核、应诉案件办理等各项基础性工作的同时，重点做好以下工作：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napToGrid w:val="0"/>
          <w:kern w:val="0"/>
          <w:sz w:val="32"/>
          <w:szCs w:val="32"/>
          <w:lang w:val="en-US" w:eastAsia="zh-CN" w:bidi="ar-SA"/>
        </w:rPr>
        <w:t>（一）</w:t>
      </w:r>
      <w:r>
        <w:rPr>
          <w:rFonts w:hint="eastAsia" w:ascii="楷体_GB2312" w:hAnsi="楷体_GB2312" w:eastAsia="楷体_GB2312" w:cs="楷体_GB2312"/>
          <w:sz w:val="32"/>
          <w:szCs w:val="32"/>
          <w:lang w:val="en-US" w:eastAsia="zh-CN"/>
        </w:rPr>
        <w:t>强化执法监督检查力度。</w:t>
      </w:r>
      <w:r>
        <w:rPr>
          <w:rFonts w:hint="eastAsia" w:ascii="仿宋_GB2312" w:hAnsi="仿宋_GB2312" w:eastAsia="仿宋_GB2312" w:cs="仿宋_GB2312"/>
          <w:sz w:val="32"/>
          <w:szCs w:val="32"/>
          <w:lang w:val="en-US" w:eastAsia="zh-CN"/>
        </w:rPr>
        <w:t>继续加强人社系统执法案卷评查和专项监督检查，重点对各类执法行为的全过程记录情况、执法公示情况、重大执法决定法制审核情况等进行监督检查，提升执法案卷组卷水平，促进依法行政。同时，认真做好罚没许可证年检、执法证件申领、培训和年检工作，加强执法资格管理。</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600" w:lineRule="exact"/>
        <w:ind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（二）严格法制审核程序。</w:t>
      </w:r>
      <w:r>
        <w:rPr>
          <w:rFonts w:hint="eastAsia" w:ascii="仿宋_GB2312" w:eastAsia="仿宋_GB2312"/>
          <w:sz w:val="32"/>
          <w:szCs w:val="32"/>
        </w:rPr>
        <w:t>加强规范性文件管理，严格执行合法性审核、公平竞争审查制度，全面开展规范性文件清理工作并及时发布清理结果。充分发挥法律顾问在合法性审查、重大行政执法决定法制审核、代理行政复议诉讼案件、化解矛盾纠纷等方面的积极作用，提升依法科学决策水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napToGrid w:val="0"/>
          <w:kern w:val="0"/>
          <w:sz w:val="32"/>
          <w:szCs w:val="32"/>
          <w:lang w:val="en-US" w:eastAsia="zh-CN" w:bidi="ar-SA"/>
        </w:rPr>
        <w:t>（三）</w:t>
      </w:r>
      <w:r>
        <w:rPr>
          <w:rFonts w:hint="eastAsia" w:ascii="楷体_GB2312" w:hAnsi="楷体_GB2312" w:eastAsia="楷体_GB2312" w:cs="楷体_GB2312"/>
          <w:sz w:val="32"/>
          <w:szCs w:val="32"/>
          <w:lang w:val="en-US" w:eastAsia="zh-CN"/>
        </w:rPr>
        <w:t>加强法治培训宣传教育。</w:t>
      </w:r>
      <w:r>
        <w:rPr>
          <w:rFonts w:hint="eastAsia" w:ascii="仿宋_GB2312" w:eastAsia="仿宋_GB2312"/>
          <w:sz w:val="32"/>
          <w:szCs w:val="32"/>
        </w:rPr>
        <w:t>深入开展法治宣传教育，全面提升</w:t>
      </w:r>
      <w:r>
        <w:rPr>
          <w:rFonts w:hint="eastAsia" w:ascii="仿宋_GB2312" w:eastAsia="仿宋_GB2312"/>
          <w:sz w:val="32"/>
          <w:szCs w:val="32"/>
          <w:lang w:val="en-US" w:eastAsia="zh-CN"/>
        </w:rPr>
        <w:t>广大群众</w:t>
      </w:r>
      <w:r>
        <w:rPr>
          <w:rFonts w:hint="eastAsia" w:ascii="仿宋_GB2312" w:eastAsia="仿宋_GB2312"/>
          <w:sz w:val="32"/>
          <w:szCs w:val="32"/>
        </w:rPr>
        <w:t>学法懂法守法用法的能力和水平。</w:t>
      </w:r>
      <w:r>
        <w:rPr>
          <w:rFonts w:hint="eastAsia" w:ascii="仿宋_GB2312" w:eastAsia="仿宋_GB2312"/>
          <w:sz w:val="32"/>
          <w:szCs w:val="32"/>
          <w:lang w:val="en-US" w:eastAsia="zh-CN"/>
        </w:rPr>
        <w:t>深入</w:t>
      </w:r>
      <w:r>
        <w:rPr>
          <w:rFonts w:hint="eastAsia" w:ascii="仿宋_GB2312" w:eastAsia="仿宋_GB2312"/>
          <w:sz w:val="32"/>
          <w:szCs w:val="32"/>
        </w:rPr>
        <w:t>运用多种宣传手段和</w:t>
      </w:r>
      <w:r>
        <w:rPr>
          <w:rFonts w:hint="eastAsia" w:ascii="仿宋_GB2312" w:eastAsia="仿宋_GB2312"/>
          <w:sz w:val="32"/>
          <w:szCs w:val="32"/>
          <w:lang w:val="en-US" w:eastAsia="zh-CN"/>
        </w:rPr>
        <w:t>方式</w:t>
      </w:r>
      <w:r>
        <w:rPr>
          <w:rFonts w:hint="eastAsia" w:ascii="仿宋_GB2312" w:eastAsia="仿宋_GB2312"/>
          <w:sz w:val="32"/>
          <w:szCs w:val="32"/>
        </w:rPr>
        <w:t>，切实加大人社领域法律法规</w:t>
      </w:r>
      <w:r>
        <w:rPr>
          <w:rFonts w:hint="eastAsia" w:ascii="仿宋_GB2312" w:eastAsia="仿宋_GB2312"/>
          <w:sz w:val="32"/>
          <w:szCs w:val="32"/>
          <w:lang w:eastAsia="zh-CN"/>
        </w:rPr>
        <w:t>的</w:t>
      </w:r>
      <w:r>
        <w:rPr>
          <w:rFonts w:hint="eastAsia" w:ascii="仿宋_GB2312" w:eastAsia="仿宋_GB2312"/>
          <w:sz w:val="32"/>
          <w:szCs w:val="32"/>
        </w:rPr>
        <w:t>宣传力度。</w:t>
      </w:r>
      <w:r>
        <w:rPr>
          <w:rFonts w:hint="eastAsia" w:ascii="仿宋_GB2312" w:eastAsia="仿宋_GB2312"/>
          <w:sz w:val="32"/>
          <w:szCs w:val="32"/>
          <w:lang w:val="en-US" w:eastAsia="zh-CN"/>
        </w:rPr>
        <w:t>通过</w:t>
      </w:r>
      <w:r>
        <w:rPr>
          <w:rFonts w:hint="eastAsia" w:ascii="仿宋_GB2312" w:eastAsia="仿宋_GB2312"/>
          <w:sz w:val="32"/>
          <w:szCs w:val="32"/>
        </w:rPr>
        <w:t>举办政策宣传咨询活动以及</w:t>
      </w:r>
      <w:r>
        <w:rPr>
          <w:rFonts w:hint="eastAsia" w:ascii="仿宋_GB2312" w:eastAsia="仿宋_GB2312"/>
          <w:sz w:val="32"/>
          <w:szCs w:val="32"/>
          <w:lang w:val="en-US" w:eastAsia="zh-CN"/>
        </w:rPr>
        <w:t>网络公众号</w:t>
      </w:r>
      <w:r>
        <w:rPr>
          <w:rFonts w:hint="eastAsia" w:ascii="仿宋_GB2312" w:eastAsia="仿宋_GB2312"/>
          <w:sz w:val="32"/>
          <w:szCs w:val="32"/>
        </w:rPr>
        <w:t>法律</w:t>
      </w:r>
      <w:r>
        <w:rPr>
          <w:rFonts w:hint="eastAsia" w:ascii="仿宋_GB2312" w:eastAsia="仿宋_GB2312"/>
          <w:sz w:val="32"/>
          <w:szCs w:val="32"/>
          <w:lang w:val="en-US" w:eastAsia="zh-CN"/>
        </w:rPr>
        <w:t>讲堂等方式</w:t>
      </w:r>
      <w:r>
        <w:rPr>
          <w:rFonts w:hint="eastAsia" w:ascii="仿宋_GB2312" w:eastAsia="仿宋_GB2312"/>
          <w:sz w:val="32"/>
          <w:szCs w:val="32"/>
        </w:rPr>
        <w:t>，加大</w:t>
      </w:r>
      <w:r>
        <w:rPr>
          <w:rFonts w:hint="eastAsia" w:ascii="仿宋_GB2312" w:eastAsia="仿宋_GB2312"/>
          <w:sz w:val="32"/>
          <w:szCs w:val="32"/>
          <w:lang w:val="en-US" w:eastAsia="zh-CN"/>
        </w:rPr>
        <w:t>对</w:t>
      </w:r>
      <w:r>
        <w:rPr>
          <w:rFonts w:hint="eastAsia" w:ascii="仿宋_GB2312" w:eastAsia="仿宋_GB2312"/>
          <w:sz w:val="32"/>
          <w:szCs w:val="32"/>
        </w:rPr>
        <w:t>《</w:t>
      </w:r>
      <w:r>
        <w:rPr>
          <w:rFonts w:hint="eastAsia" w:ascii="仿宋_GB2312" w:eastAsia="仿宋_GB2312"/>
          <w:sz w:val="32"/>
          <w:szCs w:val="32"/>
          <w:lang w:val="en-US" w:eastAsia="zh-CN"/>
        </w:rPr>
        <w:t>劳动法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rPr>
        <w:t>《劳动合同法》等法律</w:t>
      </w:r>
      <w:r>
        <w:rPr>
          <w:rFonts w:hint="eastAsia" w:ascii="仿宋_GB2312" w:eastAsia="仿宋_GB2312"/>
          <w:sz w:val="32"/>
          <w:szCs w:val="32"/>
          <w:lang w:val="en-US" w:eastAsia="zh-CN"/>
        </w:rPr>
        <w:t>法规</w:t>
      </w:r>
      <w:r>
        <w:rPr>
          <w:rFonts w:hint="eastAsia" w:ascii="仿宋_GB2312" w:eastAsia="仿宋_GB2312"/>
          <w:sz w:val="32"/>
          <w:szCs w:val="32"/>
        </w:rPr>
        <w:t>的</w:t>
      </w:r>
      <w:r>
        <w:rPr>
          <w:rFonts w:hint="eastAsia" w:ascii="仿宋_GB2312" w:eastAsia="仿宋_GB2312"/>
          <w:sz w:val="32"/>
          <w:szCs w:val="32"/>
          <w:lang w:val="en-US" w:eastAsia="zh-CN"/>
        </w:rPr>
        <w:t>宣传力度</w:t>
      </w:r>
      <w:r>
        <w:rPr>
          <w:rFonts w:hint="eastAsia" w:ascii="仿宋_GB2312" w:eastAsia="仿宋_GB2312"/>
          <w:sz w:val="32"/>
          <w:szCs w:val="32"/>
        </w:rPr>
        <w:t>，指导用人单位规范劳动合同签订和用工管理，维护职工合法权益</w:t>
      </w:r>
      <w:r>
        <w:rPr>
          <w:rFonts w:hint="eastAsia" w:ascii="仿宋_GB2312" w:eastAsia="仿宋_GB2312"/>
          <w:sz w:val="32"/>
          <w:szCs w:val="32"/>
          <w:lang w:eastAsia="zh-CN"/>
        </w:rPr>
        <w:t>。</w:t>
      </w:r>
      <w:r>
        <w:rPr>
          <w:rFonts w:hint="eastAsia" w:ascii="仿宋_GB2312" w:eastAsia="仿宋_GB2312"/>
          <w:sz w:val="32"/>
          <w:szCs w:val="32"/>
          <w:lang w:val="en-US" w:eastAsia="zh-CN"/>
        </w:rPr>
        <w:t>同时，认真</w:t>
      </w:r>
      <w:r>
        <w:rPr>
          <w:rFonts w:hint="eastAsia" w:ascii="仿宋_GB2312" w:hAnsi="仿宋_GB2312" w:eastAsia="仿宋_GB2312" w:cs="仿宋_GB2312"/>
          <w:sz w:val="32"/>
          <w:szCs w:val="32"/>
          <w:lang w:val="en-US" w:eastAsia="zh-CN"/>
        </w:rPr>
        <w:t>落实“谁执法谁普法”责任制，在实践中营造办事依法、遇事找法、解决问题用法、化解矛盾靠法的良好氛围，为人力资源社会保障事业发展创造有利的法治环境。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225" w:beforeAutospacing="0" w:after="0" w:afterAutospacing="0" w:line="600" w:lineRule="atLeast"/>
        <w:ind w:left="0" w:right="0" w:firstLine="640" w:firstLineChars="200"/>
        <w:rPr>
          <w:rFonts w:hint="eastAsia" w:ascii="仿宋_GB2312" w:eastAsia="仿宋_GB2312"/>
          <w:sz w:val="32"/>
          <w:szCs w:val="32"/>
          <w:lang w:eastAsia="zh-CN"/>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600" w:lineRule="exact"/>
        <w:ind w:right="0" w:rightChars="0"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2023年3月16日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D7833D"/>
    <w:multiLevelType w:val="singleLevel"/>
    <w:tmpl w:val="22D7833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xNzk2NTI4ZmZlOTJkOTQ2ODc5OWY2ZTYyNmQ4ZDMifQ=="/>
  </w:docVars>
  <w:rsids>
    <w:rsidRoot w:val="0B1D01F0"/>
    <w:rsid w:val="00100A84"/>
    <w:rsid w:val="06774AA1"/>
    <w:rsid w:val="08F002F5"/>
    <w:rsid w:val="0B1D01F0"/>
    <w:rsid w:val="0B5659BE"/>
    <w:rsid w:val="0BFF3772"/>
    <w:rsid w:val="0E7C36A7"/>
    <w:rsid w:val="1487714C"/>
    <w:rsid w:val="16A82624"/>
    <w:rsid w:val="1A740593"/>
    <w:rsid w:val="1FB73EE2"/>
    <w:rsid w:val="220946BA"/>
    <w:rsid w:val="238D6950"/>
    <w:rsid w:val="25207D8A"/>
    <w:rsid w:val="265A6C12"/>
    <w:rsid w:val="2B3F53AE"/>
    <w:rsid w:val="31E60354"/>
    <w:rsid w:val="38864C15"/>
    <w:rsid w:val="39EF01F1"/>
    <w:rsid w:val="39F801E3"/>
    <w:rsid w:val="3F3567A2"/>
    <w:rsid w:val="4A7D0ADA"/>
    <w:rsid w:val="4AFA38B1"/>
    <w:rsid w:val="4BC3421C"/>
    <w:rsid w:val="4DD327C8"/>
    <w:rsid w:val="5AD568E7"/>
    <w:rsid w:val="736815F8"/>
    <w:rsid w:val="736F5E76"/>
    <w:rsid w:val="7BBC029F"/>
    <w:rsid w:val="7C25016C"/>
    <w:rsid w:val="7C2F34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napToGrid w:val="0"/>
      <w:kern w:val="0"/>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rPr>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2022-03-17T02:26:00Z</dcterms:created>
  <dc:creator>劳动股</dc:creator>
  <cp:lastModifiedBy>Administrator</cp:lastModifiedBy>
  <dcterms:modified xsi:type="dcterms:W3CDTF">2024-01-10T08:00:41Z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FF5755BB8E7240DDB3E89FDBE61E94FF_12</vt:lpwstr>
  </property>
</Properties>
</file>