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5F5F5"/>
        <w:spacing w:before="0" w:beforeAutospacing="0" w:after="0" w:afterAutospacing="0"/>
        <w:ind w:left="0" w:right="0"/>
        <w:jc w:val="center"/>
        <w:rPr>
          <w:rFonts w:ascii="微软雅黑" w:hAnsi="微软雅黑" w:eastAsia="微软雅黑" w:cs="微软雅黑"/>
          <w:color w:val="333333"/>
          <w:sz w:val="18"/>
          <w:szCs w:val="18"/>
        </w:rPr>
      </w:pPr>
      <w:r>
        <w:rPr>
          <w:rStyle w:val="5"/>
          <w:rFonts w:hint="eastAsia" w:ascii="微软雅黑" w:hAnsi="微软雅黑" w:eastAsia="微软雅黑" w:cs="微软雅黑"/>
          <w:color w:val="333333"/>
          <w:kern w:val="0"/>
          <w:sz w:val="36"/>
          <w:szCs w:val="36"/>
          <w:bdr w:val="none" w:color="auto" w:sz="0" w:space="0"/>
          <w:shd w:val="clear" w:fill="F5F5F5"/>
          <w:lang w:val="en-US" w:eastAsia="zh-CN" w:bidi="ar"/>
        </w:rPr>
        <w:t>关于印发《关于促进砂石行业</w:t>
      </w:r>
      <w:r>
        <w:rPr>
          <w:rFonts w:hint="eastAsia" w:ascii="微软雅黑" w:hAnsi="微软雅黑" w:eastAsia="微软雅黑" w:cs="微软雅黑"/>
          <w:color w:val="333333"/>
          <w:kern w:val="0"/>
          <w:sz w:val="36"/>
          <w:szCs w:val="36"/>
          <w:bdr w:val="none" w:color="auto" w:sz="0" w:space="0"/>
          <w:shd w:val="clear" w:fill="F5F5F5"/>
          <w:lang w:val="en-US" w:eastAsia="zh-CN" w:bidi="ar"/>
        </w:rPr>
        <w:t xml:space="preserve">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5F5F5"/>
        <w:spacing w:before="0" w:beforeAutospacing="0" w:after="0" w:afterAutospacing="0"/>
        <w:ind w:left="0" w:right="0"/>
        <w:jc w:val="center"/>
        <w:rPr>
          <w:rFonts w:hint="eastAsia" w:ascii="微软雅黑" w:hAnsi="微软雅黑" w:eastAsia="微软雅黑" w:cs="微软雅黑"/>
          <w:color w:val="333333"/>
          <w:sz w:val="18"/>
          <w:szCs w:val="18"/>
        </w:rPr>
      </w:pPr>
      <w:r>
        <w:rPr>
          <w:rStyle w:val="5"/>
          <w:rFonts w:hint="eastAsia" w:ascii="微软雅黑" w:hAnsi="微软雅黑" w:eastAsia="微软雅黑" w:cs="微软雅黑"/>
          <w:color w:val="333333"/>
          <w:kern w:val="0"/>
          <w:sz w:val="36"/>
          <w:szCs w:val="36"/>
          <w:bdr w:val="none" w:color="auto" w:sz="0" w:space="0"/>
          <w:shd w:val="clear" w:fill="F5F5F5"/>
          <w:lang w:val="en-US" w:eastAsia="zh-CN" w:bidi="ar"/>
        </w:rPr>
        <w:t>健康有序发展的指导意见》的通知</w:t>
      </w:r>
    </w:p>
    <w:p>
      <w:pPr>
        <w:pStyle w:val="2"/>
        <w:keepNext w:val="0"/>
        <w:keepLines w:val="0"/>
        <w:widowControl/>
        <w:suppressLineNumbers w:val="0"/>
        <w:spacing w:before="0" w:beforeAutospacing="0" w:after="0" w:afterAutospacing="0"/>
        <w:ind w:left="0" w:right="0"/>
        <w:jc w:val="center"/>
      </w:pPr>
      <w:r>
        <w:rPr>
          <w:rFonts w:hint="eastAsia" w:ascii="微软雅黑" w:hAnsi="微软雅黑" w:eastAsia="微软雅黑" w:cs="微软雅黑"/>
          <w:color w:val="333333"/>
          <w:sz w:val="18"/>
          <w:szCs w:val="18"/>
          <w:shd w:val="clear" w:fill="F5F5F5"/>
        </w:rPr>
        <w:t> </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发改价格〔2020〕473号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5F5F5"/>
        <w:spacing w:before="0" w:beforeAutospacing="0" w:after="180" w:afterAutospacing="0"/>
        <w:ind w:left="0" w:right="0"/>
        <w:jc w:val="left"/>
        <w:rPr>
          <w:rFonts w:hint="eastAsia" w:ascii="微软雅黑" w:hAnsi="微软雅黑" w:eastAsia="微软雅黑" w:cs="微软雅黑"/>
          <w:color w:val="333333"/>
          <w:sz w:val="32"/>
          <w:szCs w:val="32"/>
        </w:rPr>
      </w:pPr>
      <w:r>
        <w:rPr>
          <w:rFonts w:hint="eastAsia" w:ascii="微软雅黑" w:hAnsi="微软雅黑" w:eastAsia="微软雅黑" w:cs="微软雅黑"/>
          <w:color w:val="333333"/>
          <w:kern w:val="0"/>
          <w:sz w:val="32"/>
          <w:szCs w:val="32"/>
          <w:bdr w:val="none" w:color="auto" w:sz="0" w:space="0"/>
          <w:shd w:val="clear" w:fill="F5F5F5"/>
          <w:lang w:val="en-US" w:eastAsia="zh-CN" w:bidi="ar"/>
        </w:rPr>
        <w:br w:type="textWrapping"/>
      </w:r>
      <w:r>
        <w:rPr>
          <w:rFonts w:hint="eastAsia" w:ascii="微软雅黑" w:hAnsi="微软雅黑" w:eastAsia="微软雅黑" w:cs="微软雅黑"/>
          <w:color w:val="333333"/>
          <w:kern w:val="0"/>
          <w:sz w:val="32"/>
          <w:szCs w:val="32"/>
          <w:bdr w:val="none" w:color="auto" w:sz="0" w:space="0"/>
          <w:shd w:val="clear" w:fill="F5F5F5"/>
          <w:lang w:val="en-US" w:eastAsia="zh-CN" w:bidi="ar"/>
        </w:rPr>
        <w:t>各省、自治区、直辖市及计划单列市人民政府，新疆生产建设兵团：</w:t>
      </w:r>
      <w:r>
        <w:rPr>
          <w:rFonts w:hint="eastAsia" w:ascii="微软雅黑" w:hAnsi="微软雅黑" w:eastAsia="微软雅黑" w:cs="微软雅黑"/>
          <w:color w:val="333333"/>
          <w:kern w:val="0"/>
          <w:sz w:val="32"/>
          <w:szCs w:val="32"/>
          <w:bdr w:val="none" w:color="auto" w:sz="0" w:space="0"/>
          <w:shd w:val="clear" w:fill="F5F5F5"/>
          <w:lang w:val="en-US" w:eastAsia="zh-CN" w:bidi="ar"/>
        </w:rPr>
        <w:br w:type="textWrapping"/>
      </w:r>
      <w:r>
        <w:rPr>
          <w:rFonts w:hint="eastAsia" w:ascii="微软雅黑" w:hAnsi="微软雅黑" w:eastAsia="微软雅黑" w:cs="微软雅黑"/>
          <w:color w:val="333333"/>
          <w:kern w:val="0"/>
          <w:sz w:val="32"/>
          <w:szCs w:val="32"/>
          <w:bdr w:val="none" w:color="auto" w:sz="0" w:space="0"/>
          <w:shd w:val="clear" w:fill="F5F5F5"/>
          <w:lang w:val="en-US" w:eastAsia="zh-CN" w:bidi="ar"/>
        </w:rPr>
        <w:t>  为稳定砂石市场供应、保持价格总体平稳、促进行业健康有序发展，经国务院同意，现将《关于促进砂石行业健康有序发展的指导意见》印发你们，请认真组织落实。</w:t>
      </w:r>
      <w:r>
        <w:rPr>
          <w:rFonts w:hint="eastAsia" w:ascii="微软雅黑" w:hAnsi="微软雅黑" w:eastAsia="微软雅黑" w:cs="微软雅黑"/>
          <w:color w:val="333333"/>
          <w:kern w:val="0"/>
          <w:sz w:val="32"/>
          <w:szCs w:val="32"/>
          <w:bdr w:val="none" w:color="auto" w:sz="0" w:space="0"/>
          <w:shd w:val="clear" w:fill="F5F5F5"/>
          <w:lang w:val="en-US" w:eastAsia="zh-CN" w:bidi="ar"/>
        </w:rPr>
        <w:br w:type="textWrapping"/>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国家发展改革委</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工业和信息化部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公   安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财    政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自 然 资 源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生 态 环 境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住房城乡建设部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交 通 运 输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水   利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商    务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应 急 管 理 部</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市场监管总局</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国 家 统 计 局</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中 国 海 警 局</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rPr>
        <w:t>中国国家铁路集团有限公司</w:t>
      </w:r>
    </w:p>
    <w:p>
      <w:pPr>
        <w:pStyle w:val="2"/>
        <w:keepNext w:val="0"/>
        <w:keepLines w:val="0"/>
        <w:widowControl/>
        <w:suppressLineNumbers w:val="0"/>
        <w:spacing w:before="0" w:beforeAutospacing="0" w:after="0" w:afterAutospacing="0"/>
        <w:ind w:left="0" w:right="0"/>
        <w:jc w:val="center"/>
        <w:rPr>
          <w:sz w:val="32"/>
          <w:szCs w:val="32"/>
        </w:rPr>
      </w:pPr>
      <w:r>
        <w:rPr>
          <w:rFonts w:hint="eastAsia" w:ascii="微软雅黑" w:hAnsi="微软雅黑" w:eastAsia="微软雅黑" w:cs="微软雅黑"/>
          <w:color w:val="333333"/>
          <w:sz w:val="32"/>
          <w:szCs w:val="32"/>
          <w:bdr w:val="none" w:color="auto" w:sz="0" w:space="0"/>
          <w:shd w:val="clear" w:fill="F5F5F5"/>
          <w:lang w:val="en-US" w:eastAsia="zh-CN"/>
        </w:rPr>
        <w:t xml:space="preserve">                                    </w:t>
      </w:r>
      <w:r>
        <w:rPr>
          <w:rFonts w:hint="eastAsia" w:ascii="微软雅黑" w:hAnsi="微软雅黑" w:eastAsia="微软雅黑" w:cs="微软雅黑"/>
          <w:color w:val="333333"/>
          <w:sz w:val="32"/>
          <w:szCs w:val="32"/>
          <w:bdr w:val="none" w:color="auto" w:sz="0" w:space="0"/>
          <w:shd w:val="clear" w:fill="F5F5F5"/>
        </w:rPr>
        <w:t>2020年3月25日</w:t>
      </w:r>
    </w:p>
    <w:p>
      <w:pPr>
        <w:keepNext w:val="0"/>
        <w:keepLines w:val="0"/>
        <w:widowControl/>
        <w:suppressLineNumbers w:val="0"/>
        <w:jc w:val="center"/>
        <w:rPr>
          <w:rFonts w:ascii="FZXiaoBiaoSong-B05" w:hAnsi="FZXiaoBiaoSong-B05" w:eastAsia="FZXiaoBiaoSong-B05" w:cs="FZXiaoBiaoSong-B05"/>
          <w:color w:val="000000"/>
          <w:kern w:val="0"/>
          <w:sz w:val="40"/>
          <w:szCs w:val="40"/>
          <w:lang w:val="en-US" w:eastAsia="zh-CN" w:bidi="ar"/>
        </w:rPr>
      </w:pPr>
    </w:p>
    <w:p>
      <w:pPr>
        <w:keepNext w:val="0"/>
        <w:keepLines w:val="0"/>
        <w:widowControl/>
        <w:suppressLineNumbers w:val="0"/>
        <w:jc w:val="left"/>
        <w:rPr>
          <w:rFonts w:hint="eastAsia" w:ascii="FZXiaoBiaoSong-B05" w:hAnsi="FZXiaoBiaoSong-B05" w:eastAsia="FZXiaoBiaoSong-B05" w:cs="FZXiaoBiaoSong-B05"/>
          <w:color w:val="000000"/>
          <w:kern w:val="0"/>
          <w:sz w:val="32"/>
          <w:szCs w:val="32"/>
          <w:lang w:val="en-US" w:eastAsia="zh-CN" w:bidi="ar"/>
        </w:rPr>
      </w:pPr>
      <w:r>
        <w:rPr>
          <w:rFonts w:hint="eastAsia" w:ascii="FZXiaoBiaoSong-B05" w:hAnsi="FZXiaoBiaoSong-B05" w:eastAsia="FZXiaoBiaoSong-B05" w:cs="FZXiaoBiaoSong-B05"/>
          <w:color w:val="000000"/>
          <w:kern w:val="0"/>
          <w:sz w:val="32"/>
          <w:szCs w:val="32"/>
          <w:lang w:val="en-US" w:eastAsia="zh-CN" w:bidi="ar"/>
        </w:rPr>
        <w:t>附件：《</w:t>
      </w:r>
      <w:r>
        <w:rPr>
          <w:rFonts w:ascii="FZXiaoBiaoSong-B05" w:hAnsi="FZXiaoBiaoSong-B05" w:eastAsia="FZXiaoBiaoSong-B05" w:cs="FZXiaoBiaoSong-B05"/>
          <w:color w:val="000000"/>
          <w:kern w:val="0"/>
          <w:sz w:val="32"/>
          <w:szCs w:val="32"/>
          <w:lang w:val="en-US" w:eastAsia="zh-CN" w:bidi="ar"/>
        </w:rPr>
        <w:t>关于促进砂石行业健康有序发展的指导意见</w:t>
      </w:r>
      <w:r>
        <w:rPr>
          <w:rFonts w:hint="eastAsia" w:ascii="FZXiaoBiaoSong-B05" w:hAnsi="FZXiaoBiaoSong-B05" w:eastAsia="FZXiaoBiaoSong-B05" w:cs="FZXiaoBiaoSong-B05"/>
          <w:color w:val="000000"/>
          <w:kern w:val="0"/>
          <w:sz w:val="32"/>
          <w:szCs w:val="32"/>
          <w:lang w:val="en-US" w:eastAsia="zh-CN" w:bidi="ar"/>
        </w:rPr>
        <w:t>》</w:t>
      </w:r>
    </w:p>
    <w:p>
      <w:pPr>
        <w:keepNext w:val="0"/>
        <w:keepLines w:val="0"/>
        <w:widowControl/>
        <w:suppressLineNumbers w:val="0"/>
        <w:jc w:val="left"/>
        <w:rPr>
          <w:rFonts w:hint="eastAsia" w:ascii="FZXiaoBiaoSong-B05" w:hAnsi="FZXiaoBiaoSong-B05" w:eastAsia="FZXiaoBiaoSong-B05" w:cs="FZXiaoBiaoSong-B05"/>
          <w:color w:val="000000"/>
          <w:kern w:val="0"/>
          <w:sz w:val="32"/>
          <w:szCs w:val="32"/>
          <w:lang w:val="en-US" w:eastAsia="zh-CN" w:bidi="ar"/>
        </w:rPr>
      </w:pPr>
    </w:p>
    <w:p>
      <w:pPr>
        <w:keepNext w:val="0"/>
        <w:keepLines w:val="0"/>
        <w:widowControl/>
        <w:suppressLineNumbers w:val="0"/>
        <w:jc w:val="center"/>
        <w:rPr>
          <w:rFonts w:hint="eastAsia" w:asciiTheme="majorEastAsia" w:hAnsiTheme="majorEastAsia" w:eastAsiaTheme="majorEastAsia" w:cstheme="majorEastAsia"/>
          <w:color w:val="000000"/>
          <w:kern w:val="0"/>
          <w:sz w:val="36"/>
          <w:szCs w:val="36"/>
          <w:lang w:val="en-US" w:eastAsia="zh-CN" w:bidi="ar"/>
        </w:rPr>
      </w:pPr>
      <w:r>
        <w:rPr>
          <w:rFonts w:hint="eastAsia" w:asciiTheme="majorEastAsia" w:hAnsiTheme="majorEastAsia" w:eastAsiaTheme="majorEastAsia" w:cstheme="majorEastAsia"/>
          <w:color w:val="000000"/>
          <w:kern w:val="0"/>
          <w:sz w:val="36"/>
          <w:szCs w:val="36"/>
          <w:lang w:val="en-US" w:eastAsia="zh-CN" w:bidi="ar"/>
        </w:rPr>
        <w:t>关于促进砂石行业健康有序发展的指导意见</w:t>
      </w:r>
    </w:p>
    <w:p>
      <w:pPr>
        <w:keepNext w:val="0"/>
        <w:keepLines w:val="0"/>
        <w:widowControl/>
        <w:suppressLineNumbers w:val="0"/>
        <w:jc w:val="left"/>
        <w:rPr>
          <w:rFonts w:hint="eastAsia" w:ascii="仿宋" w:hAnsi="仿宋" w:eastAsia="仿宋" w:cs="仿宋"/>
        </w:rPr>
      </w:pPr>
      <w:r>
        <w:rPr>
          <w:rFonts w:ascii="FZXiaoBiaoSong-B05" w:hAnsi="FZXiaoBiaoSong-B05" w:eastAsia="FZXiaoBiaoSong-B05" w:cs="FZXiaoBiaoSong-B05"/>
          <w:color w:val="000000"/>
          <w:kern w:val="0"/>
          <w:sz w:val="32"/>
          <w:szCs w:val="32"/>
          <w:lang w:val="en-US" w:eastAsia="zh-CN" w:bidi="ar"/>
        </w:rPr>
        <w:t xml:space="preserve"> </w:t>
      </w:r>
      <w:r>
        <w:rPr>
          <w:rFonts w:hint="eastAsia" w:ascii="FZXiaoBiaoSong-B05" w:hAnsi="FZXiaoBiaoSong-B05" w:eastAsia="FZXiaoBiaoSong-B05" w:cs="FZXiaoBiaoSong-B05"/>
          <w:color w:val="000000"/>
          <w:kern w:val="0"/>
          <w:sz w:val="32"/>
          <w:szCs w:val="32"/>
          <w:lang w:val="en-US" w:eastAsia="zh-CN" w:bidi="ar"/>
        </w:rPr>
        <w:t xml:space="preserve"> </w:t>
      </w:r>
      <w:r>
        <w:rPr>
          <w:rFonts w:hint="eastAsia" w:ascii="仿宋" w:hAnsi="仿宋" w:eastAsia="仿宋" w:cs="仿宋"/>
          <w:color w:val="000000"/>
          <w:kern w:val="0"/>
          <w:sz w:val="32"/>
          <w:szCs w:val="32"/>
          <w:lang w:val="en-US" w:eastAsia="zh-CN" w:bidi="ar"/>
        </w:rPr>
        <w:t xml:space="preserve">  </w:t>
      </w:r>
      <w:r>
        <w:rPr>
          <w:rFonts w:hint="eastAsia" w:ascii="仿宋" w:hAnsi="仿宋" w:eastAsia="仿宋" w:cs="仿宋"/>
          <w:color w:val="000000"/>
          <w:kern w:val="0"/>
          <w:sz w:val="30"/>
          <w:szCs w:val="30"/>
          <w:lang w:val="en-US" w:eastAsia="zh-CN" w:bidi="ar"/>
        </w:rPr>
        <w:t xml:space="preserve">砂石是工程建设中最基本且不可或缺的建筑材料。长期以来，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砂石主要由区域市场就近供应，总体处于供求平衡状态，价格保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持基本稳定。经过多年大规模开采，天然砂石资源逐渐减少，近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年来国内主要江河来沙量大幅下降，加之一些地方对砂石基础性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重要性认识不足，行业整治工作简单粗放，没有统筹好“堵后门”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和“开前门”的关系，企业数量产量明显减少，造成区域性供需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短期失衡，价格大幅上涨，低质砂石进入市场，增加基建投资和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重大项目建设成本的同时，影响工程建设进度并带来质量安全隐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患，亟需采取措施妥善解决。为稳定砂石市场供应、保持价格总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体平稳、促进行业健康有序发展，经国务院同意，现提出以下意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见。</w:t>
      </w:r>
      <w:bookmarkStart w:id="0" w:name="_GoBack"/>
      <w:bookmarkEnd w:id="0"/>
    </w:p>
    <w:p>
      <w:pPr>
        <w:keepNext w:val="0"/>
        <w:keepLines w:val="0"/>
        <w:widowControl/>
        <w:suppressLineNumbers w:val="0"/>
        <w:jc w:val="left"/>
        <w:rPr>
          <w:rFonts w:hint="eastAsia" w:ascii="黑体" w:hAnsi="黑体" w:eastAsia="黑体" w:cs="黑体"/>
        </w:rPr>
      </w:pPr>
      <w:r>
        <w:rPr>
          <w:rFonts w:hint="eastAsia" w:ascii="黑体" w:hAnsi="黑体" w:eastAsia="黑体" w:cs="黑体"/>
          <w:color w:val="000000"/>
          <w:kern w:val="0"/>
          <w:sz w:val="30"/>
          <w:szCs w:val="30"/>
          <w:lang w:val="en-US" w:eastAsia="zh-CN" w:bidi="ar"/>
        </w:rPr>
        <w:t xml:space="preserve">一、总体要求 </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以习近平新时代中国特色社会主义思想为指导，按照党中央、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国务院决策部署，牢固树立和坚决践行新发展理念，充分发挥市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场在资源配置中的决定性作用，更好发挥政府作用，切实落实地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方政府主体责任，坚持先立后破，加快“开前门”和坚决“堵后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门”并重，综合施策、多措并举，合理控制河湖砂开采，逐步提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升机制砂石等替代砂源利用比例，优化产销布局，加快构建区域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供需平衡、价格合理、绿色环保、优质高效的砂石产业体系，为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基础设施投资建设和经济平稳运行提供有力支撑。 </w:t>
      </w:r>
    </w:p>
    <w:p>
      <w:pPr>
        <w:keepNext w:val="0"/>
        <w:keepLines w:val="0"/>
        <w:widowControl/>
        <w:suppressLineNumbers w:val="0"/>
        <w:jc w:val="left"/>
        <w:rPr>
          <w:rFonts w:hint="eastAsia" w:ascii="黑体" w:hAnsi="黑体" w:eastAsia="黑体" w:cs="黑体"/>
        </w:rPr>
      </w:pPr>
      <w:r>
        <w:rPr>
          <w:rFonts w:hint="eastAsia" w:ascii="黑体" w:hAnsi="黑体" w:eastAsia="黑体" w:cs="黑体"/>
          <w:color w:val="000000"/>
          <w:kern w:val="0"/>
          <w:sz w:val="30"/>
          <w:szCs w:val="30"/>
          <w:lang w:val="en-US" w:eastAsia="zh-CN" w:bidi="ar"/>
        </w:rPr>
        <w:t xml:space="preserve">二、推动机制砂石产业高质量发展 </w:t>
      </w:r>
    </w:p>
    <w:p>
      <w:pPr>
        <w:keepNext w:val="0"/>
        <w:keepLines w:val="0"/>
        <w:widowControl/>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（一）大力发展和推广应用机制砂石</w:t>
      </w:r>
      <w:r>
        <w:rPr>
          <w:rFonts w:hint="eastAsia" w:ascii="仿宋" w:hAnsi="仿宋" w:eastAsia="仿宋" w:cs="仿宋"/>
          <w:color w:val="000000"/>
          <w:kern w:val="0"/>
          <w:sz w:val="30"/>
          <w:szCs w:val="30"/>
          <w:lang w:val="en-US" w:eastAsia="zh-CN" w:bidi="ar"/>
        </w:rPr>
        <w:t>。</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加快落实《关于推进机制砂石行业高质量发展的若干意见》（工信部联原〔2019〕239号），统筹考虑各类砂石资源整体发展趋势，逐步过渡到依靠机制砂石满足建设需要为主，在规划布局、工艺装备、产品质量、污染防治、综合利用、安全生产等方面加强联动，加快推动机制砂石产业转型升级。（各省级人民政府，工业和信息化部、发展改革委、自然资源部、生态环境部、住房城乡建设部、交通运输部、水利部、应急部、市场监管总局，中国国家铁路集团有限公司）强化上下游衔接，加快建立并逐步完善机制砂石产品及应用标准规范体系，不断提高优质和专用产品应用比例。（工业和信息化部、住房城乡建设部、交通运输部、水利部、市场监管总局，中国国家铁路集团有限公司） </w:t>
      </w:r>
    </w:p>
    <w:p>
      <w:pPr>
        <w:keepNext w:val="0"/>
        <w:keepLines w:val="0"/>
        <w:widowControl/>
        <w:numPr>
          <w:ilvl w:val="0"/>
          <w:numId w:val="1"/>
        </w:numPr>
        <w:suppressLineNumbers w:val="0"/>
        <w:ind w:left="210" w:leftChars="0" w:firstLineChars="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优化机制砂石开发布局。</w:t>
      </w:r>
    </w:p>
    <w:p>
      <w:pPr>
        <w:keepNext w:val="0"/>
        <w:keepLines w:val="0"/>
        <w:widowControl/>
        <w:numPr>
          <w:numId w:val="0"/>
        </w:numPr>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统筹资源禀赋、经济运输半径、区域供需平衡等因素，积极有序投放砂石采矿权，支持京津冀及周边、长三角等重点区域投放大型砂石采矿权。在引导中小砂石企业合规生产的同时，通过市场化办法实现砂石矿山资源集约化、规模化开采，建设绿色矿山。（各省级人民政府，自然资源部、发展改革委、工业和信息化部、住房城乡建设部、交通运输部、水利部，中国国家铁路集团有限公司）加强资源富集地区和需求量大地区的衔接，沿主要运输通道布局一批千万吨级大型机制砂石生产基地，加强对重点地区的供应保障。引导联合重组，促进产业集聚，建设生产基地与加工集散中心，改进装卸料方式，减少倒装，有效改变“小、散、乱”局面。（各省级人民政府，工业和信息化部、发展改革委、自然资源部、交通运输部，中国国家铁路集团有限公司） </w:t>
      </w:r>
    </w:p>
    <w:p>
      <w:pPr>
        <w:keepNext w:val="0"/>
        <w:keepLines w:val="0"/>
        <w:widowControl/>
        <w:numPr>
          <w:ilvl w:val="0"/>
          <w:numId w:val="1"/>
        </w:numPr>
        <w:suppressLineNumbers w:val="0"/>
        <w:ind w:left="210" w:leftChars="0" w:firstLine="0" w:firstLineChars="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加快形成机制砂石优质产能</w:t>
      </w:r>
      <w:r>
        <w:rPr>
          <w:rFonts w:hint="eastAsia" w:ascii="仿宋" w:hAnsi="仿宋" w:eastAsia="仿宋" w:cs="仿宋"/>
          <w:color w:val="000000"/>
          <w:kern w:val="0"/>
          <w:sz w:val="30"/>
          <w:szCs w:val="30"/>
          <w:lang w:val="en-US" w:eastAsia="zh-CN" w:bidi="ar"/>
        </w:rPr>
        <w:t>。</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加强土地、矿山、物流等要素保障，加快项目手续办理。引导各类资金支持骨干项目建设，推动大型在建、拟建机制砂石项目尽快投产达产，增加优质砂石供给能力。（各省级人民政府，工业和信息化部、发展改革委、自然资源部、生态环境部、交通运输部，中国国家铁路集团有限公司）对符合条件的已设砂石采矿权，支持和引导地方依法予以延续登记，并推动尽快恢复正常生产。鼓励暂未达到相关要求的厂矿进行升级改造，完善必要设施设备，具备条件的尽快复工复产。（各省级人民政府，自然资源部、生态环境部、水利部、应急部）</w:t>
      </w:r>
    </w:p>
    <w:p>
      <w:pPr>
        <w:keepNext w:val="0"/>
        <w:keepLines w:val="0"/>
        <w:widowControl/>
        <w:numPr>
          <w:ilvl w:val="0"/>
          <w:numId w:val="1"/>
        </w:numPr>
        <w:suppressLineNumbers w:val="0"/>
        <w:ind w:left="210" w:leftChars="0" w:firstLine="0" w:firstLineChars="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降低运输成本</w:t>
      </w:r>
      <w:r>
        <w:rPr>
          <w:rFonts w:hint="eastAsia" w:ascii="仿宋" w:hAnsi="仿宋" w:eastAsia="仿宋" w:cs="仿宋"/>
          <w:color w:val="000000"/>
          <w:kern w:val="0"/>
          <w:sz w:val="30"/>
          <w:szCs w:val="30"/>
          <w:lang w:val="en-US" w:eastAsia="zh-CN" w:bidi="ar"/>
        </w:rPr>
        <w:t>。</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推进砂石中长距离运输“公转铁、公转水”，减少公路运输量，增加铁路运输量，完善内河水运网络和港口集疏运体系建设，加强不同运输方式间的有效衔接。推进铁路专用线建设，对年运量 150 万吨以上的机制砂石企业，应按规定建设铁路专用线。（各省级人民政府，交通运输部，中国国家铁路集团有限公司） </w:t>
      </w:r>
    </w:p>
    <w:p>
      <w:pPr>
        <w:keepNext w:val="0"/>
        <w:keepLines w:val="0"/>
        <w:widowControl/>
        <w:suppressLineNumbers w:val="0"/>
        <w:jc w:val="left"/>
        <w:rPr>
          <w:rFonts w:hint="eastAsia" w:ascii="黑体" w:hAnsi="黑体" w:eastAsia="黑体" w:cs="黑体"/>
        </w:rPr>
      </w:pPr>
      <w:r>
        <w:rPr>
          <w:rFonts w:hint="eastAsia" w:ascii="黑体" w:hAnsi="黑体" w:eastAsia="黑体" w:cs="黑体"/>
          <w:color w:val="000000"/>
          <w:kern w:val="0"/>
          <w:sz w:val="30"/>
          <w:szCs w:val="30"/>
          <w:lang w:val="en-US" w:eastAsia="zh-CN" w:bidi="ar"/>
        </w:rPr>
        <w:t xml:space="preserve">三、加强河道采砂综合整治与利用 </w:t>
      </w:r>
    </w:p>
    <w:p>
      <w:pPr>
        <w:keepNext w:val="0"/>
        <w:keepLines w:val="0"/>
        <w:widowControl/>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（五）加强非法采砂综合治理</w:t>
      </w:r>
      <w:r>
        <w:rPr>
          <w:rFonts w:hint="eastAsia" w:ascii="仿宋" w:hAnsi="仿宋" w:eastAsia="仿宋" w:cs="仿宋"/>
          <w:color w:val="000000"/>
          <w:kern w:val="0"/>
          <w:sz w:val="30"/>
          <w:szCs w:val="30"/>
          <w:lang w:val="en-US" w:eastAsia="zh-CN" w:bidi="ar"/>
        </w:rPr>
        <w:t>。</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加强砂石行业全环节、全流程监管，及早发现问题隐患，完善管理制度规范。对无证采砂、不按许可要求采砂等非法采砂行为，保持高压态势，强化行刑衔接，加大打击力度。严格管控长江中下游采砂活动，严防河道非法采砂反弹，维护长江采砂秩序，确保长江健康。（各省级人民政府，水利部、公安部、生态环境部、交通运输部） </w:t>
      </w:r>
    </w:p>
    <w:p>
      <w:pPr>
        <w:keepNext w:val="0"/>
        <w:keepLines w:val="0"/>
        <w:widowControl/>
        <w:numPr>
          <w:numId w:val="0"/>
        </w:numPr>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（六）合理开发利用河道砂石资源。</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加强行业指导，加快河道采砂规划编制，在保障防洪、生态、通航安全的前提下，合理确定可采区、可采期、可采量，鼓励和支持河砂统一开采管理，推进集约化、规模化开采。尽快清理不合理的禁采区和禁采期，调整不切实际片面扩大设置的禁采区，纠正没有法律依据实施长期全年禁采的“一刀切”做法。（各省级人民政府，水利部、生态环境部、交通运输部） </w:t>
      </w:r>
    </w:p>
    <w:p>
      <w:pPr>
        <w:keepNext w:val="0"/>
        <w:keepLines w:val="0"/>
        <w:widowControl/>
        <w:numPr>
          <w:ilvl w:val="0"/>
          <w:numId w:val="2"/>
        </w:numPr>
        <w:suppressLineNumbers w:val="0"/>
        <w:ind w:left="0" w:leftChars="0" w:firstLineChars="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加大河道航道疏浚砂利用。</w:t>
      </w:r>
    </w:p>
    <w:p>
      <w:pPr>
        <w:keepNext w:val="0"/>
        <w:keepLines w:val="0"/>
        <w:widowControl/>
        <w:numPr>
          <w:numId w:val="0"/>
        </w:numPr>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及时总结推广河道航道疏浚砂综合利用试点经验，推进河砂开采与河道治理相结合，建立疏浚砂综合利用机制，促进疏浚砂利用。（各省级人民政府，水利部、交通运输部） </w:t>
      </w:r>
    </w:p>
    <w:p>
      <w:pPr>
        <w:keepNext w:val="0"/>
        <w:keepLines w:val="0"/>
        <w:widowControl/>
        <w:numPr>
          <w:ilvl w:val="0"/>
          <w:numId w:val="2"/>
        </w:numPr>
        <w:suppressLineNumbers w:val="0"/>
        <w:ind w:left="0" w:leftChars="0" w:firstLine="0" w:firstLineChars="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探索推进三峡库区等淤积砂开采利用。</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强化生态保护约束，加强顶层设计，加快探索三峡库区等开展水库淤积砂综合利用试点，努力增加资源供应。（各省级人民政府，水利部、交通运输部） </w:t>
      </w:r>
    </w:p>
    <w:p>
      <w:pPr>
        <w:keepNext w:val="0"/>
        <w:keepLines w:val="0"/>
        <w:widowControl/>
        <w:suppressLineNumbers w:val="0"/>
        <w:jc w:val="left"/>
        <w:rPr>
          <w:rFonts w:hint="eastAsia" w:ascii="仿宋" w:hAnsi="仿宋" w:eastAsia="仿宋" w:cs="仿宋"/>
        </w:rPr>
      </w:pPr>
      <w:r>
        <w:rPr>
          <w:rFonts w:hint="eastAsia" w:ascii="黑体" w:hAnsi="黑体" w:eastAsia="黑体" w:cs="黑体"/>
          <w:color w:val="000000"/>
          <w:kern w:val="0"/>
          <w:sz w:val="30"/>
          <w:szCs w:val="30"/>
          <w:lang w:val="en-US" w:eastAsia="zh-CN" w:bidi="ar"/>
        </w:rPr>
        <w:t>四、逐步有序推进海砂开采利用</w:t>
      </w:r>
      <w:r>
        <w:rPr>
          <w:rFonts w:hint="eastAsia" w:ascii="仿宋" w:hAnsi="仿宋" w:eastAsia="仿宋" w:cs="仿宋"/>
          <w:color w:val="000000"/>
          <w:kern w:val="0"/>
          <w:sz w:val="30"/>
          <w:szCs w:val="30"/>
          <w:lang w:val="en-US" w:eastAsia="zh-CN" w:bidi="ar"/>
        </w:rPr>
        <w:t xml:space="preserve"> </w:t>
      </w:r>
    </w:p>
    <w:p>
      <w:pPr>
        <w:keepNext w:val="0"/>
        <w:keepLines w:val="0"/>
        <w:widowControl/>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（九）合理开采海砂资源。</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全面实施海砂采矿权和海域使用权联合招标拍卖挂牌出让，优化出让环节和工作流程。建立完善海砂开采管理长效机制。（有关省级人民政府，自然资源部） </w:t>
      </w:r>
    </w:p>
    <w:p>
      <w:pPr>
        <w:keepNext w:val="0"/>
        <w:keepLines w:val="0"/>
        <w:widowControl/>
        <w:numPr>
          <w:numId w:val="0"/>
        </w:numPr>
        <w:suppressLineNumbers w:val="0"/>
        <w:ind w:leftChars="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（十）严格规范海砂使用。</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严格执行海砂使用标准，确保海砂质量符合使用要求。严格控制海砂使用范围，严禁建设工程使用违反标准规范要求的海砂。（有关省级人民政府，住房城乡建设部、交通运输部、水利部、市场监管总局，中国国家铁路集团有限公司） </w:t>
      </w:r>
    </w:p>
    <w:p>
      <w:pPr>
        <w:keepNext w:val="0"/>
        <w:keepLines w:val="0"/>
        <w:widowControl/>
        <w:suppressLineNumbers w:val="0"/>
        <w:jc w:val="left"/>
        <w:rPr>
          <w:rFonts w:hint="eastAsia" w:ascii="仿宋" w:hAnsi="仿宋" w:eastAsia="仿宋" w:cs="仿宋"/>
        </w:rPr>
      </w:pPr>
      <w:r>
        <w:rPr>
          <w:rFonts w:hint="eastAsia" w:ascii="黑体" w:hAnsi="黑体" w:eastAsia="黑体" w:cs="黑体"/>
          <w:color w:val="000000"/>
          <w:kern w:val="0"/>
          <w:sz w:val="30"/>
          <w:szCs w:val="30"/>
          <w:lang w:val="en-US" w:eastAsia="zh-CN" w:bidi="ar"/>
        </w:rPr>
        <w:t>五、积极推进砂源替代利用</w:t>
      </w:r>
      <w:r>
        <w:rPr>
          <w:rFonts w:hint="eastAsia" w:ascii="仿宋" w:hAnsi="仿宋" w:eastAsia="仿宋" w:cs="仿宋"/>
          <w:color w:val="000000"/>
          <w:kern w:val="0"/>
          <w:sz w:val="30"/>
          <w:szCs w:val="30"/>
          <w:lang w:val="en-US" w:eastAsia="zh-CN" w:bidi="ar"/>
        </w:rPr>
        <w:t xml:space="preserve"> </w:t>
      </w:r>
    </w:p>
    <w:p>
      <w:pPr>
        <w:keepNext w:val="0"/>
        <w:keepLines w:val="0"/>
        <w:widowControl/>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（十一）支持废石尾矿综合利用。</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在符合安全、生态环保要求的前提下，鼓励和支持综合利用废石、矿渣和尾矿等砂石资源，实现“变废为宝”。（各省级人民政府，工业和信息化部、自然资源部、生态环境部、应急部） </w:t>
      </w:r>
    </w:p>
    <w:p>
      <w:pPr>
        <w:keepNext w:val="0"/>
        <w:keepLines w:val="0"/>
        <w:widowControl/>
        <w:numPr>
          <w:ilvl w:val="0"/>
          <w:numId w:val="3"/>
        </w:numPr>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鼓励利用固废资源制造再生砂石</w:t>
      </w:r>
      <w:r>
        <w:rPr>
          <w:rFonts w:hint="eastAsia" w:ascii="仿宋" w:hAnsi="仿宋" w:eastAsia="仿宋" w:cs="仿宋"/>
          <w:color w:val="000000"/>
          <w:kern w:val="0"/>
          <w:sz w:val="30"/>
          <w:szCs w:val="30"/>
          <w:lang w:val="en-US" w:eastAsia="zh-CN" w:bidi="ar"/>
        </w:rPr>
        <w:t>。</w:t>
      </w:r>
    </w:p>
    <w:p>
      <w:pPr>
        <w:keepNext w:val="0"/>
        <w:keepLines w:val="0"/>
        <w:widowControl/>
        <w:numPr>
          <w:numId w:val="0"/>
        </w:numPr>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鼓励利用建筑拆除垃圾等固废资源生产砂石替代材料，清理不合理的区域限制措施，增加再生砂石供给。（各省级人民政府，住房城乡建设部、发展改革委、工业和信息化部、生态环境部） </w:t>
      </w:r>
    </w:p>
    <w:p>
      <w:pPr>
        <w:keepNext w:val="0"/>
        <w:keepLines w:val="0"/>
        <w:widowControl/>
        <w:numPr>
          <w:ilvl w:val="0"/>
          <w:numId w:val="3"/>
        </w:numPr>
        <w:suppressLineNumbers w:val="0"/>
        <w:ind w:left="0" w:leftChars="0" w:firstLine="0" w:firstLineChars="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推动工程施工采挖砂石统筹利用</w:t>
      </w:r>
      <w:r>
        <w:rPr>
          <w:rFonts w:hint="eastAsia" w:ascii="仿宋" w:hAnsi="仿宋" w:eastAsia="仿宋" w:cs="仿宋"/>
          <w:color w:val="000000"/>
          <w:kern w:val="0"/>
          <w:sz w:val="30"/>
          <w:szCs w:val="30"/>
          <w:lang w:val="en-US" w:eastAsia="zh-CN" w:bidi="ar"/>
        </w:rPr>
        <w:t>。</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对经批准设立的工程建设项目和整体修复区域内按照生态修复方案实施的修复项目，在工程施工范围及施工期间采挖的砂石，除项目自用外，多余部分允许依法依规对外销售。（各省级人民政府，自然资源部、交通运输部、水利部） </w:t>
      </w:r>
    </w:p>
    <w:p>
      <w:pPr>
        <w:keepNext w:val="0"/>
        <w:keepLines w:val="0"/>
        <w:widowControl/>
        <w:numPr>
          <w:ilvl w:val="0"/>
          <w:numId w:val="3"/>
        </w:numPr>
        <w:suppressLineNumbers w:val="0"/>
        <w:ind w:left="0" w:leftChars="0" w:firstLine="0" w:firstLineChars="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积极推广钢结构装配式建筑。</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逐步提高钢结构装配式建筑在学校、医院、办公楼、写字楼等公共建筑中的应用比例，稳步推进钢结构装配式建筑在城镇住宅和农房建设中的推广应用。（住房城乡建设部、发展改革委、工业和信息化部） </w:t>
      </w:r>
    </w:p>
    <w:p>
      <w:pPr>
        <w:keepNext w:val="0"/>
        <w:keepLines w:val="0"/>
        <w:widowControl/>
        <w:suppressLineNumbers w:val="0"/>
        <w:jc w:val="left"/>
        <w:rPr>
          <w:rFonts w:hint="eastAsia" w:ascii="仿宋" w:hAnsi="仿宋" w:eastAsia="仿宋" w:cs="仿宋"/>
        </w:rPr>
      </w:pPr>
      <w:r>
        <w:rPr>
          <w:rFonts w:hint="eastAsia" w:ascii="黑体" w:hAnsi="黑体" w:eastAsia="黑体" w:cs="黑体"/>
          <w:color w:val="000000"/>
          <w:kern w:val="0"/>
          <w:sz w:val="30"/>
          <w:szCs w:val="30"/>
          <w:lang w:val="en-US" w:eastAsia="zh-CN" w:bidi="ar"/>
        </w:rPr>
        <w:t>六、进一步压实地方责任</w:t>
      </w:r>
      <w:r>
        <w:rPr>
          <w:rFonts w:hint="eastAsia" w:ascii="仿宋" w:hAnsi="仿宋" w:eastAsia="仿宋" w:cs="仿宋"/>
          <w:color w:val="000000"/>
          <w:kern w:val="0"/>
          <w:sz w:val="30"/>
          <w:szCs w:val="30"/>
          <w:lang w:val="en-US" w:eastAsia="zh-CN" w:bidi="ar"/>
        </w:rPr>
        <w:t xml:space="preserve"> </w:t>
      </w:r>
    </w:p>
    <w:p>
      <w:pPr>
        <w:keepNext w:val="0"/>
        <w:keepLines w:val="0"/>
        <w:widowControl/>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（十五）明确责任主体。</w:t>
      </w:r>
    </w:p>
    <w:p>
      <w:pPr>
        <w:keepNext w:val="0"/>
        <w:keepLines w:val="0"/>
        <w:widowControl/>
        <w:suppressLineNumbers w:val="0"/>
        <w:ind w:firstLine="600" w:firstLineChars="200"/>
        <w:jc w:val="left"/>
        <w:rPr>
          <w:rFonts w:hint="eastAsia" w:ascii="仿宋" w:hAnsi="仿宋" w:eastAsia="仿宋" w:cs="仿宋"/>
          <w:color w:val="000000"/>
          <w:kern w:val="0"/>
          <w:sz w:val="30"/>
          <w:szCs w:val="30"/>
          <w:lang w:val="en-US" w:eastAsia="zh-CN" w:bidi="ar"/>
        </w:rPr>
      </w:pPr>
      <w:r>
        <w:rPr>
          <w:rFonts w:hint="eastAsia" w:ascii="仿宋" w:hAnsi="仿宋" w:eastAsia="仿宋" w:cs="仿宋"/>
          <w:color w:val="000000"/>
          <w:kern w:val="0"/>
          <w:sz w:val="30"/>
          <w:szCs w:val="30"/>
          <w:lang w:val="en-US" w:eastAsia="zh-CN" w:bidi="ar"/>
        </w:rPr>
        <w:t>各地要落实属地管理责任，建立工作协调机制，明确牵头责任单位，加强部门协作，统筹做好促生产、保供应、稳价格、强监管等工作，保障工程建设和民生需要。（各省级人民政府）</w:t>
      </w:r>
    </w:p>
    <w:p>
      <w:pPr>
        <w:keepNext w:val="0"/>
        <w:keepLines w:val="0"/>
        <w:widowControl/>
        <w:numPr>
          <w:numId w:val="0"/>
        </w:numPr>
        <w:suppressLineNumbers w:val="0"/>
        <w:ind w:leftChars="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（十六）保重点工程项目需要。</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市场供应紧张、价格涨幅较大的地区，要针对性制定应急保供方案，切实采取有效措施，加强货源和运输调度的统筹协调，确保重点工程项目建设不受影响。（各省级人民政府） </w:t>
      </w:r>
    </w:p>
    <w:p>
      <w:pPr>
        <w:keepNext w:val="0"/>
        <w:keepLines w:val="0"/>
        <w:widowControl/>
        <w:numPr>
          <w:ilvl w:val="0"/>
          <w:numId w:val="4"/>
        </w:numPr>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切实保障防汛等应急用砂石。</w:t>
      </w:r>
    </w:p>
    <w:p>
      <w:pPr>
        <w:keepNext w:val="0"/>
        <w:keepLines w:val="0"/>
        <w:widowControl/>
        <w:numPr>
          <w:numId w:val="0"/>
        </w:numPr>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针对防汛抢险等应急用砂石，根据需要建立应急开采机制，制定应急方案，在严格执行方案要求、实行专砂专用的前提下，由地方政府统筹启动应急开采和保障供应。（各省级人民政府） </w:t>
      </w:r>
    </w:p>
    <w:p>
      <w:pPr>
        <w:keepNext w:val="0"/>
        <w:keepLines w:val="0"/>
        <w:widowControl/>
        <w:numPr>
          <w:ilvl w:val="0"/>
          <w:numId w:val="4"/>
        </w:numPr>
        <w:suppressLineNumbers w:val="0"/>
        <w:ind w:left="0" w:leftChars="0" w:firstLine="0" w:firstLineChars="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营造良好环境。</w:t>
      </w:r>
    </w:p>
    <w:p>
      <w:pPr>
        <w:keepNext w:val="0"/>
        <w:keepLines w:val="0"/>
        <w:widowControl/>
        <w:numPr>
          <w:numId w:val="0"/>
        </w:numPr>
        <w:suppressLineNumbers w:val="0"/>
        <w:ind w:leftChars="0"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推进相关领域“放管服”改革，简化申请资料要件，优化工作流程，提高办事效率。（各省级人民政府）坚持一视同仁，积极吸引社会资本进入，允许和支持民营企业平等进入砂石矿山开采、河道采砂、海砂开采等行业，保护民营砂石生产企业合法权益。（各省级人民政府，工业和信息化部、自然资源部、水利部） </w:t>
      </w:r>
    </w:p>
    <w:p>
      <w:pPr>
        <w:keepNext w:val="0"/>
        <w:keepLines w:val="0"/>
        <w:widowControl/>
        <w:suppressLineNumbers w:val="0"/>
        <w:jc w:val="left"/>
        <w:rPr>
          <w:rFonts w:hint="eastAsia" w:ascii="仿宋" w:hAnsi="仿宋" w:eastAsia="仿宋" w:cs="仿宋"/>
        </w:rPr>
      </w:pPr>
      <w:r>
        <w:rPr>
          <w:rFonts w:hint="eastAsia" w:ascii="黑体" w:hAnsi="黑体" w:eastAsia="黑体" w:cs="黑体"/>
          <w:color w:val="000000"/>
          <w:kern w:val="0"/>
          <w:sz w:val="30"/>
          <w:szCs w:val="30"/>
          <w:lang w:val="en-US" w:eastAsia="zh-CN" w:bidi="ar"/>
        </w:rPr>
        <w:t>七、进一步加强市场监管</w:t>
      </w:r>
      <w:r>
        <w:rPr>
          <w:rFonts w:hint="eastAsia" w:ascii="仿宋" w:hAnsi="仿宋" w:eastAsia="仿宋" w:cs="仿宋"/>
          <w:color w:val="000000"/>
          <w:kern w:val="0"/>
          <w:sz w:val="30"/>
          <w:szCs w:val="30"/>
          <w:lang w:val="en-US" w:eastAsia="zh-CN" w:bidi="ar"/>
        </w:rPr>
        <w:t xml:space="preserve"> </w:t>
      </w:r>
    </w:p>
    <w:p>
      <w:pPr>
        <w:keepNext w:val="0"/>
        <w:keepLines w:val="0"/>
        <w:widowControl/>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（十九）严厉查处违法违规行为</w:t>
      </w:r>
      <w:r>
        <w:rPr>
          <w:rFonts w:hint="eastAsia" w:ascii="仿宋" w:hAnsi="仿宋" w:eastAsia="仿宋" w:cs="仿宋"/>
          <w:color w:val="000000"/>
          <w:kern w:val="0"/>
          <w:sz w:val="30"/>
          <w:szCs w:val="30"/>
          <w:lang w:val="en-US" w:eastAsia="zh-CN" w:bidi="ar"/>
        </w:rPr>
        <w:t>。</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结合扫黑除恶专项斗争，依法严厉查处违法开采、非法盗采、违规生产、污染破坏环境、造假掺假等违法违规行为，以及建设工程违规使用海砂行为，严格追究相关单位与个人的责任。落实长江河道采运管理“四联单”制度，依法查处“三无”采砂船及非法改装、伪装、隐藏采砂设备的船舶。（各省级人民政府，公安部、工业和信息化部、自然资源部、生态环境部、住房城乡建设部、交通运输部、水利部、市场监管总局，中国海警局） </w:t>
      </w:r>
    </w:p>
    <w:p>
      <w:pPr>
        <w:keepNext w:val="0"/>
        <w:keepLines w:val="0"/>
        <w:widowControl/>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（二十）规范市场秩序。</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全面加强砂石质量抽查监管力度。（住房城乡建设部、市场监管总局按照各自职能共同负责）严厉打击互相串通、操纵市场价格、哄抬价格以及不正当竞争等违法违规行为，规范市场和价格秩序。（市场监管总局） </w:t>
      </w:r>
    </w:p>
    <w:p>
      <w:pPr>
        <w:keepNext w:val="0"/>
        <w:keepLines w:val="0"/>
        <w:widowControl/>
        <w:suppressLineNumbers w:val="0"/>
        <w:jc w:val="left"/>
        <w:rPr>
          <w:rFonts w:hint="eastAsia" w:ascii="仿宋" w:hAnsi="仿宋" w:eastAsia="仿宋" w:cs="仿宋"/>
          <w:b/>
          <w:bCs/>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（二十一）加强进出口管理。</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从严管控砂石出口，合理引导市场主体扩大砂石进口规模。（商务部） </w:t>
      </w:r>
    </w:p>
    <w:p>
      <w:pPr>
        <w:keepNext w:val="0"/>
        <w:keepLines w:val="0"/>
        <w:widowControl/>
        <w:suppressLineNumbers w:val="0"/>
        <w:jc w:val="left"/>
        <w:rPr>
          <w:rFonts w:hint="eastAsia" w:ascii="仿宋" w:hAnsi="仿宋" w:eastAsia="仿宋" w:cs="仿宋"/>
        </w:rPr>
      </w:pPr>
      <w:r>
        <w:rPr>
          <w:rFonts w:hint="eastAsia" w:ascii="黑体" w:hAnsi="黑体" w:eastAsia="黑体" w:cs="黑体"/>
          <w:color w:val="000000"/>
          <w:kern w:val="0"/>
          <w:sz w:val="30"/>
          <w:szCs w:val="30"/>
          <w:lang w:val="en-US" w:eastAsia="zh-CN" w:bidi="ar"/>
        </w:rPr>
        <w:t>八、建立健全工作机制</w:t>
      </w:r>
      <w:r>
        <w:rPr>
          <w:rFonts w:hint="eastAsia" w:ascii="仿宋" w:hAnsi="仿宋" w:eastAsia="仿宋" w:cs="仿宋"/>
          <w:color w:val="000000"/>
          <w:kern w:val="0"/>
          <w:sz w:val="30"/>
          <w:szCs w:val="30"/>
          <w:lang w:val="en-US" w:eastAsia="zh-CN" w:bidi="ar"/>
        </w:rPr>
        <w:t xml:space="preserve"> </w:t>
      </w:r>
    </w:p>
    <w:p>
      <w:pPr>
        <w:keepNext w:val="0"/>
        <w:keepLines w:val="0"/>
        <w:widowControl/>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（二十二）建立部门工作协调机制</w:t>
      </w:r>
      <w:r>
        <w:rPr>
          <w:rFonts w:hint="eastAsia" w:ascii="仿宋" w:hAnsi="仿宋" w:eastAsia="仿宋" w:cs="仿宋"/>
          <w:color w:val="000000"/>
          <w:kern w:val="0"/>
          <w:sz w:val="30"/>
          <w:szCs w:val="30"/>
          <w:lang w:val="en-US" w:eastAsia="zh-CN" w:bidi="ar"/>
        </w:rPr>
        <w:t>。</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加强部门联动，形成工作合力，建立砂石保供稳价工作协调机制，强化工作指导，定期会商研究相关问题。（发展改革委会同相关部门） </w:t>
      </w:r>
    </w:p>
    <w:p>
      <w:pPr>
        <w:keepNext w:val="0"/>
        <w:keepLines w:val="0"/>
        <w:widowControl/>
        <w:suppressLineNumbers w:val="0"/>
        <w:jc w:val="left"/>
        <w:rPr>
          <w:rFonts w:hint="eastAsia" w:ascii="仿宋" w:hAnsi="仿宋" w:eastAsia="仿宋" w:cs="仿宋"/>
          <w:color w:val="000000"/>
          <w:kern w:val="0"/>
          <w:sz w:val="30"/>
          <w:szCs w:val="30"/>
          <w:lang w:val="en-US" w:eastAsia="zh-CN" w:bidi="ar"/>
        </w:rPr>
      </w:pPr>
      <w:r>
        <w:rPr>
          <w:rFonts w:hint="eastAsia" w:ascii="仿宋" w:hAnsi="仿宋" w:eastAsia="仿宋" w:cs="仿宋"/>
          <w:b/>
          <w:bCs/>
          <w:color w:val="000000"/>
          <w:kern w:val="0"/>
          <w:sz w:val="30"/>
          <w:szCs w:val="30"/>
          <w:lang w:val="en-US" w:eastAsia="zh-CN" w:bidi="ar"/>
        </w:rPr>
        <w:t>（二十三）加强监测预警和信息发布</w:t>
      </w:r>
      <w:r>
        <w:rPr>
          <w:rFonts w:hint="eastAsia" w:ascii="仿宋" w:hAnsi="仿宋" w:eastAsia="仿宋" w:cs="仿宋"/>
          <w:color w:val="000000"/>
          <w:kern w:val="0"/>
          <w:sz w:val="30"/>
          <w:szCs w:val="30"/>
          <w:lang w:val="en-US" w:eastAsia="zh-CN" w:bidi="ar"/>
        </w:rPr>
        <w:t>。</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加强砂石市场供应和价格监测预测预警，及时分析研判市场供求变化，每两个月调度一次全国砂石供求情况。及时发布砂石市场信息，积极引导市场主体及早做出反应，稳定市场预期。（发展改革委会同相关部门） </w:t>
      </w:r>
    </w:p>
    <w:p>
      <w:pPr>
        <w:keepNext w:val="0"/>
        <w:keepLines w:val="0"/>
        <w:widowControl/>
        <w:suppressLineNumbers w:val="0"/>
        <w:ind w:firstLine="600" w:firstLineChars="20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各地区要进一步提高认识，切实落实主体责任，把做好砂石保供稳价、促进行业健康有序发展提上重要议事日程，抓紧建立工作机制，制定实施方案，狠抓工作落实。有关职能部门要强化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政策协调，加强工作指导，积极推动产业高质量发展。当前，要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在科学做好新冠肺炎疫情防控工作前提下，结合工程项目有序复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30"/>
          <w:szCs w:val="30"/>
          <w:lang w:val="en-US" w:eastAsia="zh-CN" w:bidi="ar"/>
        </w:rPr>
        <w:t xml:space="preserve">工复产进度，切实保障砂石市场供应和价格基本稳定。 </w:t>
      </w:r>
    </w:p>
    <w:p>
      <w:pPr>
        <w:rPr>
          <w:rFonts w:hint="eastAsia" w:ascii="仿宋" w:hAnsi="仿宋" w:eastAsia="仿宋" w:cs="仿宋"/>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ZXiaoBiaoSong-B05">
    <w:altName w:val="Segoe Print"/>
    <w:panose1 w:val="00000000000000000000"/>
    <w:charset w:val="00"/>
    <w:family w:val="auto"/>
    <w:pitch w:val="default"/>
    <w:sig w:usb0="00000000" w:usb1="00000000" w:usb2="00000000" w:usb3="00000000" w:csb0="00000000" w:csb1="00000000"/>
  </w:font>
  <w:font w:name="FZFangSong-Z02">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FZHei-B01">
    <w:altName w:val="Segoe Print"/>
    <w:panose1 w:val="00000000000000000000"/>
    <w:charset w:val="00"/>
    <w:family w:val="auto"/>
    <w:pitch w:val="default"/>
    <w:sig w:usb0="00000000" w:usb1="00000000" w:usb2="00000000" w:usb3="00000000" w:csb0="00000000" w:csb1="00000000"/>
  </w:font>
  <w:font w:name="FZKai-Z03">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CEDB47"/>
    <w:multiLevelType w:val="singleLevel"/>
    <w:tmpl w:val="83CEDB47"/>
    <w:lvl w:ilvl="0" w:tentative="0">
      <w:start w:val="17"/>
      <w:numFmt w:val="chineseCounting"/>
      <w:suff w:val="nothing"/>
      <w:lvlText w:val="（%1）"/>
      <w:lvlJc w:val="left"/>
      <w:rPr>
        <w:rFonts w:hint="eastAsia"/>
      </w:rPr>
    </w:lvl>
  </w:abstractNum>
  <w:abstractNum w:abstractNumId="1">
    <w:nsid w:val="858124AF"/>
    <w:multiLevelType w:val="singleLevel"/>
    <w:tmpl w:val="858124AF"/>
    <w:lvl w:ilvl="0" w:tentative="0">
      <w:start w:val="2"/>
      <w:numFmt w:val="chineseCounting"/>
      <w:suff w:val="nothing"/>
      <w:lvlText w:val="（%1）"/>
      <w:lvlJc w:val="left"/>
      <w:pPr>
        <w:ind w:left="210"/>
      </w:pPr>
      <w:rPr>
        <w:rFonts w:hint="eastAsia"/>
      </w:rPr>
    </w:lvl>
  </w:abstractNum>
  <w:abstractNum w:abstractNumId="2">
    <w:nsid w:val="87E812DC"/>
    <w:multiLevelType w:val="singleLevel"/>
    <w:tmpl w:val="87E812DC"/>
    <w:lvl w:ilvl="0" w:tentative="0">
      <w:start w:val="7"/>
      <w:numFmt w:val="chineseCounting"/>
      <w:suff w:val="nothing"/>
      <w:lvlText w:val="（%1）"/>
      <w:lvlJc w:val="left"/>
      <w:pPr>
        <w:ind w:left="0"/>
      </w:pPr>
      <w:rPr>
        <w:rFonts w:hint="eastAsia"/>
      </w:rPr>
    </w:lvl>
  </w:abstractNum>
  <w:abstractNum w:abstractNumId="3">
    <w:nsid w:val="2655C2FB"/>
    <w:multiLevelType w:val="singleLevel"/>
    <w:tmpl w:val="2655C2FB"/>
    <w:lvl w:ilvl="0" w:tentative="0">
      <w:start w:val="12"/>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A6934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333333"/>
      <w:u w:val="none"/>
      <w:bdr w:val="none" w:color="auto" w:sz="0" w:space="0"/>
    </w:rPr>
  </w:style>
  <w:style w:type="character" w:styleId="7">
    <w:name w:val="Emphasis"/>
    <w:basedOn w:val="4"/>
    <w:qFormat/>
    <w:uiPriority w:val="0"/>
    <w:rPr>
      <w:bdr w:val="none" w:color="auto" w:sz="0" w:space="0"/>
    </w:rPr>
  </w:style>
  <w:style w:type="character" w:styleId="8">
    <w:name w:val="Hyperlink"/>
    <w:basedOn w:val="4"/>
    <w:uiPriority w:val="0"/>
    <w:rPr>
      <w:color w:val="333333"/>
      <w:u w:val="none"/>
      <w:bdr w:val="none" w:color="auto" w:sz="0" w:space="0"/>
    </w:rPr>
  </w:style>
  <w:style w:type="character" w:customStyle="1" w:styleId="9">
    <w:name w:val="after"/>
    <w:basedOn w:val="4"/>
    <w:uiPriority w:val="0"/>
    <w:rPr>
      <w:shd w:val="clear" w:fill="D6000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33</TotalTime>
  <ScaleCrop>false</ScaleCrop>
  <LinksUpToDate>false</LinksUpToDate>
  <CharactersWithSpaces>0</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2022-04-29T03:18:57Z</dcterms:created>
  <dc:creator>Administrator</dc:creator>
  <cp:lastModifiedBy>Administrator</cp:lastModifiedBy>
  <dcterms:modified xsi:type="dcterms:W3CDTF">2022-04-29T03:54:26Z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83CCF999D30643BEBC7E3F434BA05726</vt:lpwstr>
  </property>
</Properties>
</file>