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150" w:afterAutospacing="0" w:line="60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bookmarkStart w:id="0" w:name="_GoBack"/>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关于延续实施供热企业有关税收政策的</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150" w:afterAutospacing="0" w:line="60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公告</w:t>
      </w:r>
    </w:p>
    <w:bookmarkEnd w:id="0"/>
    <w:p>
      <w:pPr>
        <w:keepNext w:val="0"/>
        <w:keepLines w:val="0"/>
        <w:widowControl/>
        <w:suppressLineNumbers w:val="0"/>
        <w:jc w:val="left"/>
        <w:rPr>
          <w:rFonts w:hint="eastAsia" w:ascii="CESI仿宋-GB13000" w:hAnsi="CESI仿宋-GB13000" w:eastAsia="CESI仿宋-GB13000" w:cs="CESI仿宋-GB13000"/>
          <w:i w:val="0"/>
          <w:caps w:val="0"/>
          <w:color w:val="333333"/>
          <w:spacing w:val="0"/>
          <w:kern w:val="0"/>
          <w:sz w:val="32"/>
          <w:szCs w:val="32"/>
          <w:shd w:val="clear" w:color="auto" w:fill="FFFFFF"/>
          <w:lang w:val="en-US" w:eastAsia="zh-CN" w:bidi="ar"/>
        </w:rPr>
      </w:pPr>
      <w:r>
        <w:rPr>
          <w:rFonts w:hint="eastAsia" w:ascii="CESI仿宋-GB13000" w:hAnsi="CESI仿宋-GB13000" w:eastAsia="CESI仿宋-GB13000" w:cs="CESI仿宋-GB13000"/>
          <w:i w:val="0"/>
          <w:caps w:val="0"/>
          <w:color w:val="333333"/>
          <w:spacing w:val="0"/>
          <w:kern w:val="0"/>
          <w:sz w:val="32"/>
          <w:szCs w:val="32"/>
          <w:shd w:val="clear" w:color="auto" w:fill="FFFFFF"/>
          <w:lang w:val="en-US" w:eastAsia="zh-CN" w:bidi="ar"/>
        </w:rPr>
        <w:t>　　　  　财政部 税务总局公告2023年第56号</w:t>
      </w:r>
    </w:p>
    <w:p>
      <w:pPr>
        <w:pStyle w:val="2"/>
        <w:keepNext w:val="0"/>
        <w:keepLines w:val="0"/>
        <w:widowControl/>
        <w:suppressLineNumbers w:val="0"/>
        <w:shd w:val="clear" w:color="auto" w:fill="FFFFFF"/>
        <w:spacing w:before="0" w:beforeAutospacing="0" w:after="150" w:afterAutospacing="0"/>
        <w:ind w:left="0" w:right="0" w:firstLine="0"/>
        <w:jc w:val="center"/>
        <w:rPr>
          <w:rFonts w:hint="eastAsia" w:ascii="CESI仿宋-GB13000" w:hAnsi="CESI仿宋-GB13000" w:eastAsia="CESI仿宋-GB13000" w:cs="CESI仿宋-GB13000"/>
          <w:i w:val="0"/>
          <w:caps w:val="0"/>
          <w:color w:val="333333"/>
          <w:spacing w:val="0"/>
          <w:kern w:val="0"/>
          <w:sz w:val="32"/>
          <w:szCs w:val="32"/>
          <w:shd w:val="clear" w:color="auto" w:fill="FFFFFF"/>
          <w:lang w:val="en-US" w:eastAsia="zh-CN" w:bidi="ar"/>
        </w:rPr>
      </w:pPr>
    </w:p>
    <w:p>
      <w:pPr>
        <w:pStyle w:val="2"/>
        <w:keepNext w:val="0"/>
        <w:keepLines w:val="0"/>
        <w:widowControl/>
        <w:suppressLineNumbers w:val="0"/>
        <w:shd w:val="clear" w:color="auto" w:fill="FFFFFF"/>
        <w:spacing w:before="0" w:beforeAutospacing="0" w:after="150" w:afterAutospacing="0"/>
        <w:ind w:left="0" w:right="0" w:firstLine="0"/>
        <w:jc w:val="both"/>
        <w:rPr>
          <w:rFonts w:hint="eastAsia" w:ascii="CESI仿宋-GB13000" w:hAnsi="CESI仿宋-GB13000" w:eastAsia="CESI仿宋-GB13000" w:cs="CESI仿宋-GB13000"/>
          <w:i w:val="0"/>
          <w:caps w:val="0"/>
          <w:color w:val="333333"/>
          <w:spacing w:val="0"/>
          <w:sz w:val="32"/>
          <w:szCs w:val="32"/>
        </w:rPr>
      </w:pPr>
      <w:r>
        <w:rPr>
          <w:rFonts w:hint="default" w:ascii="sans-serif" w:hAnsi="sans-serif" w:eastAsia="sans-serif" w:cs="sans-serif"/>
          <w:i w:val="0"/>
          <w:caps w:val="0"/>
          <w:color w:val="333333"/>
          <w:spacing w:val="0"/>
          <w:sz w:val="24"/>
          <w:szCs w:val="24"/>
          <w:shd w:val="clear" w:color="auto" w:fill="FFFFFF"/>
        </w:rPr>
        <w:t>　　</w:t>
      </w:r>
      <w:r>
        <w:rPr>
          <w:rFonts w:hint="eastAsia" w:ascii="CESI仿宋-GB13000" w:hAnsi="CESI仿宋-GB13000" w:eastAsia="CESI仿宋-GB13000" w:cs="CESI仿宋-GB13000"/>
          <w:i w:val="0"/>
          <w:caps w:val="0"/>
          <w:color w:val="333333"/>
          <w:spacing w:val="0"/>
          <w:sz w:val="32"/>
          <w:szCs w:val="32"/>
          <w:shd w:val="clear" w:color="auto" w:fill="FFFFFF"/>
        </w:rPr>
        <w:t>为支持居民供热采暖，现将“三北”地区供热企业(以下称供热企业)增值税、房产税、城镇土地使用税政策公告如下： </w:t>
      </w:r>
    </w:p>
    <w:p>
      <w:pPr>
        <w:pStyle w:val="2"/>
        <w:keepNext w:val="0"/>
        <w:keepLines w:val="0"/>
        <w:widowControl/>
        <w:suppressLineNumbers w:val="0"/>
        <w:shd w:val="clear" w:color="auto" w:fill="FFFFFF"/>
        <w:spacing w:before="0" w:beforeAutospacing="0" w:after="150" w:afterAutospacing="0"/>
        <w:ind w:left="0" w:right="0" w:firstLine="0"/>
        <w:jc w:val="both"/>
        <w:rPr>
          <w:rFonts w:hint="eastAsia" w:ascii="CESI仿宋-GB13000" w:hAnsi="CESI仿宋-GB13000" w:eastAsia="CESI仿宋-GB13000" w:cs="CESI仿宋-GB13000"/>
          <w:i w:val="0"/>
          <w:caps w:val="0"/>
          <w:color w:val="333333"/>
          <w:spacing w:val="0"/>
          <w:sz w:val="32"/>
          <w:szCs w:val="32"/>
        </w:rPr>
      </w:pPr>
      <w:r>
        <w:rPr>
          <w:rFonts w:hint="eastAsia" w:ascii="CESI仿宋-GB13000" w:hAnsi="CESI仿宋-GB13000" w:eastAsia="CESI仿宋-GB13000" w:cs="CESI仿宋-GB13000"/>
          <w:i w:val="0"/>
          <w:caps w:val="0"/>
          <w:color w:val="333333"/>
          <w:spacing w:val="0"/>
          <w:sz w:val="32"/>
          <w:szCs w:val="32"/>
          <w:shd w:val="clear" w:color="auto" w:fill="FFFFFF"/>
        </w:rPr>
        <w:t>　　一、对供热企业向居民个人(以下称居民)供热取得的采暖费收入免征增值税。  </w:t>
      </w:r>
    </w:p>
    <w:p>
      <w:pPr>
        <w:pStyle w:val="2"/>
        <w:keepNext w:val="0"/>
        <w:keepLines w:val="0"/>
        <w:widowControl/>
        <w:suppressLineNumbers w:val="0"/>
        <w:shd w:val="clear" w:color="auto" w:fill="FFFFFF"/>
        <w:spacing w:before="0" w:beforeAutospacing="0" w:after="150" w:afterAutospacing="0"/>
        <w:ind w:left="0" w:right="0" w:firstLine="0"/>
        <w:jc w:val="both"/>
        <w:rPr>
          <w:rFonts w:hint="eastAsia" w:ascii="CESI仿宋-GB13000" w:hAnsi="CESI仿宋-GB13000" w:eastAsia="CESI仿宋-GB13000" w:cs="CESI仿宋-GB13000"/>
          <w:i w:val="0"/>
          <w:caps w:val="0"/>
          <w:color w:val="333333"/>
          <w:spacing w:val="0"/>
          <w:sz w:val="32"/>
          <w:szCs w:val="32"/>
        </w:rPr>
      </w:pPr>
      <w:r>
        <w:rPr>
          <w:rFonts w:hint="eastAsia" w:ascii="CESI仿宋-GB13000" w:hAnsi="CESI仿宋-GB13000" w:eastAsia="CESI仿宋-GB13000" w:cs="CESI仿宋-GB13000"/>
          <w:i w:val="0"/>
          <w:caps w:val="0"/>
          <w:color w:val="333333"/>
          <w:spacing w:val="0"/>
          <w:sz w:val="32"/>
          <w:szCs w:val="32"/>
          <w:shd w:val="clear" w:color="auto" w:fill="FFFFFF"/>
        </w:rPr>
        <w:t>　　向居民供热取得的采暖费收入，包括供热企业直接向居民收取的、通过其他单位向居民收取的和由单位代居民缴纳的采暖费。  </w:t>
      </w:r>
    </w:p>
    <w:p>
      <w:pPr>
        <w:pStyle w:val="2"/>
        <w:keepNext w:val="0"/>
        <w:keepLines w:val="0"/>
        <w:widowControl/>
        <w:suppressLineNumbers w:val="0"/>
        <w:shd w:val="clear" w:color="auto" w:fill="FFFFFF"/>
        <w:spacing w:before="0" w:beforeAutospacing="0" w:after="150" w:afterAutospacing="0"/>
        <w:ind w:left="0" w:right="0" w:firstLine="0"/>
        <w:jc w:val="both"/>
        <w:rPr>
          <w:rFonts w:hint="eastAsia" w:ascii="CESI仿宋-GB13000" w:hAnsi="CESI仿宋-GB13000" w:eastAsia="CESI仿宋-GB13000" w:cs="CESI仿宋-GB13000"/>
          <w:i w:val="0"/>
          <w:caps w:val="0"/>
          <w:color w:val="333333"/>
          <w:spacing w:val="0"/>
          <w:sz w:val="32"/>
          <w:szCs w:val="32"/>
        </w:rPr>
      </w:pPr>
      <w:r>
        <w:rPr>
          <w:rFonts w:hint="eastAsia" w:ascii="CESI仿宋-GB13000" w:hAnsi="CESI仿宋-GB13000" w:eastAsia="CESI仿宋-GB13000" w:cs="CESI仿宋-GB13000"/>
          <w:i w:val="0"/>
          <w:caps w:val="0"/>
          <w:color w:val="333333"/>
          <w:spacing w:val="0"/>
          <w:sz w:val="32"/>
          <w:szCs w:val="32"/>
          <w:shd w:val="clear" w:color="auto" w:fill="FFFFFF"/>
        </w:rPr>
        <w:t>　　免征增值税的采暖费收入应当单独核算。通过热力产品经营企业向居民供热的热力产品生产企业，应当根据热力产品经营企业实际从居民取得的采暖费收入占该经营企业采暖费总收入的比例，计算免征的增值税。  </w:t>
      </w:r>
    </w:p>
    <w:p>
      <w:pPr>
        <w:pStyle w:val="2"/>
        <w:keepNext w:val="0"/>
        <w:keepLines w:val="0"/>
        <w:widowControl/>
        <w:suppressLineNumbers w:val="0"/>
        <w:shd w:val="clear" w:color="auto" w:fill="FFFFFF"/>
        <w:spacing w:before="0" w:beforeAutospacing="0" w:after="150" w:afterAutospacing="0"/>
        <w:ind w:left="0" w:right="0" w:firstLine="0"/>
        <w:jc w:val="both"/>
        <w:rPr>
          <w:rFonts w:hint="eastAsia" w:ascii="CESI仿宋-GB13000" w:hAnsi="CESI仿宋-GB13000" w:eastAsia="CESI仿宋-GB13000" w:cs="CESI仿宋-GB13000"/>
          <w:i w:val="0"/>
          <w:caps w:val="0"/>
          <w:color w:val="333333"/>
          <w:spacing w:val="0"/>
          <w:sz w:val="32"/>
          <w:szCs w:val="32"/>
        </w:rPr>
      </w:pPr>
      <w:r>
        <w:rPr>
          <w:rFonts w:hint="eastAsia" w:ascii="CESI仿宋-GB13000" w:hAnsi="CESI仿宋-GB13000" w:eastAsia="CESI仿宋-GB13000" w:cs="CESI仿宋-GB13000"/>
          <w:i w:val="0"/>
          <w:caps w:val="0"/>
          <w:color w:val="333333"/>
          <w:spacing w:val="0"/>
          <w:sz w:val="32"/>
          <w:szCs w:val="32"/>
          <w:shd w:val="clear" w:color="auto" w:fill="FFFFFF"/>
        </w:rPr>
        <w:t>　　二、对向居民供热收取采暖费的供热企业，为居民供热所使用的厂房及土地免征房产税、城镇土地使用税；对供热企业其他厂房及土地，应当按照规定征收房产税、城镇土地使用税。  </w:t>
      </w:r>
    </w:p>
    <w:p>
      <w:pPr>
        <w:pStyle w:val="2"/>
        <w:keepNext w:val="0"/>
        <w:keepLines w:val="0"/>
        <w:widowControl/>
        <w:suppressLineNumbers w:val="0"/>
        <w:shd w:val="clear" w:color="auto" w:fill="FFFFFF"/>
        <w:spacing w:before="0" w:beforeAutospacing="0" w:after="150" w:afterAutospacing="0"/>
        <w:ind w:left="0" w:right="0" w:firstLine="0"/>
        <w:jc w:val="both"/>
        <w:rPr>
          <w:rFonts w:hint="eastAsia" w:ascii="CESI仿宋-GB13000" w:hAnsi="CESI仿宋-GB13000" w:eastAsia="CESI仿宋-GB13000" w:cs="CESI仿宋-GB13000"/>
          <w:i w:val="0"/>
          <w:caps w:val="0"/>
          <w:color w:val="333333"/>
          <w:spacing w:val="0"/>
          <w:sz w:val="32"/>
          <w:szCs w:val="32"/>
        </w:rPr>
      </w:pPr>
      <w:r>
        <w:rPr>
          <w:rFonts w:hint="eastAsia" w:ascii="CESI仿宋-GB13000" w:hAnsi="CESI仿宋-GB13000" w:eastAsia="CESI仿宋-GB13000" w:cs="CESI仿宋-GB13000"/>
          <w:i w:val="0"/>
          <w:caps w:val="0"/>
          <w:color w:val="333333"/>
          <w:spacing w:val="0"/>
          <w:sz w:val="32"/>
          <w:szCs w:val="32"/>
          <w:shd w:val="clear" w:color="auto" w:fill="FFFFFF"/>
        </w:rPr>
        <w:t>　　对专业供热企业，按其向居民供热取得的采暖费收入占全部采暖费收入的比例，计算免征的房产税、城镇土地使用税。  </w:t>
      </w:r>
    </w:p>
    <w:p>
      <w:pPr>
        <w:pStyle w:val="2"/>
        <w:keepNext w:val="0"/>
        <w:keepLines w:val="0"/>
        <w:widowControl/>
        <w:suppressLineNumbers w:val="0"/>
        <w:shd w:val="clear" w:color="auto" w:fill="FFFFFF"/>
        <w:spacing w:before="0" w:beforeAutospacing="0" w:after="150" w:afterAutospacing="0"/>
        <w:ind w:left="0" w:right="0" w:firstLine="0"/>
        <w:jc w:val="both"/>
        <w:rPr>
          <w:rFonts w:hint="eastAsia" w:ascii="CESI仿宋-GB13000" w:hAnsi="CESI仿宋-GB13000" w:eastAsia="CESI仿宋-GB13000" w:cs="CESI仿宋-GB13000"/>
          <w:i w:val="0"/>
          <w:caps w:val="0"/>
          <w:color w:val="333333"/>
          <w:spacing w:val="0"/>
          <w:sz w:val="32"/>
          <w:szCs w:val="32"/>
        </w:rPr>
      </w:pPr>
      <w:r>
        <w:rPr>
          <w:rFonts w:hint="eastAsia" w:ascii="CESI仿宋-GB13000" w:hAnsi="CESI仿宋-GB13000" w:eastAsia="CESI仿宋-GB13000" w:cs="CESI仿宋-GB13000"/>
          <w:i w:val="0"/>
          <w:caps w:val="0"/>
          <w:color w:val="333333"/>
          <w:spacing w:val="0"/>
          <w:sz w:val="32"/>
          <w:szCs w:val="32"/>
          <w:shd w:val="clear" w:color="auto" w:fill="FFFFFF"/>
        </w:rPr>
        <w:t>　　对兼营供热企业，视其供热所使用的厂房及土地与其他生产经营活动所使用的厂房及土地是否可以区分，按照不同方法计算免征的房产税、城镇土地使用税。可以区分的，对其供热所使用厂房及土地，按向居民供热取得的采暖费收入占全部采暖费收入的比例，计算免征的房产税、城镇土地使用税。难以区分的，对其全部厂房及土地，按向居民供热取得的采暖费收入占其营业收入的比例,计算免征的房产税、城镇土地使用税。  </w:t>
      </w:r>
    </w:p>
    <w:p>
      <w:pPr>
        <w:pStyle w:val="2"/>
        <w:keepNext w:val="0"/>
        <w:keepLines w:val="0"/>
        <w:widowControl/>
        <w:suppressLineNumbers w:val="0"/>
        <w:shd w:val="clear" w:color="auto" w:fill="FFFFFF"/>
        <w:spacing w:before="0" w:beforeAutospacing="0" w:after="150" w:afterAutospacing="0"/>
        <w:ind w:left="0" w:right="0" w:firstLine="0"/>
        <w:jc w:val="both"/>
        <w:rPr>
          <w:rFonts w:hint="eastAsia" w:ascii="CESI仿宋-GB13000" w:hAnsi="CESI仿宋-GB13000" w:eastAsia="CESI仿宋-GB13000" w:cs="CESI仿宋-GB13000"/>
          <w:i w:val="0"/>
          <w:caps w:val="0"/>
          <w:color w:val="333333"/>
          <w:spacing w:val="0"/>
          <w:sz w:val="32"/>
          <w:szCs w:val="32"/>
        </w:rPr>
      </w:pPr>
      <w:r>
        <w:rPr>
          <w:rFonts w:hint="eastAsia" w:ascii="CESI仿宋-GB13000" w:hAnsi="CESI仿宋-GB13000" w:eastAsia="CESI仿宋-GB13000" w:cs="CESI仿宋-GB13000"/>
          <w:i w:val="0"/>
          <w:caps w:val="0"/>
          <w:color w:val="333333"/>
          <w:spacing w:val="0"/>
          <w:sz w:val="32"/>
          <w:szCs w:val="32"/>
          <w:shd w:val="clear" w:color="auto" w:fill="FFFFFF"/>
        </w:rPr>
        <w:t>　　对自供热单位，按向居民供热建筑面积占总供热建筑面积的比例，计算免征供热所使用的厂房及土地的房产税、城镇土地使用税。  </w:t>
      </w:r>
    </w:p>
    <w:p>
      <w:pPr>
        <w:pStyle w:val="2"/>
        <w:keepNext w:val="0"/>
        <w:keepLines w:val="0"/>
        <w:widowControl/>
        <w:suppressLineNumbers w:val="0"/>
        <w:shd w:val="clear" w:color="auto" w:fill="FFFFFF"/>
        <w:spacing w:before="0" w:beforeAutospacing="0" w:after="150" w:afterAutospacing="0"/>
        <w:ind w:left="0" w:right="0" w:firstLine="0"/>
        <w:jc w:val="both"/>
        <w:rPr>
          <w:rFonts w:hint="eastAsia" w:ascii="CESI仿宋-GB13000" w:hAnsi="CESI仿宋-GB13000" w:eastAsia="CESI仿宋-GB13000" w:cs="CESI仿宋-GB13000"/>
          <w:i w:val="0"/>
          <w:caps w:val="0"/>
          <w:color w:val="333333"/>
          <w:spacing w:val="0"/>
          <w:sz w:val="32"/>
          <w:szCs w:val="32"/>
        </w:rPr>
      </w:pPr>
      <w:r>
        <w:rPr>
          <w:rFonts w:hint="eastAsia" w:ascii="CESI仿宋-GB13000" w:hAnsi="CESI仿宋-GB13000" w:eastAsia="CESI仿宋-GB13000" w:cs="CESI仿宋-GB13000"/>
          <w:i w:val="0"/>
          <w:caps w:val="0"/>
          <w:color w:val="333333"/>
          <w:spacing w:val="0"/>
          <w:sz w:val="32"/>
          <w:szCs w:val="32"/>
          <w:shd w:val="clear" w:color="auto" w:fill="FFFFFF"/>
        </w:rPr>
        <w:t>　　三、本公告所称供热企业，是指热力产品生产企业和热力产品经营企业。热力产品生产企业包括专业供热企业、兼营供热企业和自供热单位。  </w:t>
      </w:r>
    </w:p>
    <w:p>
      <w:pPr>
        <w:pStyle w:val="2"/>
        <w:keepNext w:val="0"/>
        <w:keepLines w:val="0"/>
        <w:widowControl/>
        <w:suppressLineNumbers w:val="0"/>
        <w:shd w:val="clear" w:color="auto" w:fill="FFFFFF"/>
        <w:spacing w:before="0" w:beforeAutospacing="0" w:after="150" w:afterAutospacing="0"/>
        <w:ind w:left="0" w:right="0" w:firstLine="0"/>
        <w:jc w:val="both"/>
        <w:rPr>
          <w:rFonts w:hint="eastAsia" w:ascii="CESI仿宋-GB13000" w:hAnsi="CESI仿宋-GB13000" w:eastAsia="CESI仿宋-GB13000" w:cs="CESI仿宋-GB13000"/>
          <w:i w:val="0"/>
          <w:caps w:val="0"/>
          <w:color w:val="333333"/>
          <w:spacing w:val="0"/>
          <w:sz w:val="32"/>
          <w:szCs w:val="32"/>
        </w:rPr>
      </w:pPr>
      <w:r>
        <w:rPr>
          <w:rFonts w:hint="eastAsia" w:ascii="CESI仿宋-GB13000" w:hAnsi="CESI仿宋-GB13000" w:eastAsia="CESI仿宋-GB13000" w:cs="CESI仿宋-GB13000"/>
          <w:i w:val="0"/>
          <w:caps w:val="0"/>
          <w:color w:val="333333"/>
          <w:spacing w:val="0"/>
          <w:sz w:val="32"/>
          <w:szCs w:val="32"/>
          <w:shd w:val="clear" w:color="auto" w:fill="FFFFFF"/>
        </w:rPr>
        <w:t>　　四、本公告所称“三北”地区，是指北京市、天津市、河北省、山西省、内蒙古自治区、辽宁省、大连市、吉林省、黑龙江省、山东省、青岛市、河南省、陕西省、甘肃省、青海省、宁夏回族自治区和新疆维吾尔自治区。  </w:t>
      </w:r>
    </w:p>
    <w:p>
      <w:pPr>
        <w:pStyle w:val="2"/>
        <w:keepNext w:val="0"/>
        <w:keepLines w:val="0"/>
        <w:widowControl/>
        <w:suppressLineNumbers w:val="0"/>
        <w:shd w:val="clear" w:color="auto" w:fill="FFFFFF"/>
        <w:spacing w:before="0" w:beforeAutospacing="0" w:after="150" w:afterAutospacing="0"/>
        <w:ind w:left="0" w:right="0" w:firstLine="0"/>
        <w:jc w:val="both"/>
        <w:rPr>
          <w:rFonts w:hint="eastAsia" w:ascii="CESI仿宋-GB13000" w:hAnsi="CESI仿宋-GB13000" w:eastAsia="CESI仿宋-GB13000" w:cs="CESI仿宋-GB13000"/>
          <w:i w:val="0"/>
          <w:caps w:val="0"/>
          <w:color w:val="333333"/>
          <w:spacing w:val="0"/>
          <w:sz w:val="32"/>
          <w:szCs w:val="32"/>
        </w:rPr>
      </w:pPr>
      <w:r>
        <w:rPr>
          <w:rFonts w:hint="eastAsia" w:ascii="CESI仿宋-GB13000" w:hAnsi="CESI仿宋-GB13000" w:eastAsia="CESI仿宋-GB13000" w:cs="CESI仿宋-GB13000"/>
          <w:i w:val="0"/>
          <w:caps w:val="0"/>
          <w:color w:val="333333"/>
          <w:spacing w:val="0"/>
          <w:sz w:val="32"/>
          <w:szCs w:val="32"/>
          <w:shd w:val="clear" w:color="auto" w:fill="FFFFFF"/>
        </w:rPr>
        <w:t>　　五、本公告执行至2027年供暖期结束，供暖期是指当年下半年供暖开始至次年上半年供暖结束的期间。  </w:t>
      </w:r>
    </w:p>
    <w:p>
      <w:pPr>
        <w:pStyle w:val="2"/>
        <w:keepNext w:val="0"/>
        <w:keepLines w:val="0"/>
        <w:widowControl/>
        <w:suppressLineNumbers w:val="0"/>
        <w:shd w:val="clear" w:color="auto" w:fill="FFFFFF"/>
        <w:spacing w:before="0" w:beforeAutospacing="0" w:after="150" w:afterAutospacing="0"/>
        <w:ind w:left="0" w:right="0" w:firstLine="0"/>
        <w:jc w:val="both"/>
        <w:rPr>
          <w:rFonts w:hint="eastAsia" w:ascii="CESI仿宋-GB13000" w:hAnsi="CESI仿宋-GB13000" w:eastAsia="CESI仿宋-GB13000" w:cs="CESI仿宋-GB13000"/>
          <w:i w:val="0"/>
          <w:caps w:val="0"/>
          <w:color w:val="333333"/>
          <w:spacing w:val="0"/>
          <w:sz w:val="32"/>
          <w:szCs w:val="32"/>
        </w:rPr>
      </w:pPr>
      <w:r>
        <w:rPr>
          <w:rFonts w:hint="eastAsia" w:ascii="CESI仿宋-GB13000" w:hAnsi="CESI仿宋-GB13000" w:eastAsia="CESI仿宋-GB13000" w:cs="CESI仿宋-GB13000"/>
          <w:i w:val="0"/>
          <w:caps w:val="0"/>
          <w:color w:val="333333"/>
          <w:spacing w:val="0"/>
          <w:sz w:val="32"/>
          <w:szCs w:val="32"/>
          <w:shd w:val="clear" w:color="auto" w:fill="FFFFFF"/>
        </w:rPr>
        <w:t>　　特此公告。   </w:t>
      </w:r>
    </w:p>
    <w:p>
      <w:pPr>
        <w:pStyle w:val="2"/>
        <w:keepNext w:val="0"/>
        <w:keepLines w:val="0"/>
        <w:widowControl/>
        <w:suppressLineNumbers w:val="0"/>
        <w:shd w:val="clear" w:color="auto" w:fill="FFFFFF"/>
        <w:spacing w:before="0" w:beforeAutospacing="0" w:after="150" w:afterAutospacing="0"/>
        <w:ind w:left="0" w:right="0" w:firstLine="0"/>
        <w:jc w:val="right"/>
        <w:rPr>
          <w:rFonts w:hint="eastAsia" w:ascii="CESI仿宋-GB13000" w:hAnsi="CESI仿宋-GB13000" w:eastAsia="CESI仿宋-GB13000" w:cs="CESI仿宋-GB13000"/>
          <w:i w:val="0"/>
          <w:caps w:val="0"/>
          <w:color w:val="333333"/>
          <w:spacing w:val="0"/>
          <w:sz w:val="32"/>
          <w:szCs w:val="32"/>
        </w:rPr>
      </w:pPr>
      <w:r>
        <w:rPr>
          <w:rFonts w:hint="eastAsia" w:ascii="CESI仿宋-GB13000" w:hAnsi="CESI仿宋-GB13000" w:eastAsia="CESI仿宋-GB13000" w:cs="CESI仿宋-GB13000"/>
          <w:i w:val="0"/>
          <w:caps w:val="0"/>
          <w:color w:val="333333"/>
          <w:spacing w:val="0"/>
          <w:sz w:val="32"/>
          <w:szCs w:val="32"/>
          <w:shd w:val="clear" w:color="auto" w:fill="FFFFFF"/>
        </w:rPr>
        <w:t>　　财政部 税务总局  </w:t>
      </w:r>
    </w:p>
    <w:p>
      <w:pPr>
        <w:pStyle w:val="2"/>
        <w:keepNext w:val="0"/>
        <w:keepLines w:val="0"/>
        <w:widowControl/>
        <w:suppressLineNumbers w:val="0"/>
        <w:shd w:val="clear" w:color="auto" w:fill="FFFFFF"/>
        <w:spacing w:before="0" w:beforeAutospacing="0" w:after="150" w:afterAutospacing="0"/>
        <w:ind w:left="0" w:right="0" w:firstLine="0"/>
        <w:jc w:val="right"/>
        <w:rPr>
          <w:rFonts w:hint="eastAsia" w:ascii="CESI仿宋-GB13000" w:hAnsi="CESI仿宋-GB13000" w:eastAsia="CESI仿宋-GB13000" w:cs="CESI仿宋-GB13000"/>
          <w:i w:val="0"/>
          <w:caps w:val="0"/>
          <w:color w:val="333333"/>
          <w:spacing w:val="0"/>
          <w:sz w:val="32"/>
          <w:szCs w:val="32"/>
        </w:rPr>
      </w:pPr>
      <w:r>
        <w:rPr>
          <w:rFonts w:hint="eastAsia" w:ascii="CESI仿宋-GB13000" w:hAnsi="CESI仿宋-GB13000" w:eastAsia="CESI仿宋-GB13000" w:cs="CESI仿宋-GB13000"/>
          <w:i w:val="0"/>
          <w:caps w:val="0"/>
          <w:color w:val="333333"/>
          <w:spacing w:val="0"/>
          <w:sz w:val="32"/>
          <w:szCs w:val="32"/>
          <w:shd w:val="clear" w:color="auto" w:fill="FFFFFF"/>
        </w:rPr>
        <w:t>　　　　　　2023年9月22日  </w:t>
      </w:r>
    </w:p>
    <w:p>
      <w:pPr>
        <w:rPr>
          <w:rFonts w:hint="eastAsia" w:ascii="CESI仿宋-GB13000" w:hAnsi="CESI仿宋-GB13000" w:eastAsia="CESI仿宋-GB13000" w:cs="CESI仿宋-GB13000"/>
          <w:sz w:val="32"/>
          <w:szCs w:val="32"/>
        </w:rPr>
      </w:pP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ESI仿宋-GB13000">
    <w:altName w:val="仿宋"/>
    <w:panose1 w:val="02000500000000000000"/>
    <w:charset w:val="86"/>
    <w:family w:val="auto"/>
    <w:pitch w:val="default"/>
    <w:sig w:usb0="00000000" w:usb1="00000000" w:usb2="00000016" w:usb3="00000000" w:csb0="0004000F" w:csb1="00000000"/>
  </w:font>
  <w:font w:name="sans-serif">
    <w:altName w:val="微软雅黑"/>
    <w:panose1 w:val="00000000000000000000"/>
    <w:charset w:val="00"/>
    <w:family w:val="auto"/>
    <w:pitch w:val="default"/>
    <w:sig w:usb0="00000000"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CF3C52"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F886AF6"/>
    <w:rsid w:val="1F094FCB"/>
    <w:rsid w:val="1F886A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2023-09-28T06:55:00Z</dcterms:created>
  <dc:creator>user</dc:creator>
  <cp:lastModifiedBy>lenovo</cp:lastModifiedBy>
  <dcterms:modified xsi:type="dcterms:W3CDTF">2023-11-02T09:50:09Z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A71C047098394F3EB9720A280CFF90F1</vt:lpwstr>
  </property>
</Properties>
</file>