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spacing w:line="480" w:lineRule="exact"/>
        <w:jc w:val="center"/>
        <w:rPr>
          <w:rFonts w:ascii="宋体" w:hAnsi="宋体"/>
          <w:b/>
          <w:sz w:val="44"/>
          <w:szCs w:val="44"/>
        </w:rPr>
      </w:pPr>
      <w:r>
        <w:rPr>
          <w:rFonts w:hint="eastAsia" w:ascii="宋体" w:hAnsi="宋体"/>
          <w:b/>
          <w:sz w:val="44"/>
          <w:szCs w:val="44"/>
        </w:rPr>
        <w:t>隆尧县商务局2021年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10"/>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93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2</w:t>
            </w: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bl>
    <w:p>
      <w:pPr>
        <w:widowControl/>
        <w:spacing w:line="480" w:lineRule="exact"/>
        <w:jc w:val="left"/>
        <w:rPr>
          <w:rFonts w:ascii="仿宋" w:hAnsi="仿宋" w:eastAsia="仿宋" w:cs="仿宋"/>
          <w:kern w:val="0"/>
          <w:sz w:val="32"/>
          <w:szCs w:val="32"/>
          <w:shd w:val="clear" w:color="auto" w:fill="FFFFFF"/>
        </w:rPr>
      </w:pPr>
    </w:p>
    <w:p>
      <w:pPr>
        <w:rPr>
          <w:rFonts w:ascii="黑体" w:hAnsi="黑体" w:eastAsia="黑体" w:cs="黑体"/>
          <w:b/>
          <w:bCs/>
          <w:sz w:val="30"/>
          <w:szCs w:val="30"/>
        </w:rPr>
      </w:pP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隆尧县商务局</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pStyle w:val="19"/>
        <w:numPr>
          <w:ilvl w:val="0"/>
          <w:numId w:val="1"/>
        </w:numPr>
        <w:ind w:firstLineChars="0"/>
        <w:rPr>
          <w:rFonts w:ascii="黑体" w:hAnsi="黑体" w:eastAsia="黑体" w:cs="仿宋"/>
          <w:sz w:val="32"/>
          <w:szCs w:val="32"/>
        </w:rPr>
      </w:pPr>
      <w:r>
        <w:rPr>
          <w:rFonts w:hint="eastAsia" w:ascii="黑体" w:hAnsi="黑体" w:eastAsia="黑体" w:cs="仿宋"/>
          <w:sz w:val="32"/>
          <w:szCs w:val="32"/>
        </w:rPr>
        <w:t>基本概况。</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pPr>
        <w:spacing w:line="360" w:lineRule="auto"/>
        <w:ind w:firstLine="640" w:firstLineChars="200"/>
        <w:rPr>
          <w:rFonts w:ascii="仿宋" w:hAnsi="仿宋" w:eastAsia="仿宋"/>
          <w:sz w:val="32"/>
          <w:szCs w:val="32"/>
        </w:rPr>
      </w:pPr>
      <w:r>
        <w:rPr>
          <w:rFonts w:hint="eastAsia" w:ascii="仿宋" w:hAnsi="仿宋" w:eastAsia="仿宋" w:cs="仿宋"/>
          <w:sz w:val="32"/>
          <w:szCs w:val="32"/>
        </w:rPr>
        <w:t>部门主要职责职能：</w:t>
      </w:r>
      <w:r>
        <w:rPr>
          <w:rFonts w:hint="eastAsia" w:ascii="仿宋" w:hAnsi="仿宋" w:eastAsia="仿宋"/>
          <w:sz w:val="32"/>
          <w:szCs w:val="32"/>
        </w:rPr>
        <w:t>1.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spacing w:line="360" w:lineRule="auto"/>
        <w:ind w:firstLine="640" w:firstLineChars="200"/>
        <w:rPr>
          <w:rFonts w:ascii="仿宋" w:hAnsi="仿宋" w:eastAsia="仿宋"/>
          <w:sz w:val="32"/>
          <w:szCs w:val="32"/>
        </w:rPr>
      </w:pPr>
      <w:r>
        <w:rPr>
          <w:rFonts w:hint="eastAsia" w:ascii="仿宋" w:hAnsi="仿宋" w:eastAsia="仿宋"/>
          <w:sz w:val="32"/>
          <w:szCs w:val="32"/>
        </w:rPr>
        <w:t>2.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spacing w:line="360" w:lineRule="auto"/>
        <w:ind w:firstLine="640" w:firstLineChars="200"/>
        <w:rPr>
          <w:rFonts w:ascii="仿宋" w:hAnsi="仿宋" w:eastAsia="仿宋"/>
          <w:sz w:val="32"/>
          <w:szCs w:val="32"/>
        </w:rPr>
      </w:pPr>
      <w:r>
        <w:rPr>
          <w:rFonts w:hint="eastAsia" w:ascii="仿宋" w:hAnsi="仿宋" w:eastAsia="仿宋"/>
          <w:sz w:val="32"/>
          <w:szCs w:val="32"/>
        </w:rPr>
        <w:t>3.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spacing w:line="360" w:lineRule="auto"/>
        <w:ind w:firstLine="640" w:firstLineChars="200"/>
        <w:rPr>
          <w:rFonts w:ascii="仿宋" w:hAnsi="仿宋" w:eastAsia="仿宋"/>
          <w:sz w:val="32"/>
          <w:szCs w:val="32"/>
        </w:rPr>
      </w:pPr>
      <w:r>
        <w:rPr>
          <w:rFonts w:hint="eastAsia" w:ascii="仿宋" w:hAnsi="仿宋" w:eastAsia="仿宋"/>
          <w:sz w:val="32"/>
          <w:szCs w:val="32"/>
        </w:rPr>
        <w:t>4.牵头推进商务领域信用体系建设，建立商务诚信公共服务平台。规范商贸企业交易行为，牵头推动重要产品追溯体系建设；按有关规定对特殊流通行业进行监督管理。</w:t>
      </w:r>
    </w:p>
    <w:p>
      <w:pPr>
        <w:spacing w:line="360" w:lineRule="auto"/>
        <w:ind w:firstLine="640" w:firstLineChars="200"/>
        <w:rPr>
          <w:rFonts w:ascii="仿宋" w:hAnsi="仿宋" w:eastAsia="仿宋"/>
          <w:sz w:val="32"/>
          <w:szCs w:val="32"/>
        </w:rPr>
      </w:pPr>
      <w:r>
        <w:rPr>
          <w:rFonts w:hint="eastAsia" w:ascii="仿宋" w:hAnsi="仿宋" w:eastAsia="仿宋"/>
          <w:sz w:val="32"/>
          <w:szCs w:val="32"/>
        </w:rPr>
        <w:t>5.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spacing w:line="360" w:lineRule="auto"/>
        <w:ind w:firstLine="640" w:firstLineChars="200"/>
        <w:rPr>
          <w:rFonts w:ascii="仿宋" w:hAnsi="仿宋" w:eastAsia="仿宋"/>
          <w:sz w:val="32"/>
          <w:szCs w:val="32"/>
        </w:rPr>
      </w:pPr>
      <w:r>
        <w:rPr>
          <w:rFonts w:hint="eastAsia" w:ascii="仿宋" w:hAnsi="仿宋" w:eastAsia="仿宋"/>
          <w:sz w:val="32"/>
          <w:szCs w:val="32"/>
        </w:rPr>
        <w:t>6.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spacing w:line="360" w:lineRule="auto"/>
        <w:ind w:firstLine="640" w:firstLineChars="200"/>
        <w:rPr>
          <w:rFonts w:ascii="仿宋" w:hAnsi="仿宋" w:eastAsia="仿宋"/>
          <w:sz w:val="32"/>
          <w:szCs w:val="32"/>
        </w:rPr>
      </w:pPr>
      <w:r>
        <w:rPr>
          <w:rFonts w:hint="eastAsia" w:ascii="仿宋" w:hAnsi="仿宋" w:eastAsia="仿宋"/>
          <w:sz w:val="32"/>
          <w:szCs w:val="32"/>
        </w:rPr>
        <w:t>7.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spacing w:line="360" w:lineRule="auto"/>
        <w:ind w:firstLine="640" w:firstLineChars="200"/>
        <w:rPr>
          <w:rFonts w:ascii="仿宋" w:hAnsi="仿宋" w:eastAsia="仿宋"/>
          <w:sz w:val="32"/>
          <w:szCs w:val="32"/>
        </w:rPr>
      </w:pPr>
      <w:r>
        <w:rPr>
          <w:rFonts w:hint="eastAsia" w:ascii="仿宋" w:hAnsi="仿宋" w:eastAsia="仿宋"/>
          <w:sz w:val="32"/>
          <w:szCs w:val="32"/>
        </w:rPr>
        <w:t>8.会同有关部门贯彻执行国家和省、市促进服务出口和服务外包发展的规划、政策，牵头拟订全县服务贸易发展规划并组织实施。</w:t>
      </w:r>
    </w:p>
    <w:p>
      <w:pPr>
        <w:spacing w:line="360" w:lineRule="auto"/>
        <w:ind w:firstLine="640" w:firstLineChars="200"/>
        <w:rPr>
          <w:rFonts w:ascii="仿宋" w:hAnsi="仿宋" w:eastAsia="仿宋"/>
          <w:sz w:val="32"/>
          <w:szCs w:val="32"/>
        </w:rPr>
      </w:pPr>
      <w:r>
        <w:rPr>
          <w:rFonts w:hint="eastAsia" w:ascii="仿宋" w:hAnsi="仿宋" w:eastAsia="仿宋"/>
          <w:sz w:val="32"/>
          <w:szCs w:val="32"/>
        </w:rPr>
        <w:t>9.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10.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11.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12.负责全县商务系统涉及世贸组织相关事务的研究、指导和服务工作，配合商务部、省商务厅、市商务局解决世贸组织框架下涉及我县的贸易争端，负责推进全县进出口贸易的标准化建设。</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13.贯彻执行国家和省、市制定的对自由贸易区国家和地区的经贸规划、政策，并组织实施，管理联合国及其他国际组织或外国政府对我县经济技术合作方面的无偿援助及赠款等发展合作业务。</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14.负责全县会展业促进与管理工作，指导、管理境内外对外经济技术展览会和赴境外非商业性办展活动。</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15.监测分析全县商务运行情况，承担全县商务系统对外宣传和信息发布工作。</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16.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17.完成县委、县政府交办的其他任务。</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部门组织架构：1</w:t>
      </w:r>
      <w:r>
        <w:rPr>
          <w:rFonts w:hint="eastAsia" w:ascii="仿宋" w:hAnsi="仿宋" w:eastAsia="仿宋"/>
          <w:sz w:val="32"/>
          <w:szCs w:val="32"/>
        </w:rPr>
        <w:t>.</w:t>
      </w:r>
      <w:r>
        <w:rPr>
          <w:rFonts w:hint="eastAsia" w:ascii="仿宋" w:hAnsi="仿宋" w:eastAsia="仿宋" w:cs="仿宋"/>
          <w:sz w:val="32"/>
          <w:szCs w:val="32"/>
        </w:rPr>
        <w:t>办公室。负责政务值班、公文处理、会务、机要等机关日常工作的运转协调；承担督查督办、制度建设、档案、保密、政府信息公开、信访、安全保卫等工作；负责局机关和所属单位的人事管理、机构编制、队伍建设和教育培训等工作；负责局机关和所属单位临时出境人员政治审查等工作；负责局机关和所属单位的党群工作；负责离退休干部工作；负责部门预决算、局机关财务收支、会计核算、公积金等管理工作，协调项目资金的绩效评价工作；承担局机关资产、基建的核算工作；负责监督管理、指导所属单位的财会工作；负责定点扶贫、对口援助资金管理工作；协调申报各项国内外贸易和国际经济合作等专项资金项目并实施管理监督；协调落实与商务工作相关的财税、金融、外汇等政策。负责编制全县商务发展中长期规划，提出年度和阶段性商务工作安排建议；研究起草综合性文稿；承担商务运行综合分析和政务信息工作；统筹协调商务领域改革；参与重要会议组织并承担会议材料准备工作；负责本单位新闻发布工作；承担商务领域前瞻性研究和重大商务课题调研的协调工作。配合商务部、省商务厅、市商务局调查国（境）外对我国出口商品实施的歧视性贸易政策及做法；做好进出口商品贸易救济案件调查工作，指导、协调涉案企业应对贸易摩擦申诉；建立产业安全预警机制，按照管理权限依法参与颁发两用物项和技术进出口许可证相关事宜；配合商务部、省商务厅、市商务局进行进口安全审查及执法调查工作；承办商务部、省商务厅、市商务局交办的世贸组织相关工作，解决世贸组织框架下涉及我县贸易争端相关工作；按规定对全县贸易政策进行合规评估，负责相关业务的宣传培训工作。参与起草商务领域地方性政策措施和管理办法；推进普法工作，指导、监督全县商务行政执法工作，负责局机关规范性文件的合法性审查、备案；指导、规范机关行政许可相关工作，承办行政复议、行政诉讼；指导、协调外商投诉服务体系建设，受理、处理、协调、转办、督办外商投诉案件；指导、协调涉外企业境外维权，为企业提供政策法律咨询及相关服务。贯彻执行国家服务贸易政策和促进服务业出口规划、政策；牵头拟订全县服务贸易发展规划和组织实施工作；承担技术进出口管理、服务贸易促进和服务贸易统计工作；会同有关方面拟订全县实施促进服务外包发展的政策措施；负责管理12312市场秩序举报投诉服务工作。</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sz w:val="32"/>
          <w:szCs w:val="32"/>
        </w:rPr>
        <w:t>.</w:t>
      </w:r>
      <w:r>
        <w:rPr>
          <w:rFonts w:hint="eastAsia" w:ascii="仿宋" w:hAnsi="仿宋" w:eastAsia="仿宋" w:cs="仿宋"/>
          <w:sz w:val="32"/>
          <w:szCs w:val="32"/>
        </w:rPr>
        <w:t>市场体系建设股。研究拟订全县健全、规范市场体系的政策，推进商品市场标准化；指导大宗产品批发市场建设和城市商业网点规划、商业体系建设，指导社区商业发展，推进农村市场体系建设和改造提升；加强农产品市场、冷链物流等基础设施建设，促进产销衔接和农超对接工作；组织实施国内外资金投向市场体系建设项目；按有关规定对汽车流通行业进行监督管理。</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sz w:val="32"/>
          <w:szCs w:val="32"/>
        </w:rPr>
        <w:t>.</w:t>
      </w:r>
      <w:r>
        <w:rPr>
          <w:rFonts w:hint="eastAsia" w:ascii="仿宋" w:hAnsi="仿宋" w:eastAsia="仿宋" w:cs="仿宋"/>
          <w:sz w:val="32"/>
          <w:szCs w:val="32"/>
        </w:rPr>
        <w:t>商贸流通和电子商务股。负责提出促进流通业发展的有关政策，完善国内贸易市场组织体系；推动连锁经营、商业特许经营等流通方式发展，促进流通标准化和现代流通技术进步；推进商贸物流体系建设，构建中小微流通企业公共服务体系；推进再生资源回收和商贸企业节能减排等绿色流通工作，对拍卖、旧货流通、免税商店等特殊流通行业进行监督管理；负责内贸流通行业统计工作；负责会展业促进与管理工作，指导、管理境内外经济技术展会和赴境外非商业性办展活动；承担全县商务服务业（含餐饮业、住宿业等生活服务业）行业的管理工作。贯彻执行国家、省、市运用电子商务开拓国内外市场的相关政策、措施及商务领域电子商务相关标准和规则；承担县电子商务工作领导小组办公室工作，拟订全县电子商务发展的相关政策、规则、措施并组织实施，推动电子商务现代流通方式发展；建立完善商务信息公共服务体系，实施商务信息公共服务体系建设；承担机关电子政务建设及管理工作，组织进出口预警、市场运行和商品供求监测信息体系建设。</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sz w:val="32"/>
          <w:szCs w:val="32"/>
        </w:rPr>
        <w:t>.</w:t>
      </w:r>
      <w:r>
        <w:rPr>
          <w:rFonts w:hint="eastAsia" w:ascii="仿宋" w:hAnsi="仿宋" w:eastAsia="仿宋" w:cs="仿宋"/>
          <w:sz w:val="32"/>
          <w:szCs w:val="32"/>
        </w:rPr>
        <w:t>市场运行和消费促进股。监测、分析县内生活必需品市场运行和商品供求状况，调查分析商品价格信息，负责市场预测、预警和信息引导并提出市场运行及调控政策建议；承担生活必需品市场供应应急管理机制相关工作；承担重要消费品储备（肉类、小包装食品等）管理和市场调控的有关工作；统筹商务领域消费促进工作；负责商务系统生活必需品突发事件的应对工作，指导协调商务系统应急管理和安全生产工作；组织拟订加油站和成品油行业发展规划，实施成品油零售经营监管，按有关规定对成品油市场进行监督管理；按有关规定拟订酒类流通规划和政策，负责酒类流通发展和促进工作；负责茧丝绸协调工作。牵头推进商务领域诚信体系建设，建立商务诚信公共服务平台、建立健全信用激励约束机制，促进商业信用销售和信用服务业发展；规范商贸企业交易行为，按照管理权限负责单用途商业预付卡管理工作；牵头规范零售企业促销行为，推动零售商供应商公平交易；牵头推动全县重要产品追溯体系建设；负责药品流通行业相关管理工作；负责推进商贸领域行政执法。</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sz w:val="32"/>
          <w:szCs w:val="32"/>
        </w:rPr>
        <w:t>.</w:t>
      </w:r>
      <w:r>
        <w:rPr>
          <w:rFonts w:hint="eastAsia" w:ascii="仿宋" w:hAnsi="仿宋" w:eastAsia="仿宋" w:cs="仿宋"/>
          <w:sz w:val="32"/>
          <w:szCs w:val="32"/>
        </w:rPr>
        <w:t>外资外贸股。指导、协调全县货物进出口工作，参与拟订全县进出口商品中长期规划和外贸增长方式转变的政策措施；组织实施全县一般货物的进出口年度任务目标，监测分析全县进出口贸易运行状况；执行国家和省、市制定的进出口商品管理办法和目录；承担重要工业品、原材料和农产品进出口的组织实施；按照管理权限负责全县进出口商品配额及许可证的申报事宜；承担我县在境内外业务对口的交易、洽谈会等贸易促进活动及外贸促进体系建设指导工作；按规定负责全县对外贸易经营者备案登记的监督和指导工作。负责贯彻执行国家和省、市利用外资法律法规规章和外商投资产业政策，拟订全县外商投资政策并组织实施；按照管理权限依法对外商投资企业设立及变更备案、外商投资项目合同章程及法律规定的变更事项进行管理和监督检查；指导全县外商投资企业备案工作，按照管理权限依法监督检查外商投资企业执行法律法规规章和合同章程的情况并协调解决有关问题；牵头组织实施全县外商投资企业联合年报工作；负责全县利用外资统计工作；指导全县吸引外资工作，拟订具体意见和措施，推进吸引外资体系建设；规范全县对外招商引资活动，组织重大涉外经贸活动；统筹协调吸引外资工作，建立常态化招商网络，推介我县投资环境；对接重要客商和投资促进机构，推动重点合作项目，组织吸引外资系列活动。按照国家级、省级经济技术开发区（园区）发展规划及有关政策，拟订我县有关经济技术开发区（园区）发展规划及相关政策；负责经济技术开发区（园区）的设立、升级、扩区等上报工作。贯彻执行国家和省、市对外经济合作相关政策，拟订并组织实施全县对外经济合作发展规划和政策措施；依法管理、监督全县对外投资、对外承包工程、对外劳务合作等业务；负责县内企业对外投资设立企业（金融企业除外）、对外承包工程项目备案的服务工作；承担全县对外援助项目实施企业资格上报，指导、管理我国对外援助涉及我县项目实施；负责指导全县境外经贸合作区建设相关工作；指导全县对外投资和经济合作促进工作，组织对外经济合作相关培训；负责全县对外投资和经济合作统计工作。贯彻落实国家多边、区域经贸政策，组织实施多边、区域及自由贸易区的经贸活动；组织协调境外重要经贸团组和活动，按照管理权限参与与我国驻外使馆经商处和外国驻华使领馆商务处建立沟通和信息联系机制相关事宜；承担联合国等国际组织及外国政府对我县经济技术合作的有关管理事务，归口管理落实在我县的全部国际无偿援助项目；负责有关商务外事制度和商务外事活动的落实和服务工作，组织、指导全县与香港、澳门特别行政区及台湾地区的经贸交流与合作；管理、指导全县对台贸易，协调台商投资管理工作；贯彻落实国家和省自由贸易区战略并组织实施；按照管理权限审批本系统、本单位所属股级及以下人员临时因公出国（境）任务，办理邀请外商来隆手续等相关事宜。</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6</w:t>
      </w:r>
      <w:r>
        <w:rPr>
          <w:rFonts w:hint="eastAsia" w:ascii="仿宋" w:hAnsi="仿宋" w:eastAsia="仿宋"/>
          <w:sz w:val="32"/>
          <w:szCs w:val="32"/>
        </w:rPr>
        <w:t>.</w:t>
      </w:r>
      <w:r>
        <w:rPr>
          <w:rFonts w:hint="eastAsia" w:ascii="仿宋" w:hAnsi="仿宋" w:eastAsia="仿宋" w:cs="仿宋"/>
          <w:sz w:val="32"/>
          <w:szCs w:val="32"/>
        </w:rPr>
        <w:t>外事办公室综合股。组织开展外事工作政策研究；对拟订的外事方面规范性文件进行合法性审核；负责指导和管理全县因公出国、赴港澳工作；负责我县因公临时出国、赴港澳的审核报批工作；负责起草县级领导干部年度出访计划，承办县级领导干部出访报批事宜；审核全县各单位的年度出访计划；按照权限，做好我县人员申报APEC商务旅行卡的审核上报工作；负责我县境外机构和公民领事保护协调工作；负责审核职权范围内邀请外国来华申请；配合有关部门处置涉外案（事）件；负责办理外国和港澳记者来隆采访的相关事务；参与管理留学生工作；参与我县社会组织参与国际非政府组织活动的协调管理工作；按照外事职责对境外非政府组织及其代表机构在我县开展活动依法实施监督管理。负责外事方面的法治宣传学习教育、政策指导、依法行政、情况通报工作；负责我县与国外的交往工作；研究有关国家及地方情况，向县委、县政府提出建议；承办县领导对外交往事宜；承办重要外宾的邀请上报和接待工作；负责我县与我驻外使领馆的工作联系；负责外国驻华使馆和驻华国际组织的工作联系及来访接待；负责我县与外国友好城市及其他结好单位的交往管理，负责对外缔结友好城市的报批手续；指导民间对外友好交往工作；负责在我县举办的国际会议的审核报批工作；会同有关部门开展对外宣传工作；承办涉港澳事务综合性工作；承办我县与香港、澳门特别行政区政府因公往来工作；承办与港澳同胞及其社团的联络及邀请接待工作；依法对涉港澳捐赠的管理和使用进行监督，为港澳同胞实施捐赠提供协助和服务。承办领导交办的其他事项。</w:t>
      </w:r>
    </w:p>
    <w:p>
      <w:pPr>
        <w:adjustRightInd w:val="0"/>
        <w:rPr>
          <w:rFonts w:ascii="仿宋" w:hAnsi="仿宋" w:eastAsia="仿宋" w:cs="仿宋"/>
          <w:sz w:val="32"/>
          <w:szCs w:val="32"/>
        </w:rPr>
      </w:pPr>
      <w:r>
        <w:rPr>
          <w:rFonts w:hint="eastAsia" w:ascii="仿宋" w:hAnsi="仿宋" w:eastAsia="仿宋" w:cs="仿宋"/>
          <w:sz w:val="32"/>
          <w:szCs w:val="32"/>
        </w:rPr>
        <w:t xml:space="preserve">   （二）人员及资产情况。</w:t>
      </w:r>
    </w:p>
    <w:p>
      <w:pPr>
        <w:keepNext w:val="0"/>
        <w:keepLines w:val="0"/>
        <w:pageBreakBefore w:val="0"/>
        <w:widowControl w:val="0"/>
        <w:kinsoku/>
        <w:wordWrap/>
        <w:overflowPunct/>
        <w:topLinePunct w:val="0"/>
        <w:autoSpaceDE/>
        <w:autoSpaceDN/>
        <w:bidi w:val="0"/>
        <w:adjustRightInd/>
        <w:snapToGrid w:val="0"/>
        <w:spacing w:line="55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截止2021年底，我单位在职人员23名，其中行政编制人员14名，自收自支人员9名。我单位资产原值32.10万元，累计折旧24.04万元，资产净值 8.06万元。</w:t>
      </w:r>
    </w:p>
    <w:p>
      <w:pPr>
        <w:adjustRightInd w:val="0"/>
        <w:rPr>
          <w:rFonts w:ascii="仿宋" w:hAnsi="仿宋" w:eastAsia="仿宋" w:cs="仿宋"/>
          <w:sz w:val="32"/>
          <w:szCs w:val="32"/>
        </w:rPr>
      </w:pPr>
      <w:r>
        <w:rPr>
          <w:rFonts w:hint="eastAsia" w:ascii="仿宋" w:hAnsi="仿宋" w:eastAsia="仿宋" w:cs="仿宋"/>
          <w:sz w:val="32"/>
          <w:szCs w:val="32"/>
        </w:rPr>
        <w:t xml:space="preserve">   （三）部门履职总体目标。</w:t>
      </w:r>
    </w:p>
    <w:p>
      <w:pPr>
        <w:adjustRightInd w:val="0"/>
        <w:rPr>
          <w:rFonts w:ascii="仿宋" w:hAnsi="仿宋" w:eastAsia="仿宋" w:cs="仿宋"/>
          <w:sz w:val="32"/>
          <w:szCs w:val="32"/>
        </w:rPr>
      </w:pPr>
      <w:r>
        <w:rPr>
          <w:rFonts w:hint="eastAsia" w:ascii="仿宋" w:hAnsi="仿宋" w:eastAsia="仿宋" w:cs="仿宋"/>
          <w:sz w:val="32"/>
          <w:szCs w:val="32"/>
        </w:rPr>
        <w:t xml:space="preserve">    按照项目预算，逐项落实项目，使各项目发挥预期效果。</w:t>
      </w:r>
    </w:p>
    <w:p>
      <w:pPr>
        <w:numPr>
          <w:ilvl w:val="0"/>
          <w:numId w:val="2"/>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pPr>
        <w:spacing w:line="360" w:lineRule="auto"/>
        <w:ind w:firstLine="640" w:firstLineChars="200"/>
        <w:rPr>
          <w:rFonts w:ascii="仿宋" w:hAnsi="仿宋" w:eastAsia="仿宋"/>
          <w:sz w:val="32"/>
          <w:szCs w:val="32"/>
        </w:rPr>
      </w:pPr>
      <w:r>
        <w:rPr>
          <w:rFonts w:hint="eastAsia" w:ascii="仿宋" w:hAnsi="仿宋" w:eastAsia="仿宋"/>
          <w:sz w:val="32"/>
          <w:szCs w:val="32"/>
        </w:rPr>
        <w:t>1.招商引资方面。瞄准重点区域、重点客商，加强企业对接、园区对接、项目对接、宣传我县投资环境、力争引进一批战略支撑项目和龙头企业，确保开展招商推介会3场以上，到会客商人数300人以上。</w:t>
      </w:r>
    </w:p>
    <w:p>
      <w:pPr>
        <w:spacing w:line="360" w:lineRule="auto"/>
        <w:ind w:firstLine="640" w:firstLineChars="200"/>
        <w:rPr>
          <w:rFonts w:ascii="仿宋" w:hAnsi="仿宋" w:eastAsia="仿宋"/>
          <w:sz w:val="32"/>
          <w:szCs w:val="32"/>
        </w:rPr>
      </w:pPr>
      <w:r>
        <w:rPr>
          <w:rFonts w:hint="eastAsia" w:ascii="仿宋" w:hAnsi="仿宋" w:eastAsia="仿宋"/>
          <w:sz w:val="32"/>
          <w:szCs w:val="32"/>
        </w:rPr>
        <w:t>2.限额以上企业入统方面。对经营规模较大的企业进行实地走访，对符合条件的企业进行积极宣传，引导企业积极纳入限额以上企业统计范围;对符合条件的个体户，鼓励转为限额以上企业。202</w:t>
      </w:r>
      <w:r>
        <w:rPr>
          <w:rFonts w:hint="eastAsia" w:ascii="仿宋" w:hAnsi="仿宋" w:eastAsia="仿宋"/>
          <w:sz w:val="32"/>
          <w:szCs w:val="32"/>
          <w:lang w:val="en-US" w:eastAsia="zh-CN"/>
        </w:rPr>
        <w:t>1</w:t>
      </w:r>
      <w:r>
        <w:rPr>
          <w:rFonts w:hint="eastAsia" w:ascii="仿宋" w:hAnsi="仿宋" w:eastAsia="仿宋"/>
          <w:sz w:val="32"/>
          <w:szCs w:val="32"/>
        </w:rPr>
        <w:t>年拟增加10家限额以上企业入统。</w:t>
      </w:r>
    </w:p>
    <w:p>
      <w:pPr>
        <w:spacing w:line="360" w:lineRule="auto"/>
        <w:ind w:firstLine="640" w:firstLineChars="200"/>
        <w:rPr>
          <w:rFonts w:ascii="仿宋" w:hAnsi="仿宋" w:eastAsia="仿宋"/>
          <w:sz w:val="32"/>
          <w:szCs w:val="32"/>
        </w:rPr>
      </w:pPr>
      <w:r>
        <w:rPr>
          <w:rFonts w:hint="eastAsia" w:ascii="仿宋" w:hAnsi="仿宋" w:eastAsia="仿宋"/>
          <w:sz w:val="32"/>
          <w:szCs w:val="32"/>
        </w:rPr>
        <w:t>3.利用外资方面。对有意向入驻我县外资企业第一时间介入搞好服务，积极同我县大型企业沟通，利用在境外已注册企业与境内企业联合注册合资企业。使我县利用外资比例有所提高，数额有所增加。</w:t>
      </w:r>
    </w:p>
    <w:p>
      <w:pPr>
        <w:spacing w:line="360" w:lineRule="auto"/>
        <w:ind w:firstLine="640" w:firstLineChars="200"/>
        <w:rPr>
          <w:rFonts w:ascii="仿宋" w:hAnsi="仿宋" w:eastAsia="仿宋"/>
          <w:sz w:val="32"/>
          <w:szCs w:val="32"/>
        </w:rPr>
      </w:pPr>
      <w:r>
        <w:rPr>
          <w:rFonts w:hint="eastAsia" w:ascii="仿宋" w:hAnsi="仿宋" w:eastAsia="仿宋"/>
          <w:sz w:val="32"/>
          <w:szCs w:val="32"/>
        </w:rPr>
        <w:t>4.外贸进出口总额方面。建立外贸专项扶持资金，帮助企业走出国门，开拓国际市场技术创新和项目支持，引导企业，对出口重点企业和增长较大中小企业给予适当物质和精神奖励，增加企业出口内生动力，引导企业实施品牌战略，推动产品国内外认证，提高进出口竞争力。</w:t>
      </w:r>
    </w:p>
    <w:p>
      <w:pPr>
        <w:spacing w:line="360" w:lineRule="auto"/>
        <w:ind w:firstLine="640" w:firstLineChars="200"/>
        <w:rPr>
          <w:rFonts w:ascii="仿宋" w:hAnsi="仿宋" w:eastAsia="仿宋"/>
          <w:sz w:val="32"/>
          <w:szCs w:val="32"/>
        </w:rPr>
      </w:pPr>
      <w:r>
        <w:rPr>
          <w:rFonts w:hint="eastAsia" w:ascii="仿宋" w:hAnsi="仿宋" w:eastAsia="仿宋"/>
          <w:sz w:val="32"/>
          <w:szCs w:val="32"/>
        </w:rPr>
        <w:t>5.电子商务方面。充分利用好“互联网”服务平台，力促电子商务有新的更大的发展。成立我县电子商务协会并运行，切实引领我县电商企业规范有序发展，督促宝信集团加强农村电商服务站经营管理，引领有经验的合作伙伴，全面激活农村电商服务站，为我县农村经济发展做出贡献。</w:t>
      </w:r>
    </w:p>
    <w:p>
      <w:pPr>
        <w:spacing w:line="360" w:lineRule="auto"/>
        <w:ind w:firstLine="640" w:firstLineChars="200"/>
        <w:rPr>
          <w:rFonts w:ascii="仿宋" w:hAnsi="仿宋" w:eastAsia="仿宋"/>
          <w:sz w:val="32"/>
          <w:szCs w:val="32"/>
        </w:rPr>
      </w:pPr>
      <w:r>
        <w:rPr>
          <w:rFonts w:hint="eastAsia" w:ascii="仿宋" w:hAnsi="仿宋" w:eastAsia="仿宋"/>
          <w:sz w:val="32"/>
          <w:szCs w:val="32"/>
        </w:rPr>
        <w:t>6.成品油市场专项整治方面。推动全县成品油经营市场法制化、规划发展；加强日常监管，对全县加油站油气回收装置进行不间断执法检查，确保能够正常使用。</w:t>
      </w:r>
    </w:p>
    <w:p>
      <w:pPr>
        <w:spacing w:line="360" w:lineRule="auto"/>
        <w:ind w:firstLine="640" w:firstLineChars="200"/>
        <w:rPr>
          <w:rFonts w:ascii="仿宋" w:hAnsi="仿宋" w:eastAsia="仿宋"/>
          <w:sz w:val="32"/>
          <w:szCs w:val="32"/>
        </w:rPr>
      </w:pPr>
      <w:r>
        <w:rPr>
          <w:rFonts w:hint="eastAsia" w:ascii="仿宋" w:hAnsi="仿宋" w:eastAsia="仿宋"/>
          <w:sz w:val="32"/>
          <w:szCs w:val="32"/>
        </w:rPr>
        <w:t>7.积极响应上级要求，建立一个跨境电商园区。</w:t>
      </w:r>
    </w:p>
    <w:p>
      <w:pPr>
        <w:adjustRightInd w:val="0"/>
        <w:rPr>
          <w:rFonts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pPr>
        <w:spacing w:line="360" w:lineRule="auto"/>
        <w:ind w:firstLine="640" w:firstLineChars="200"/>
        <w:rPr>
          <w:rFonts w:ascii="仿宋" w:hAnsi="仿宋" w:eastAsia="仿宋"/>
          <w:sz w:val="32"/>
          <w:szCs w:val="32"/>
        </w:rPr>
      </w:pPr>
      <w:r>
        <w:rPr>
          <w:rFonts w:hint="eastAsia" w:ascii="仿宋" w:hAnsi="仿宋" w:eastAsia="仿宋"/>
          <w:sz w:val="32"/>
          <w:szCs w:val="32"/>
        </w:rPr>
        <w:t>2021年一般公共预算资金安排</w:t>
      </w:r>
      <w:r>
        <w:rPr>
          <w:rFonts w:hint="eastAsia" w:ascii="仿宋_GB2312" w:hAnsi="仿宋" w:eastAsia="仿宋_GB2312"/>
          <w:sz w:val="32"/>
          <w:szCs w:val="32"/>
        </w:rPr>
        <w:t>1151.42</w:t>
      </w:r>
      <w:r>
        <w:rPr>
          <w:rFonts w:hint="eastAsia" w:ascii="仿宋" w:hAnsi="仿宋" w:eastAsia="仿宋"/>
          <w:sz w:val="32"/>
          <w:szCs w:val="32"/>
        </w:rPr>
        <w:t>万元，实际支出</w:t>
      </w:r>
      <w:r>
        <w:rPr>
          <w:rFonts w:hint="eastAsia" w:ascii="仿宋_GB2312" w:hAnsi="仿宋" w:eastAsia="仿宋_GB2312"/>
          <w:sz w:val="32"/>
          <w:szCs w:val="32"/>
        </w:rPr>
        <w:t>2411.64万元</w:t>
      </w:r>
      <w:r>
        <w:rPr>
          <w:rFonts w:hint="eastAsia" w:ascii="仿宋" w:hAnsi="仿宋" w:eastAsia="仿宋"/>
          <w:sz w:val="32"/>
          <w:szCs w:val="32"/>
        </w:rPr>
        <w:t>万元，占预算数的109%。主要是省市级专项拨款增加。</w:t>
      </w:r>
    </w:p>
    <w:p>
      <w:pPr>
        <w:ind w:firstLine="640" w:firstLineChars="200"/>
        <w:rPr>
          <w:rFonts w:ascii="黑体" w:hAnsi="黑体" w:eastAsia="黑体" w:cs="仿宋"/>
          <w:sz w:val="32"/>
          <w:szCs w:val="32"/>
        </w:rPr>
      </w:pPr>
      <w:r>
        <w:rPr>
          <w:rFonts w:hint="eastAsia" w:ascii="黑体" w:hAnsi="黑体" w:eastAsia="黑体" w:cs="仿宋"/>
          <w:sz w:val="32"/>
          <w:szCs w:val="32"/>
          <w:highlight w:val="lightGray"/>
        </w:rPr>
        <w:t>二、</w:t>
      </w:r>
      <w:r>
        <w:rPr>
          <w:rFonts w:hint="eastAsia" w:ascii="黑体" w:hAnsi="黑体" w:eastAsia="黑体" w:cs="仿宋"/>
          <w:sz w:val="32"/>
          <w:szCs w:val="32"/>
        </w:rPr>
        <w:t>预算绩效管理开展及整体绩效实现情况。</w:t>
      </w:r>
    </w:p>
    <w:p>
      <w:pPr>
        <w:pStyle w:val="19"/>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部门开展预算绩效管理情况。</w:t>
      </w:r>
    </w:p>
    <w:p>
      <w:pPr>
        <w:adjustRightInd w:val="0"/>
        <w:ind w:firstLine="640" w:firstLineChars="200"/>
        <w:rPr>
          <w:rFonts w:ascii="仿宋" w:hAnsi="仿宋" w:eastAsia="仿宋" w:cs="仿宋"/>
          <w:sz w:val="32"/>
          <w:szCs w:val="32"/>
        </w:rPr>
      </w:pPr>
      <w:r>
        <w:rPr>
          <w:rFonts w:hint="eastAsia" w:ascii="仿宋" w:hAnsi="仿宋" w:eastAsia="仿宋" w:cs="仿宋"/>
          <w:sz w:val="32"/>
          <w:szCs w:val="32"/>
        </w:rPr>
        <w:t>我局严格按照预算绩效管理工作要点要求，进一步完善预算绩效管理制度，全面加强绩效目标管理，提升绩效评价质量，加强绩效评价结果应用，强化绩效运行监控管理，夯实预算绩效管理工作基础，推进预算绩效管理工作的落到实处，使财政资金发挥最大效益，提高经济效益和生态环境效益，提高服务群众社会满意度。</w:t>
      </w:r>
    </w:p>
    <w:p>
      <w:pPr>
        <w:pStyle w:val="19"/>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工作履行活动完成情况。</w:t>
      </w:r>
    </w:p>
    <w:p>
      <w:pPr>
        <w:pStyle w:val="19"/>
        <w:ind w:firstLine="640"/>
        <w:rPr>
          <w:rFonts w:ascii="仿宋" w:hAnsi="仿宋" w:eastAsia="仿宋" w:cs="仿宋"/>
          <w:sz w:val="32"/>
          <w:szCs w:val="32"/>
        </w:rPr>
      </w:pPr>
      <w:r>
        <w:rPr>
          <w:rFonts w:hint="eastAsia" w:ascii="仿宋" w:hAnsi="仿宋" w:eastAsia="仿宋" w:cs="仿宋"/>
          <w:sz w:val="32"/>
          <w:szCs w:val="32"/>
        </w:rPr>
        <w:t>2021年以来，在县委、县政府的正确领导下，我们坚持以</w:t>
      </w:r>
      <w:r>
        <w:rPr>
          <w:rFonts w:hint="eastAsia" w:ascii="仿宋" w:hAnsi="仿宋" w:eastAsia="仿宋" w:cs="仿宋"/>
          <w:sz w:val="32"/>
          <w:szCs w:val="32"/>
          <w:lang w:eastAsia="zh-CN"/>
        </w:rPr>
        <w:t>习近平新时代中国特色社会主义思想和党的十九大精神</w:t>
      </w:r>
      <w:bookmarkStart w:id="0" w:name="_GoBack"/>
      <w:bookmarkEnd w:id="0"/>
      <w:r>
        <w:rPr>
          <w:rFonts w:hint="eastAsia" w:ascii="仿宋" w:hAnsi="仿宋" w:eastAsia="仿宋" w:cs="仿宋"/>
          <w:sz w:val="32"/>
          <w:szCs w:val="32"/>
        </w:rPr>
        <w:t>为指导，以“不忘初心、牢记使命”主题教育为契机，不断加强党对商务工作的全面领导，领导班子团结带领全体员工团结一致，凝心聚力，锐意进取，推进内贸、外贸、外资、电商等重点工作扎实、联动发展，奋力完成各项目标任务。现将有关情况汇报如下：</w:t>
      </w:r>
    </w:p>
    <w:p>
      <w:pPr>
        <w:pStyle w:val="19"/>
        <w:ind w:firstLine="640"/>
        <w:rPr>
          <w:rFonts w:ascii="仿宋" w:hAnsi="仿宋" w:eastAsia="仿宋" w:cs="仿宋"/>
          <w:sz w:val="32"/>
          <w:szCs w:val="32"/>
        </w:rPr>
      </w:pPr>
      <w:r>
        <w:rPr>
          <w:rFonts w:hint="eastAsia" w:ascii="仿宋" w:hAnsi="仿宋" w:eastAsia="仿宋" w:cs="仿宋"/>
          <w:sz w:val="32"/>
          <w:szCs w:val="32"/>
        </w:rPr>
        <w:t>1、多措并举促进消费回升。一是先后制定出台《隆尧县“乐享盛夏”促消费稳增长八条措施》、《隆尧县“乐享盛夏”电子消费券发放实施方案》，《隆尧县“金秋”促销电子消费券发放实施方案》、《隆尧县“暖冬”促销电子消费券发放实施方案》，开展促消费系列活动，共发放三期政府电子消费券900万元，最大限度激发消费热情，促进消费回补，拉动消费在8000万元以上。二是鼓励本地商贸龙头企业采取直播带货、微商城、传统节日等方式，开展促销活动，促进线上线下融合发展。打造夜间消费集聚区，激发城市经济活力。全年完成奎山美食街——步行街的改造提升和亿源财富广场城市商圈的打造。三是加大限上企业培育力度，已完成1家限上企业—邢台佰利胜贸易有限公司实现入统，还有7家已上报资料，目前正在审核。</w:t>
      </w:r>
    </w:p>
    <w:p>
      <w:pPr>
        <w:pStyle w:val="19"/>
        <w:ind w:firstLine="640"/>
        <w:rPr>
          <w:rFonts w:ascii="仿宋" w:hAnsi="仿宋" w:eastAsia="仿宋" w:cs="仿宋"/>
          <w:sz w:val="32"/>
          <w:szCs w:val="32"/>
        </w:rPr>
      </w:pPr>
      <w:r>
        <w:rPr>
          <w:rFonts w:hint="eastAsia" w:ascii="仿宋" w:hAnsi="仿宋" w:eastAsia="仿宋" w:cs="仿宋"/>
          <w:sz w:val="32"/>
          <w:szCs w:val="32"/>
        </w:rPr>
        <w:t>2、持续推进电子商务工作。2021年1-10月我县完成电子商务网络零售额13.2亿元，同比增速52%，全市排名第4。其中农村网络零售额完成3.19亿元，同比增长13.5%，均超年初市定的10%的目标。一是对我县的电商企业进行了摸底，研究制定了《2021年农村电子商务发展工作方案》。二是进一步优化我县电商环境，吸引产业链上下游的电子商务平台企业、应用企业、运营企业、专业服务机构入驻发展，为我县的乡村振兴和扶贫脱贫攻坚助力，与北京时代骄子文化传播公司签订的“中国城市互联网——隆尧直播孵化基地”项目已投入使用，一年内预计网络零售额实现1个亿，3年实现5个亿。三是以省电子商务示范基地宝信物流公司为依托，加快我县电子商务聚集区和跨境电商园区的建设。四是加快农村电商村建设，促进我县特色农产品上线销售。2021年我县农村电商村建设任务5家，年内新增莲子镇西范、贾庄，魏庄镇东庄头，尹村镇彭村、屯里5个农村电商村，目前已全部完成。5月我县获得河北省电子商务进农村综合示范县称号，目前1000万项目支持资金已到位，自今年9月起到明年年底，将建设1个县级农村电子商务公共服务中心、1个县级公共仓储物流配送中心，1个品牌网货研发中心，全县500人以上的行政村按需建设农村电子商务服务站，保证服务覆盖率达到50%以上。抓好与我县农业合作社、农村家庭农场的紧密协作，拓宽我县“鸡腿大葱”、泽畔贡藕、隆尧香梨、梅庄苹果、魏庄熏鸡等特色农副产品的电商销售渠道，带动农民致富。</w:t>
      </w:r>
    </w:p>
    <w:p>
      <w:pPr>
        <w:pStyle w:val="19"/>
        <w:ind w:firstLine="640"/>
        <w:rPr>
          <w:rFonts w:ascii="仿宋" w:hAnsi="仿宋" w:eastAsia="仿宋" w:cs="仿宋"/>
          <w:sz w:val="32"/>
          <w:szCs w:val="32"/>
        </w:rPr>
      </w:pPr>
      <w:r>
        <w:rPr>
          <w:rFonts w:hint="eastAsia" w:ascii="仿宋" w:hAnsi="仿宋" w:eastAsia="仿宋" w:cs="仿宋"/>
          <w:sz w:val="32"/>
          <w:szCs w:val="32"/>
        </w:rPr>
        <w:t>3、铁拳出击做好大气污染综合治理工作。一是持续加大“黑加油点”巡查力度。组织召开“隆尧县2021年度成品油市场清理专项工作会议”。制定印发了《隆尧县2021年度成品油市场专项清理整治工作方案》。会议上明确各乡镇要落实属地责任，实施网格化管控。对本乡镇的重点易发非法经营成品油地点做到“全覆盖、零容忍”不留死角的全面排查。同时，安排县商务局、县应急管理局、县生态环境部门、县市场监管局、县公安局、县税务局分6组对我县12个乡镇开展督导检查。截</w:t>
      </w:r>
      <w:r>
        <w:rPr>
          <w:rFonts w:hint="eastAsia" w:ascii="仿宋" w:hAnsi="仿宋" w:eastAsia="仿宋" w:cs="仿宋"/>
          <w:sz w:val="32"/>
          <w:szCs w:val="32"/>
          <w:lang w:eastAsia="zh-CN"/>
        </w:rPr>
        <w:t>至</w:t>
      </w:r>
      <w:r>
        <w:rPr>
          <w:rFonts w:hint="eastAsia" w:ascii="仿宋" w:hAnsi="仿宋" w:eastAsia="仿宋" w:cs="仿宋"/>
          <w:sz w:val="32"/>
          <w:szCs w:val="32"/>
        </w:rPr>
        <w:t>目前，共取缔黑加油站点6个，国土部门立案调查2起，已全部取缔；黑流动加油车11辆，移交交警部门7辆。报废5辆，其他达不到报废车辆已全部采取拆机砸罐处理。二是加强装卸油品管控。制定印发《隆尧县商务局关于加油站高温时段卸油作业管控的通知》（隆商〔2021〕6号）文件和《隆尧县商务局关于进一步加强加油站（点）管控的通知》，要求各加油站在充分认识大气污染防治的主体责任同时，运行“人防+技防”降低油气挥发对大气污染的影响。三是加强对干洗行业的检查。联合县生态环境分局对全县11家干洗店每月进行一次排查，其中7家已不使用干洗机，转为水洗，4家（福奈特、长青、锦汇、美涤）为全封闭式干洗机，没有干洗剂泄漏行为的发生。</w:t>
      </w:r>
    </w:p>
    <w:p>
      <w:pPr>
        <w:pStyle w:val="19"/>
        <w:ind w:firstLine="640"/>
        <w:rPr>
          <w:rFonts w:ascii="仿宋" w:hAnsi="仿宋" w:eastAsia="仿宋" w:cs="仿宋"/>
          <w:sz w:val="32"/>
          <w:szCs w:val="32"/>
        </w:rPr>
      </w:pPr>
      <w:r>
        <w:rPr>
          <w:rFonts w:hint="eastAsia" w:ascii="仿宋" w:hAnsi="仿宋" w:eastAsia="仿宋" w:cs="仿宋"/>
          <w:sz w:val="32"/>
          <w:szCs w:val="32"/>
        </w:rPr>
        <w:t>4、全力以赴做好市场保供工作。在年初全市解封而我县发生疫情的情况下，我局全力做好民生保供工作。在全县居民居家防控期间，为保障生活必需品的供应，明确宝信物流、东恒农贸市场、家乐园天一广场、亿源商贸等6家单位和康泽、博诺2家医药连锁店作为我县疫情防控生活物资重点保障单位，启动应急保障模式，采取“线上下单，线下配送”方式进行配送。同时协调办理配送人员通行证712个，车辆通行证280个，并积极和市有关部门对接协调，为宝信物流公司办理10张特别通行证，用于前往邢州菜市场运送蔬菜。推出标准包便于群众下单，并给予城中村居民30%补贴，总计下单12250单，款100.18万元，为群众补贴30.05万元。同时累计为18个养殖户解决滞销鸡蛋120吨，37户种植户解决滞售蔬菜245吨，同时提供购销服务线索120余条，帮助企业解决问题。</w:t>
      </w:r>
    </w:p>
    <w:p>
      <w:pPr>
        <w:pStyle w:val="19"/>
        <w:ind w:firstLine="640"/>
        <w:rPr>
          <w:rFonts w:ascii="仿宋" w:hAnsi="仿宋" w:eastAsia="仿宋" w:cs="仿宋"/>
          <w:sz w:val="32"/>
          <w:szCs w:val="32"/>
        </w:rPr>
      </w:pPr>
      <w:r>
        <w:rPr>
          <w:rFonts w:hint="eastAsia" w:ascii="仿宋" w:hAnsi="仿宋" w:eastAsia="仿宋" w:cs="仿宋"/>
          <w:sz w:val="32"/>
          <w:szCs w:val="32"/>
        </w:rPr>
        <w:t>5、坚持不懈抓好商场、超市、加油站等重点场所和重点人群的常态化疫情防控。一是制定印发了《隆尧县商务局综合性商场、超市常态化疫情防控工作方案》、《隆尧县商务局关于加强疫情常态化防控测体温、戴口罩等措施的通知》、《隆尧县商务局疫情期间消杀工作方案》等文件，切实做到常态化防控落实到位。二是坚持宣传引导。通过制定、印发《隆尧县商务局关于在商场、超市、农贸市场、餐饮饭店等人员密集场所佩戴口罩的倡议书》，及商场播放疫情防控提示等方式，提醒顾客做好自身健康防疫。三是督促商超落实疫情常态化防控措施。成立督导组，对商超落实常态化测温、验码、登记、消杀、通风、员工体温监测等措施情况进行督导，发现执行防控措施不到位的立即责令整改。四是加强冷链监管及重点人群的核酸检测。印发《隆尧县商务局关于进一步加强冷链食品防疫工作的通知》、《隆尧县商务局关于系统、行业员工做好例行核酸检测的通知》，要求各企业冷链从业者建立完善各类台账，全面落实疫情防控的各项措施和要求；联合疾控中心、市场监管局对商超的猪肉、牛肉、食品外包装以及柜台、门帘、扶手、收银台外环境及冷链从业人员进行核酸检测。安排商超、加油站、家政人员每周进行核酸检测，确保应采尽采，不漏一人；五是安排商超、加油站一线员工进行疫苗和加强针的接种。</w:t>
      </w:r>
    </w:p>
    <w:p>
      <w:pPr>
        <w:pStyle w:val="19"/>
        <w:ind w:firstLine="640"/>
        <w:rPr>
          <w:rFonts w:ascii="仿宋" w:hAnsi="仿宋" w:eastAsia="仿宋" w:cs="仿宋"/>
          <w:sz w:val="32"/>
          <w:szCs w:val="32"/>
        </w:rPr>
      </w:pPr>
      <w:r>
        <w:rPr>
          <w:rFonts w:hint="eastAsia" w:ascii="仿宋" w:hAnsi="仿宋" w:eastAsia="仿宋" w:cs="仿宋"/>
          <w:sz w:val="32"/>
          <w:szCs w:val="32"/>
        </w:rPr>
        <w:t>6、配合开展国三车淘汰工作。为加快推进我县国三及以下排放标准经营性道路运输柴油货车淘汰工作，由交通运输局牵头成立隆尧县国三车淘汰工作专班，我局主要负责查验车辆是否经商务部门认可取得合法资质的报废机动车回收企业回收拆解，并取得《报废机动车回收证明》。我局高度重视此项工作，安排专人在县交运局进行盯岗盯班开展此项工作，截止到现在，审验完成284辆车进行报废，配合交运局推进工作开展，圆满完成交办任务。</w:t>
      </w:r>
    </w:p>
    <w:p>
      <w:pPr>
        <w:pStyle w:val="19"/>
        <w:ind w:firstLine="640"/>
        <w:rPr>
          <w:rFonts w:ascii="仿宋" w:hAnsi="仿宋" w:eastAsia="仿宋" w:cs="仿宋"/>
          <w:sz w:val="32"/>
          <w:szCs w:val="32"/>
        </w:rPr>
      </w:pPr>
      <w:r>
        <w:rPr>
          <w:rFonts w:hint="eastAsia" w:ascii="仿宋" w:hAnsi="仿宋" w:eastAsia="仿宋" w:cs="仿宋"/>
          <w:sz w:val="32"/>
          <w:szCs w:val="32"/>
        </w:rPr>
        <w:t>7、持续开展全县报废机动车清查整治工作。根据市商务局文件要求每季度开展一次排查整治行动，安排专人对全县进行全面排查清理，集中一周到半月时间严查严治，保持高压态势，重点摸排县域内废品收购站，排查出隆尧县魏家庄镇肖西村有一处涉嫌非法机动车回收拆解的废品收购点，现已清理完毕。</w:t>
      </w:r>
    </w:p>
    <w:p>
      <w:pPr>
        <w:pStyle w:val="19"/>
        <w:ind w:firstLine="640"/>
        <w:rPr>
          <w:rFonts w:ascii="仿宋" w:hAnsi="仿宋" w:eastAsia="仿宋" w:cs="仿宋"/>
          <w:sz w:val="32"/>
          <w:szCs w:val="32"/>
        </w:rPr>
      </w:pPr>
      <w:r>
        <w:rPr>
          <w:rFonts w:hint="eastAsia" w:ascii="仿宋" w:hAnsi="仿宋" w:eastAsia="仿宋" w:cs="仿宋"/>
          <w:sz w:val="32"/>
          <w:szCs w:val="32"/>
        </w:rPr>
        <w:t>8、不断加强对县域内汽车销售企业监管力度。建立健全汽车销售企业台账，掌握企业信息和经营情况，严格监督汽车销售企业依法经营，及时宣传汽车销售相关法律法规。每周按时督促汽车销售企业人员进行核酸检测，做到应检尽检，不漏一人。</w:t>
      </w:r>
    </w:p>
    <w:p>
      <w:pPr>
        <w:pStyle w:val="19"/>
        <w:ind w:firstLine="640"/>
        <w:rPr>
          <w:rFonts w:ascii="仿宋" w:hAnsi="仿宋" w:eastAsia="仿宋" w:cs="仿宋"/>
          <w:sz w:val="32"/>
          <w:szCs w:val="32"/>
        </w:rPr>
      </w:pPr>
      <w:r>
        <w:rPr>
          <w:rFonts w:hint="eastAsia" w:ascii="仿宋" w:hAnsi="仿宋" w:eastAsia="仿宋" w:cs="仿宋"/>
          <w:sz w:val="32"/>
          <w:szCs w:val="32"/>
        </w:rPr>
        <w:t>9、稳步强化对农贸市场监管巡查。安排专人专班持续对东恒农贸市场进行检查、值班，加快推进农贸市场建设，完善基础设施，改善市场环境，实现便民消费，完善农贸市场进出口疫情防控措施。</w:t>
      </w:r>
    </w:p>
    <w:p>
      <w:pPr>
        <w:pStyle w:val="19"/>
        <w:numPr>
          <w:ilvl w:val="0"/>
          <w:numId w:val="3"/>
        </w:numPr>
        <w:adjustRightInd w:val="0"/>
        <w:ind w:firstLineChars="0"/>
        <w:rPr>
          <w:rFonts w:ascii="仿宋" w:hAnsi="仿宋" w:eastAsia="仿宋" w:cs="仿宋"/>
          <w:sz w:val="32"/>
          <w:szCs w:val="32"/>
        </w:rPr>
      </w:pPr>
      <w:r>
        <w:rPr>
          <w:rFonts w:hint="eastAsia" w:ascii="仿宋" w:hAnsi="仿宋" w:eastAsia="仿宋" w:cs="仿宋"/>
          <w:sz w:val="32"/>
          <w:szCs w:val="32"/>
        </w:rPr>
        <w:t>实施履职活动产生的效果或服务对象满意程度。</w:t>
      </w:r>
    </w:p>
    <w:p>
      <w:pPr>
        <w:adjustRightInd w:val="0"/>
        <w:ind w:firstLine="480" w:firstLineChars="150"/>
        <w:rPr>
          <w:rFonts w:ascii="仿宋" w:hAnsi="仿宋" w:eastAsia="仿宋" w:cs="仿宋"/>
          <w:sz w:val="32"/>
          <w:szCs w:val="32"/>
        </w:rPr>
      </w:pPr>
      <w:r>
        <w:rPr>
          <w:rFonts w:hint="eastAsia" w:ascii="仿宋" w:hAnsi="仿宋" w:eastAsia="仿宋" w:cs="仿宋"/>
          <w:sz w:val="32"/>
          <w:szCs w:val="32"/>
        </w:rPr>
        <w:t>实施履职活动基本达到了项目的预期目标，服务对象满意度良好。</w:t>
      </w:r>
    </w:p>
    <w:p>
      <w:pPr>
        <w:adjustRightInd w:val="0"/>
        <w:ind w:firstLine="480" w:firstLineChars="150"/>
        <w:rPr>
          <w:rFonts w:ascii="仿宋" w:hAnsi="仿宋" w:eastAsia="仿宋" w:cs="仿宋"/>
          <w:sz w:val="32"/>
          <w:szCs w:val="32"/>
        </w:rPr>
      </w:pPr>
      <w:r>
        <w:rPr>
          <w:rFonts w:hint="eastAsia" w:ascii="黑体" w:hAnsi="黑体" w:eastAsia="黑体" w:cs="仿宋"/>
          <w:sz w:val="32"/>
          <w:szCs w:val="32"/>
        </w:rPr>
        <w:t>三、绩效评价的组织实施情况</w:t>
      </w:r>
    </w:p>
    <w:p>
      <w:pPr>
        <w:ind w:firstLine="640" w:firstLineChars="200"/>
        <w:rPr>
          <w:rFonts w:ascii="仿宋" w:hAnsi="仿宋" w:eastAsia="仿宋" w:cs="仿宋"/>
          <w:sz w:val="32"/>
          <w:szCs w:val="32"/>
        </w:rPr>
      </w:pPr>
      <w:r>
        <w:rPr>
          <w:rFonts w:hint="eastAsia" w:ascii="仿宋" w:hAnsi="仿宋" w:eastAsia="仿宋" w:cs="仿宋"/>
          <w:sz w:val="32"/>
          <w:szCs w:val="32"/>
        </w:rPr>
        <w:t>在绩效评价的实施过程中，我局成立了绩效自评小组，对照绩效活动评价的共性指标，从工作活动绩效目标完成情况，工作活动产出、效果、设置、管理等多方面进行打分，最后得出绩效评价结论。</w:t>
      </w:r>
    </w:p>
    <w:p>
      <w:pPr>
        <w:ind w:firstLine="640" w:firstLineChars="200"/>
        <w:rPr>
          <w:rFonts w:ascii="黑体" w:hAnsi="黑体" w:eastAsia="黑体" w:cs="仿宋"/>
          <w:sz w:val="32"/>
          <w:szCs w:val="32"/>
        </w:rPr>
      </w:pPr>
      <w:r>
        <w:rPr>
          <w:rFonts w:hint="eastAsia" w:ascii="黑体" w:hAnsi="黑体" w:eastAsia="黑体" w:cs="仿宋"/>
          <w:sz w:val="32"/>
          <w:szCs w:val="32"/>
          <w:highlight w:val="lightGray"/>
        </w:rPr>
        <w:t>四、</w:t>
      </w:r>
      <w:r>
        <w:rPr>
          <w:rFonts w:hint="eastAsia" w:ascii="黑体" w:hAnsi="黑体" w:eastAsia="黑体" w:cs="仿宋"/>
          <w:sz w:val="32"/>
          <w:szCs w:val="32"/>
        </w:rPr>
        <w:t>各项绩效目标的实现程度及差异性原因分析。</w:t>
      </w:r>
    </w:p>
    <w:p>
      <w:pPr>
        <w:ind w:firstLine="640" w:firstLineChars="200"/>
        <w:rPr>
          <w:rFonts w:ascii="仿宋" w:hAnsi="仿宋" w:eastAsia="仿宋" w:cs="仿宋"/>
          <w:sz w:val="32"/>
          <w:szCs w:val="32"/>
        </w:rPr>
      </w:pPr>
      <w:r>
        <w:rPr>
          <w:rFonts w:hint="eastAsia" w:ascii="仿宋" w:hAnsi="仿宋" w:eastAsia="仿宋" w:cs="仿宋"/>
          <w:sz w:val="32"/>
          <w:szCs w:val="32"/>
        </w:rPr>
        <w:t>各项绩效目标基本已经实现。</w:t>
      </w:r>
    </w:p>
    <w:p>
      <w:pPr>
        <w:pStyle w:val="19"/>
        <w:numPr>
          <w:ilvl w:val="0"/>
          <w:numId w:val="4"/>
        </w:numPr>
        <w:ind w:firstLineChars="0"/>
        <w:rPr>
          <w:rFonts w:ascii="黑体" w:hAnsi="黑体" w:eastAsia="黑体" w:cs="仿宋"/>
          <w:sz w:val="32"/>
          <w:szCs w:val="32"/>
        </w:rPr>
      </w:pPr>
      <w:r>
        <w:rPr>
          <w:rFonts w:hint="eastAsia" w:ascii="黑体" w:hAnsi="黑体" w:eastAsia="黑体" w:cs="仿宋"/>
          <w:sz w:val="32"/>
          <w:szCs w:val="32"/>
        </w:rPr>
        <w:t>存在问题。</w:t>
      </w:r>
    </w:p>
    <w:p>
      <w:pPr>
        <w:ind w:firstLine="640" w:firstLineChars="200"/>
        <w:rPr>
          <w:rFonts w:ascii="仿宋" w:hAnsi="仿宋" w:eastAsia="仿宋" w:cs="仿宋"/>
          <w:sz w:val="32"/>
          <w:szCs w:val="32"/>
        </w:rPr>
      </w:pPr>
      <w:r>
        <w:rPr>
          <w:rFonts w:hint="eastAsia" w:ascii="仿宋" w:hAnsi="仿宋" w:eastAsia="仿宋" w:cs="仿宋"/>
          <w:sz w:val="32"/>
          <w:szCs w:val="32"/>
        </w:rPr>
        <w:t>我局整体各项绩效目标完成良好，但通过自评，也发现了一些问题。主要是绩效指标细化不充分，完成率有待提高。</w:t>
      </w:r>
    </w:p>
    <w:p>
      <w:pPr>
        <w:ind w:firstLine="640" w:firstLineChars="200"/>
        <w:rPr>
          <w:rFonts w:ascii="黑体" w:hAnsi="黑体" w:eastAsia="黑体" w:cs="仿宋"/>
          <w:sz w:val="32"/>
          <w:szCs w:val="32"/>
        </w:rPr>
      </w:pPr>
      <w:r>
        <w:rPr>
          <w:rFonts w:hint="eastAsia" w:ascii="黑体" w:hAnsi="黑体" w:eastAsia="黑体" w:cs="仿宋"/>
          <w:sz w:val="32"/>
          <w:szCs w:val="32"/>
        </w:rPr>
        <w:t>六、采取的纠偏措施及改进绩效管理建议。</w:t>
      </w:r>
    </w:p>
    <w:p>
      <w:pPr>
        <w:ind w:firstLine="640" w:firstLineChars="200"/>
        <w:rPr>
          <w:rFonts w:ascii="黑体" w:hAnsi="黑体" w:eastAsia="黑体" w:cs="仿宋"/>
          <w:sz w:val="32"/>
          <w:szCs w:val="32"/>
        </w:rPr>
      </w:pPr>
      <w:r>
        <w:rPr>
          <w:rFonts w:hint="eastAsia" w:ascii="仿宋" w:hAnsi="仿宋" w:eastAsia="仿宋" w:cs="仿宋"/>
          <w:sz w:val="32"/>
          <w:szCs w:val="32"/>
        </w:rPr>
        <w:t>今后我局将进一步把绩效预算做精做细，实施中严格绩效目标管理，完成后及时绩效评价，确保资金发挥最大效益。</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25</w:t>
    </w:r>
    <w:r>
      <w:rPr>
        <w:rStyle w:val="13"/>
        <w:rFonts w:ascii="宋体" w:hAnsi="宋体" w:eastAsia="宋体"/>
        <w:sz w:val="28"/>
        <w:szCs w:val="28"/>
      </w:rPr>
      <w:fldChar w:fldCharType="end"/>
    </w:r>
    <w:r>
      <w:rPr>
        <w:rStyle w:val="13"/>
        <w:rFonts w:hint="eastAsia" w:ascii="宋体" w:hAnsi="宋体" w:eastAsia="宋体"/>
        <w:sz w:val="28"/>
        <w:szCs w:val="28"/>
      </w:rPr>
      <w:t>-</w:t>
    </w:r>
  </w:p>
  <w:p>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337165"/>
    <w:multiLevelType w:val="singleLevel"/>
    <w:tmpl w:val="1B337165"/>
    <w:lvl w:ilvl="0" w:tentative="0">
      <w:start w:val="4"/>
      <w:numFmt w:val="chineseCounting"/>
      <w:suff w:val="nothing"/>
      <w:lvlText w:val="（%1）"/>
      <w:lvlJc w:val="left"/>
      <w:pPr>
        <w:ind w:left="480" w:leftChars="0" w:firstLine="0" w:firstLineChars="0"/>
      </w:pPr>
      <w:rPr>
        <w:rFonts w:hint="eastAsia"/>
      </w:rPr>
    </w:lvl>
  </w:abstractNum>
  <w:abstractNum w:abstractNumId="1">
    <w:nsid w:val="4F5E178E"/>
    <w:multiLevelType w:val="multilevel"/>
    <w:tmpl w:val="4F5E178E"/>
    <w:lvl w:ilvl="0" w:tentative="0">
      <w:start w:val="5"/>
      <w:numFmt w:val="japaneseCounting"/>
      <w:lvlText w:val="%1、"/>
      <w:lvlJc w:val="left"/>
      <w:pPr>
        <w:ind w:left="1429" w:hanging="720"/>
      </w:pPr>
      <w:rPr>
        <w:rFonts w:hint="default"/>
      </w:rPr>
    </w:lvl>
    <w:lvl w:ilvl="1" w:tentative="0">
      <w:start w:val="1"/>
      <w:numFmt w:val="lowerLetter"/>
      <w:lvlText w:val="%2)"/>
      <w:lvlJc w:val="left"/>
      <w:pPr>
        <w:ind w:left="1549" w:hanging="420"/>
      </w:pPr>
    </w:lvl>
    <w:lvl w:ilvl="2" w:tentative="0">
      <w:start w:val="1"/>
      <w:numFmt w:val="lowerRoman"/>
      <w:lvlText w:val="%3."/>
      <w:lvlJc w:val="right"/>
      <w:pPr>
        <w:ind w:left="1969" w:hanging="420"/>
      </w:pPr>
    </w:lvl>
    <w:lvl w:ilvl="3" w:tentative="0">
      <w:start w:val="1"/>
      <w:numFmt w:val="decimal"/>
      <w:lvlText w:val="%4."/>
      <w:lvlJc w:val="left"/>
      <w:pPr>
        <w:ind w:left="2389" w:hanging="420"/>
      </w:pPr>
    </w:lvl>
    <w:lvl w:ilvl="4" w:tentative="0">
      <w:start w:val="1"/>
      <w:numFmt w:val="lowerLetter"/>
      <w:lvlText w:val="%5)"/>
      <w:lvlJc w:val="left"/>
      <w:pPr>
        <w:ind w:left="2809" w:hanging="420"/>
      </w:pPr>
    </w:lvl>
    <w:lvl w:ilvl="5" w:tentative="0">
      <w:start w:val="1"/>
      <w:numFmt w:val="lowerRoman"/>
      <w:lvlText w:val="%6."/>
      <w:lvlJc w:val="right"/>
      <w:pPr>
        <w:ind w:left="3229" w:hanging="420"/>
      </w:pPr>
    </w:lvl>
    <w:lvl w:ilvl="6" w:tentative="0">
      <w:start w:val="1"/>
      <w:numFmt w:val="decimal"/>
      <w:lvlText w:val="%7."/>
      <w:lvlJc w:val="left"/>
      <w:pPr>
        <w:ind w:left="3649" w:hanging="420"/>
      </w:pPr>
    </w:lvl>
    <w:lvl w:ilvl="7" w:tentative="0">
      <w:start w:val="1"/>
      <w:numFmt w:val="lowerLetter"/>
      <w:lvlText w:val="%8)"/>
      <w:lvlJc w:val="left"/>
      <w:pPr>
        <w:ind w:left="4069" w:hanging="420"/>
      </w:pPr>
    </w:lvl>
    <w:lvl w:ilvl="8" w:tentative="0">
      <w:start w:val="1"/>
      <w:numFmt w:val="lowerRoman"/>
      <w:lvlText w:val="%9."/>
      <w:lvlJc w:val="right"/>
      <w:pPr>
        <w:ind w:left="4489" w:hanging="420"/>
      </w:pPr>
    </w:lvl>
  </w:abstractNum>
  <w:abstractNum w:abstractNumId="2">
    <w:nsid w:val="57344061"/>
    <w:multiLevelType w:val="multilevel"/>
    <w:tmpl w:val="57344061"/>
    <w:lvl w:ilvl="0" w:tentative="0">
      <w:start w:val="1"/>
      <w:numFmt w:val="japaneseCounting"/>
      <w:lvlText w:val="（%1）"/>
      <w:lvlJc w:val="left"/>
      <w:pPr>
        <w:ind w:left="1560" w:hanging="1080"/>
      </w:pPr>
      <w:rPr>
        <w:rFonts w:hint="default"/>
      </w:rPr>
    </w:lvl>
    <w:lvl w:ilvl="1" w:tentative="0">
      <w:start w:val="1"/>
      <w:numFmt w:val="japaneseCounting"/>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6328323E"/>
    <w:multiLevelType w:val="multilevel"/>
    <w:tmpl w:val="6328323E"/>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hZGZlYjY2ZDdkZjlhYjc5Y2E5MDNhYjhkOTk2ZjQifQ=="/>
  </w:docVars>
  <w:rsids>
    <w:rsidRoot w:val="00042933"/>
    <w:rsid w:val="00002F2C"/>
    <w:rsid w:val="000070A8"/>
    <w:rsid w:val="00016CA4"/>
    <w:rsid w:val="000324AE"/>
    <w:rsid w:val="00042933"/>
    <w:rsid w:val="00067B8B"/>
    <w:rsid w:val="00074438"/>
    <w:rsid w:val="0008033E"/>
    <w:rsid w:val="00083780"/>
    <w:rsid w:val="0008759D"/>
    <w:rsid w:val="00094F2B"/>
    <w:rsid w:val="000A5B97"/>
    <w:rsid w:val="000B0A83"/>
    <w:rsid w:val="000B6322"/>
    <w:rsid w:val="000C2CC1"/>
    <w:rsid w:val="000D5FA6"/>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24E54"/>
    <w:rsid w:val="003C50C2"/>
    <w:rsid w:val="0041099F"/>
    <w:rsid w:val="00436A1D"/>
    <w:rsid w:val="004379D7"/>
    <w:rsid w:val="004A68B1"/>
    <w:rsid w:val="004B02D9"/>
    <w:rsid w:val="004B64F3"/>
    <w:rsid w:val="004E3B64"/>
    <w:rsid w:val="005020C5"/>
    <w:rsid w:val="00567FE6"/>
    <w:rsid w:val="0058162A"/>
    <w:rsid w:val="005A5726"/>
    <w:rsid w:val="005B2327"/>
    <w:rsid w:val="005B3616"/>
    <w:rsid w:val="005D16D6"/>
    <w:rsid w:val="005E12FA"/>
    <w:rsid w:val="006279F4"/>
    <w:rsid w:val="0068129B"/>
    <w:rsid w:val="00683167"/>
    <w:rsid w:val="006A1CCC"/>
    <w:rsid w:val="006A5056"/>
    <w:rsid w:val="006E64C9"/>
    <w:rsid w:val="007048FF"/>
    <w:rsid w:val="00712100"/>
    <w:rsid w:val="0071700D"/>
    <w:rsid w:val="00742652"/>
    <w:rsid w:val="00752E24"/>
    <w:rsid w:val="00756EFC"/>
    <w:rsid w:val="00772600"/>
    <w:rsid w:val="007A2E54"/>
    <w:rsid w:val="007A6294"/>
    <w:rsid w:val="007D5D41"/>
    <w:rsid w:val="007F01F9"/>
    <w:rsid w:val="00856BA1"/>
    <w:rsid w:val="00867620"/>
    <w:rsid w:val="008709E0"/>
    <w:rsid w:val="008A6A10"/>
    <w:rsid w:val="008A6A31"/>
    <w:rsid w:val="008C54C8"/>
    <w:rsid w:val="00904AF4"/>
    <w:rsid w:val="00905542"/>
    <w:rsid w:val="00917700"/>
    <w:rsid w:val="00921750"/>
    <w:rsid w:val="00952312"/>
    <w:rsid w:val="00956F74"/>
    <w:rsid w:val="009841E5"/>
    <w:rsid w:val="009B0B5F"/>
    <w:rsid w:val="009C04DA"/>
    <w:rsid w:val="009C4C62"/>
    <w:rsid w:val="009E3627"/>
    <w:rsid w:val="009F53E7"/>
    <w:rsid w:val="00A11BF8"/>
    <w:rsid w:val="00A14A33"/>
    <w:rsid w:val="00A41253"/>
    <w:rsid w:val="00A52823"/>
    <w:rsid w:val="00A6449D"/>
    <w:rsid w:val="00A768DB"/>
    <w:rsid w:val="00AA09C8"/>
    <w:rsid w:val="00AD5F30"/>
    <w:rsid w:val="00B0681D"/>
    <w:rsid w:val="00B17469"/>
    <w:rsid w:val="00B56C08"/>
    <w:rsid w:val="00B9023F"/>
    <w:rsid w:val="00BC1FDC"/>
    <w:rsid w:val="00BD0FD8"/>
    <w:rsid w:val="00C44804"/>
    <w:rsid w:val="00C50B6B"/>
    <w:rsid w:val="00C6362A"/>
    <w:rsid w:val="00C72F7A"/>
    <w:rsid w:val="00C81363"/>
    <w:rsid w:val="00CB27A5"/>
    <w:rsid w:val="00CD55ED"/>
    <w:rsid w:val="00CD63C0"/>
    <w:rsid w:val="00CE62A0"/>
    <w:rsid w:val="00CF2BC0"/>
    <w:rsid w:val="00D21F0C"/>
    <w:rsid w:val="00D3606B"/>
    <w:rsid w:val="00D366C1"/>
    <w:rsid w:val="00D36CB5"/>
    <w:rsid w:val="00D7091E"/>
    <w:rsid w:val="00D877F7"/>
    <w:rsid w:val="00DB2D43"/>
    <w:rsid w:val="00DD4EE2"/>
    <w:rsid w:val="00DE360F"/>
    <w:rsid w:val="00E266F1"/>
    <w:rsid w:val="00E924C0"/>
    <w:rsid w:val="00EB16A8"/>
    <w:rsid w:val="00EC7904"/>
    <w:rsid w:val="00ED095A"/>
    <w:rsid w:val="00F72E93"/>
    <w:rsid w:val="00F74A95"/>
    <w:rsid w:val="00F7543E"/>
    <w:rsid w:val="00F87A11"/>
    <w:rsid w:val="00FB2D24"/>
    <w:rsid w:val="00FB3C70"/>
    <w:rsid w:val="00FB7E01"/>
    <w:rsid w:val="00FE5F4C"/>
    <w:rsid w:val="00FF39F6"/>
    <w:rsid w:val="05374814"/>
    <w:rsid w:val="0C8F0285"/>
    <w:rsid w:val="0CC90AC1"/>
    <w:rsid w:val="0F8F6BFC"/>
    <w:rsid w:val="107166F3"/>
    <w:rsid w:val="16BF8626"/>
    <w:rsid w:val="1C841DE7"/>
    <w:rsid w:val="3791647A"/>
    <w:rsid w:val="455969D8"/>
    <w:rsid w:val="48725571"/>
    <w:rsid w:val="4BDB04ED"/>
    <w:rsid w:val="526A3656"/>
    <w:rsid w:val="53CD5365"/>
    <w:rsid w:val="5D643D56"/>
    <w:rsid w:val="61F652AE"/>
    <w:rsid w:val="64283056"/>
    <w:rsid w:val="69BD0A47"/>
    <w:rsid w:val="71A911C9"/>
    <w:rsid w:val="7793669D"/>
    <w:rsid w:val="7B3F197C"/>
    <w:rsid w:val="7CCC213E"/>
    <w:rsid w:val="B7F7A5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 w:type="paragraph" w:styleId="19">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26</Pages>
  <Words>14769</Words>
  <Characters>15245</Characters>
  <Lines>108</Lines>
  <Paragraphs>30</Paragraphs>
  <TotalTime>0</TotalTime>
  <ScaleCrop>false</ScaleCrop>
  <LinksUpToDate>false</LinksUpToDate>
  <CharactersWithSpaces>15320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2016-02-23T07:07:00Z</dcterms:created>
  <dc:creator>Administrator</dc:creator>
  <cp:lastModifiedBy>work</cp:lastModifiedBy>
  <cp:lastPrinted>2018-11-30T03:23:00Z</cp:lastPrinted>
  <dcterms:modified xsi:type="dcterms:W3CDTF">2023-10-09T16:54:38Z</dcterms:modified>
  <cp:revision>103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29D4CC60066A2103CEBF2365AC0E1CAD</vt:lpwstr>
  </property>
</Properties>
</file>