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pPr>
        <w:spacing w:line="480" w:lineRule="exact"/>
        <w:jc w:val="center"/>
        <w:rPr>
          <w:rFonts w:ascii="宋体" w:hAnsi="宋体"/>
          <w:b/>
          <w:sz w:val="44"/>
          <w:szCs w:val="44"/>
        </w:rPr>
      </w:pPr>
      <w:r>
        <w:rPr>
          <w:rFonts w:hint="eastAsia" w:ascii="宋体" w:hAnsi="宋体"/>
          <w:b/>
          <w:sz w:val="44"/>
          <w:szCs w:val="44"/>
        </w:rPr>
        <w:t>隆尧县</w:t>
      </w:r>
      <w:r>
        <w:rPr>
          <w:rFonts w:hint="eastAsia" w:ascii="宋体" w:hAnsi="宋体"/>
          <w:b/>
          <w:sz w:val="44"/>
          <w:szCs w:val="44"/>
          <w:lang w:eastAsia="zh-CN"/>
        </w:rPr>
        <w:t>统计局</w:t>
      </w:r>
      <w:r>
        <w:rPr>
          <w:rFonts w:hint="eastAsia" w:ascii="宋体" w:hAnsi="宋体"/>
          <w:b/>
          <w:sz w:val="44"/>
          <w:szCs w:val="44"/>
        </w:rPr>
        <w:t>2021年</w:t>
      </w:r>
    </w:p>
    <w:p>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(公章)         单位负责人: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符合（1）；</w:t>
            </w:r>
          </w:p>
          <w:p>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“三公经费”变动率（2分）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“三公经费”：年度预算安排的因公出国（境）费、公务车辆购置及运行费和公务招待费。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）－min（</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pPr>
              <w:widowControl/>
              <w:spacing w:line="240" w:lineRule="exact"/>
              <w:jc w:val="left"/>
              <w:rPr>
                <w:szCs w:val="21"/>
              </w:rPr>
            </w:pPr>
            <w:r>
              <w:rPr>
                <w:rFonts w:ascii="仿宋_GB2312" w:hAnsi="新宋体" w:eastAsia="仿宋_GB2312" w:cs="仿宋_GB2312"/>
                <w:kern w:val="0"/>
                <w:szCs w:val="21"/>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pPr>
              <w:widowControl/>
              <w:spacing w:line="240" w:lineRule="exact"/>
              <w:jc w:val="left"/>
              <w:rPr>
                <w:szCs w:val="21"/>
              </w:rPr>
            </w:pPr>
            <w:r>
              <w:rPr>
                <w:rFonts w:ascii="仿宋_GB2312" w:hAnsi="新宋体" w:eastAsia="仿宋_GB2312" w:cs="仿宋_GB2312"/>
                <w:kern w:val="0"/>
                <w:szCs w:val="21"/>
              </w:rPr>
              <w:t>3.项目的重大开支经过评估论证；</w:t>
            </w:r>
          </w:p>
          <w:p>
            <w:pPr>
              <w:widowControl/>
              <w:spacing w:line="240" w:lineRule="exact"/>
              <w:jc w:val="left"/>
              <w:rPr>
                <w:szCs w:val="21"/>
              </w:rPr>
            </w:pPr>
            <w:r>
              <w:rPr>
                <w:rFonts w:ascii="仿宋_GB2312" w:hAnsi="新宋体" w:eastAsia="仿宋_GB2312" w:cs="仿宋_GB2312"/>
                <w:kern w:val="0"/>
                <w:szCs w:val="21"/>
              </w:rPr>
              <w:t>4.符合部门预算批复的用途；</w:t>
            </w:r>
          </w:p>
          <w:p>
            <w:pPr>
              <w:widowControl/>
              <w:spacing w:line="240" w:lineRule="exact"/>
              <w:jc w:val="left"/>
              <w:rPr>
                <w:szCs w:val="21"/>
              </w:rPr>
            </w:pPr>
            <w:r>
              <w:rPr>
                <w:rFonts w:ascii="仿宋_GB2312" w:hAnsi="新宋体" w:eastAsia="仿宋_GB2312" w:cs="仿宋_GB2312"/>
                <w:kern w:val="0"/>
                <w:szCs w:val="21"/>
              </w:rPr>
              <w:t>5.不存在截留情况；</w:t>
            </w:r>
          </w:p>
          <w:p>
            <w:pPr>
              <w:widowControl/>
              <w:spacing w:line="240" w:lineRule="exact"/>
              <w:jc w:val="left"/>
              <w:rPr>
                <w:szCs w:val="21"/>
              </w:rPr>
            </w:pPr>
            <w:r>
              <w:rPr>
                <w:rFonts w:ascii="仿宋_GB2312" w:hAnsi="新宋体" w:eastAsia="仿宋_GB2312" w:cs="仿宋_GB2312"/>
                <w:kern w:val="0"/>
                <w:szCs w:val="21"/>
              </w:rPr>
              <w:t>6.不存在挤占情况；</w:t>
            </w:r>
          </w:p>
          <w:p>
            <w:pPr>
              <w:widowControl/>
              <w:spacing w:line="240" w:lineRule="exact"/>
              <w:jc w:val="left"/>
              <w:rPr>
                <w:szCs w:val="21"/>
              </w:rPr>
            </w:pPr>
            <w:r>
              <w:rPr>
                <w:rFonts w:ascii="仿宋_GB2312" w:hAnsi="新宋体" w:eastAsia="仿宋_GB2312" w:cs="仿宋_GB2312"/>
                <w:kern w:val="0"/>
                <w:szCs w:val="21"/>
              </w:rPr>
              <w:t>7.不存在挪用情况；</w:t>
            </w:r>
          </w:p>
          <w:p>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全部符合（8）；</w:t>
            </w:r>
          </w:p>
          <w:p>
            <w:pPr>
              <w:widowControl/>
              <w:spacing w:line="240" w:lineRule="exact"/>
              <w:jc w:val="left"/>
              <w:rPr>
                <w:szCs w:val="21"/>
              </w:rPr>
            </w:pPr>
            <w:r>
              <w:rPr>
                <w:rFonts w:ascii="仿宋_GB2312" w:hAnsi="新宋体" w:eastAsia="仿宋_GB2312" w:cs="仿宋_GB2312"/>
                <w:kern w:val="0"/>
                <w:szCs w:val="21"/>
              </w:rPr>
              <w:t>符合其中七项（6）；</w:t>
            </w:r>
          </w:p>
          <w:p>
            <w:pPr>
              <w:widowControl/>
              <w:spacing w:line="240" w:lineRule="exact"/>
              <w:jc w:val="left"/>
              <w:rPr>
                <w:szCs w:val="21"/>
              </w:rPr>
            </w:pPr>
            <w:r>
              <w:rPr>
                <w:rFonts w:ascii="仿宋_GB2312" w:hAnsi="新宋体" w:eastAsia="仿宋_GB2312" w:cs="仿宋_GB2312"/>
                <w:kern w:val="0"/>
                <w:szCs w:val="21"/>
              </w:rPr>
              <w:t>符合其中六项（4）；</w:t>
            </w:r>
          </w:p>
          <w:p>
            <w:pPr>
              <w:widowControl/>
              <w:spacing w:line="240" w:lineRule="exact"/>
              <w:jc w:val="left"/>
              <w:rPr>
                <w:szCs w:val="21"/>
              </w:rPr>
            </w:pPr>
            <w:r>
              <w:rPr>
                <w:rFonts w:ascii="仿宋_GB2312" w:hAnsi="新宋体" w:eastAsia="仿宋_GB2312" w:cs="仿宋_GB2312"/>
                <w:kern w:val="0"/>
                <w:szCs w:val="21"/>
              </w:rPr>
              <w:t>符合其中五项（2）；</w:t>
            </w:r>
          </w:p>
          <w:p>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1.公开预决算信息；</w:t>
            </w:r>
          </w:p>
          <w:p>
            <w:pPr>
              <w:widowControl/>
              <w:spacing w:line="240" w:lineRule="exact"/>
              <w:jc w:val="left"/>
              <w:rPr>
                <w:szCs w:val="21"/>
              </w:rPr>
            </w:pPr>
            <w:r>
              <w:rPr>
                <w:rFonts w:ascii="仿宋_GB2312" w:hAnsi="新宋体" w:eastAsia="仿宋_GB2312" w:cs="仿宋_GB2312"/>
                <w:kern w:val="0"/>
                <w:szCs w:val="21"/>
              </w:rPr>
              <w:t>2.按规定内容公开预决算信息；</w:t>
            </w:r>
          </w:p>
          <w:p>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1.基本财务管理制度健全；</w:t>
            </w:r>
          </w:p>
          <w:p>
            <w:pPr>
              <w:widowControl/>
              <w:spacing w:line="240" w:lineRule="exact"/>
              <w:jc w:val="left"/>
              <w:rPr>
                <w:szCs w:val="21"/>
              </w:rPr>
            </w:pPr>
            <w:r>
              <w:rPr>
                <w:rFonts w:ascii="仿宋_GB2312" w:hAnsi="新宋体" w:eastAsia="仿宋_GB2312" w:cs="仿宋_GB2312"/>
                <w:kern w:val="0"/>
                <w:szCs w:val="21"/>
              </w:rPr>
              <w:t>2.基础数据信息和会计信息资料真实；</w:t>
            </w:r>
          </w:p>
          <w:p>
            <w:pPr>
              <w:widowControl/>
              <w:spacing w:line="240" w:lineRule="exact"/>
              <w:jc w:val="left"/>
              <w:rPr>
                <w:szCs w:val="21"/>
              </w:rPr>
            </w:pPr>
            <w:r>
              <w:rPr>
                <w:rFonts w:ascii="仿宋_GB2312" w:hAnsi="新宋体" w:eastAsia="仿宋_GB2312" w:cs="仿宋_GB2312"/>
                <w:kern w:val="0"/>
                <w:szCs w:val="21"/>
              </w:rPr>
              <w:t>3.基础数据信息和会计信息资料完整；</w:t>
            </w:r>
          </w:p>
          <w:p>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符合全部四项（4）；</w:t>
            </w:r>
          </w:p>
          <w:p>
            <w:pPr>
              <w:widowControl/>
              <w:spacing w:line="240" w:lineRule="exact"/>
              <w:jc w:val="left"/>
              <w:rPr>
                <w:szCs w:val="21"/>
              </w:rPr>
            </w:pPr>
            <w:r>
              <w:rPr>
                <w:rFonts w:ascii="仿宋_GB2312" w:hAnsi="新宋体" w:eastAsia="仿宋_GB2312" w:cs="仿宋_GB2312"/>
                <w:kern w:val="0"/>
                <w:szCs w:val="21"/>
              </w:rPr>
              <w:t>符合其中三项（2）；</w:t>
            </w:r>
          </w:p>
          <w:p>
            <w:pPr>
              <w:widowControl/>
              <w:spacing w:line="240" w:lineRule="exact"/>
              <w:jc w:val="left"/>
              <w:rPr>
                <w:szCs w:val="21"/>
              </w:rPr>
            </w:pPr>
            <w:r>
              <w:rPr>
                <w:rFonts w:ascii="仿宋_GB2312" w:hAnsi="新宋体" w:eastAsia="仿宋_GB2312" w:cs="仿宋_GB2312"/>
                <w:kern w:val="0"/>
                <w:szCs w:val="21"/>
              </w:rPr>
              <w:t>符合其中两项（1）；</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1.资产保存完整；</w:t>
            </w:r>
          </w:p>
          <w:p>
            <w:pPr>
              <w:widowControl/>
              <w:spacing w:line="240" w:lineRule="exact"/>
              <w:jc w:val="left"/>
              <w:rPr>
                <w:szCs w:val="21"/>
              </w:rPr>
            </w:pPr>
            <w:r>
              <w:rPr>
                <w:rFonts w:ascii="仿宋_GB2312" w:hAnsi="新宋体" w:eastAsia="仿宋_GB2312" w:cs="仿宋_GB2312"/>
                <w:kern w:val="0"/>
                <w:szCs w:val="21"/>
              </w:rPr>
              <w:t>2.资产账务管理是否合规，帐实相符；</w:t>
            </w:r>
          </w:p>
          <w:p>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符合全部三项（3）；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4</w:t>
            </w:r>
          </w:p>
        </w:tc>
      </w:tr>
    </w:tbl>
    <w:p>
      <w:pPr>
        <w:widowControl/>
        <w:spacing w:line="480" w:lineRule="exact"/>
        <w:jc w:val="left"/>
        <w:rPr>
          <w:rFonts w:ascii="仿宋" w:hAnsi="仿宋" w:eastAsia="仿宋" w:cs="仿宋"/>
          <w:kern w:val="0"/>
          <w:sz w:val="32"/>
          <w:szCs w:val="32"/>
          <w:shd w:val="clear" w:color="auto" w:fill="FFFFFF"/>
        </w:rPr>
      </w:pPr>
    </w:p>
    <w:p>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隆尧县</w:t>
      </w:r>
      <w:r>
        <w:rPr>
          <w:rFonts w:hint="eastAsia" w:cs="黑体" w:asciiTheme="minorEastAsia" w:hAnsiTheme="minorEastAsia"/>
          <w:b/>
          <w:bCs/>
          <w:sz w:val="44"/>
          <w:szCs w:val="44"/>
          <w:lang w:eastAsia="zh-CN"/>
        </w:rPr>
        <w:t>统计局</w:t>
      </w:r>
      <w:r>
        <w:rPr>
          <w:rFonts w:hint="eastAsia" w:cs="黑体" w:asciiTheme="minorEastAsia" w:hAnsiTheme="minorEastAsia"/>
          <w:b/>
          <w:bCs/>
          <w:sz w:val="44"/>
          <w:szCs w:val="44"/>
        </w:rPr>
        <w:t>单位</w:t>
      </w:r>
    </w:p>
    <w:p>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(一)部门主要职责职能和部门组织架构</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 xml:space="preserve">贯彻执行国家、省、市统计工作的方针政策、法律法规和规章，制订全县相关政策措施和管理办法，经县政府批准后组织实施。 </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制定县市统计改革、统计现代化建设规划、统计调查计划和地方统计调查标准、统计调查制度，监督检查统计法律、法规实施情况，指导全县统计工作。</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承担组织领导和协调管理全县统计工作，确保统计数据真实、准确、及时的责任。</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贯彻执行国家国民经济核算制度，组织落实全县国民经济核算制度和投入产出调查，核算全县地区生产总值，整理、测算和提供国民经济核算资料，监督管理全县国民经济核算工作。</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组织完成国家和省部署的国情国力普查及重要调查任务；研究提出重大县情县力普查和抽样调查计划并组织实施，汇总、整理和提供有关县情县力方面的统计数据。</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组织实施农林牧渔业、农业产值、农产品产量、农业产业化、工业、能源、社会、人口、工资、科技、消费、价格、城镇劳动力、城镇就业、建筑业、固定资产投资、房地产开发、高新技术产业、我市所属省级和市级工业园区主要经济指标、批发和零售业、住宿和餐饮业、运输邮电业、其他服务业、服务业个体户、对外经济和旅游、民营经济、成品油流通、县社会经济基本情况、乡村社会经济、资源环境、境外来中国大陆工作专家、服务业财务、规模以下工业抽样、企业（集团）、城镇和农村住户、经济社会重点问题等统计调查，收集、汇总、整理和提供统计数据。</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组织实施社会发展水平、县域经济发展、节能降耗、城镇化发展、全面小康及农村小康建设进程、农村贫困、资源循环利用、妇女儿童、企业景气等统计监测，收集、整理和提供统计数据。</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综合整理和提供财政、金融、个体、私营以及混合经济税收、出口、地质勘查、文化教育、卫生、社会保障、公用事业、房屋、对外贸易、对内经济技术合作及引进内资等基本统计数据。</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组织各乡镇、各部门的经济、社会、科技统计调查，统一核定、管理、公布全县性基本统计资料，定期发布全县国民经济和社会发展情况的统计信息，组织建立统计信息共享制度和发布制度。</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对国民经济、社会发展、科技进步等情况进行统计分析、统计预测和统计监督，向县委、县政府及有关部门提供统计信息和咨询建议。</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组织管理、审批（备案）各部门、各乡镇统计调查项目、调查计划、调查方案；组织管理全县统计登记工作；指导专业统计基础工作、统计基层业务和规范化建设；组织建立统计信息管理制度，建立健全统计数据质量审核、监控和评估制度，开展对重要统计数据的审核、监控和评估；依法监督管理涉外调查活动。</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贯彻执行国家统计信息库和网络的基本标准和运行规则；管理全县国家统计信息自动化系统和统计数据库体系；管理全县统计数据库网络，指导全县统计信息化系统建设。</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协助有关部门组织管理统计专业技术资格考试、职务评聘工作；配合上级统计部门组织管理统计从业资格认定和持证上岗工作；</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负责全县经济和社会发展目标监测和考核工作；负责县委、县政府交办的有关统计数字监测与统计考核任务。</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承办市政府交办的其他事项。</w:t>
      </w:r>
    </w:p>
    <w:p>
      <w:pPr>
        <w:numPr>
          <w:ilvl w:val="0"/>
          <w:numId w:val="0"/>
        </w:numPr>
        <w:adjustRightIn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w:t>
      </w:r>
      <w:r>
        <w:rPr>
          <w:rFonts w:hint="eastAsia" w:ascii="仿宋_GB2312" w:hAnsi="仿宋_GB2312" w:eastAsia="仿宋_GB2312" w:cs="仿宋_GB2312"/>
          <w:sz w:val="32"/>
          <w:szCs w:val="32"/>
          <w:lang w:val="en-US" w:eastAsia="zh-CN"/>
        </w:rPr>
        <w:t>统计局</w:t>
      </w:r>
      <w:r>
        <w:rPr>
          <w:rFonts w:hint="eastAsia" w:ascii="仿宋_GB2312" w:hAnsi="仿宋_GB2312" w:eastAsia="仿宋_GB2312" w:cs="仿宋_GB2312"/>
          <w:sz w:val="32"/>
          <w:szCs w:val="32"/>
          <w:lang w:eastAsia="zh-CN"/>
        </w:rPr>
        <w:t>截至</w:t>
      </w:r>
      <w:r>
        <w:rPr>
          <w:rFonts w:hint="eastAsia" w:ascii="仿宋_GB2312" w:hAnsi="仿宋_GB2312" w:eastAsia="仿宋_GB2312" w:cs="仿宋_GB2312"/>
          <w:sz w:val="32"/>
          <w:szCs w:val="32"/>
          <w:lang w:val="en-US" w:eastAsia="zh-CN"/>
        </w:rPr>
        <w:t>2021年末</w:t>
      </w:r>
      <w:r>
        <w:rPr>
          <w:rFonts w:hint="eastAsia" w:ascii="仿宋_GB2312" w:hAnsi="仿宋_GB2312" w:eastAsia="仿宋_GB2312" w:cs="仿宋_GB2312"/>
          <w:sz w:val="32"/>
          <w:szCs w:val="32"/>
          <w:lang w:eastAsia="zh-CN"/>
        </w:rPr>
        <w:t>在职人员共计</w:t>
      </w:r>
      <w:r>
        <w:rPr>
          <w:rFonts w:hint="eastAsia" w:ascii="仿宋_GB2312" w:hAnsi="仿宋_GB2312" w:eastAsia="仿宋_GB2312" w:cs="仿宋_GB2312"/>
          <w:sz w:val="32"/>
          <w:szCs w:val="32"/>
          <w:lang w:val="en-US" w:eastAsia="zh-CN"/>
        </w:rPr>
        <w:t>23人，其中：行</w:t>
      </w:r>
      <w:r>
        <w:rPr>
          <w:rFonts w:hint="eastAsia" w:ascii="仿宋_GB2312" w:hAnsi="仿宋_GB2312" w:eastAsia="仿宋_GB2312" w:cs="仿宋_GB2312"/>
          <w:sz w:val="32"/>
          <w:szCs w:val="32"/>
        </w:rPr>
        <w:t>政编制</w:t>
      </w: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事业编制人员7人</w:t>
      </w:r>
      <w:r>
        <w:rPr>
          <w:rFonts w:hint="eastAsia" w:ascii="仿宋_GB2312" w:hAnsi="仿宋_GB2312" w:eastAsia="仿宋_GB2312" w:cs="仿宋_GB2312"/>
          <w:sz w:val="32"/>
          <w:szCs w:val="32"/>
        </w:rPr>
        <w:t>。</w:t>
      </w:r>
    </w:p>
    <w:p>
      <w:pPr>
        <w:adjustRightInd w:val="0"/>
        <w:rPr>
          <w:rFonts w:hint="eastAsia" w:ascii="仿宋" w:hAnsi="仿宋" w:eastAsia="仿宋" w:cs="仿宋"/>
          <w:sz w:val="32"/>
          <w:szCs w:val="32"/>
        </w:rPr>
      </w:pPr>
      <w:r>
        <w:rPr>
          <w:rFonts w:hint="eastAsia" w:ascii="仿宋" w:hAnsi="仿宋" w:eastAsia="仿宋" w:cs="仿宋"/>
          <w:sz w:val="32"/>
          <w:szCs w:val="32"/>
        </w:rPr>
        <w:t xml:space="preserve">   （二）人员及资产情况。</w:t>
      </w:r>
    </w:p>
    <w:p>
      <w:pPr>
        <w:adjustRightInd w:val="0"/>
        <w:spacing w:line="600" w:lineRule="exact"/>
        <w:ind w:firstLine="640"/>
        <w:rPr>
          <w:rFonts w:hint="eastAsia" w:ascii="仿宋_GB2312" w:hAnsi="仿宋_GB2312" w:eastAsia="仿宋_GB2312" w:cs="仿宋_GB2312"/>
          <w:sz w:val="32"/>
          <w:szCs w:val="32"/>
          <w:lang w:eastAsia="zh-CN"/>
        </w:rPr>
      </w:pPr>
      <w:r>
        <w:rPr>
          <w:rFonts w:hint="eastAsia" w:ascii="仿宋_GB2312" w:hAnsi="黑体" w:eastAsia="仿宋_GB2312"/>
          <w:sz w:val="32"/>
          <w:szCs w:val="32"/>
          <w:lang w:eastAsia="zh-CN"/>
        </w:rPr>
        <w:t>统计局设有</w:t>
      </w:r>
      <w:r>
        <w:rPr>
          <w:rFonts w:hint="eastAsia" w:ascii="仿宋_GB2312" w:hAnsi="黑体" w:eastAsia="仿宋_GB2312"/>
          <w:sz w:val="32"/>
          <w:szCs w:val="32"/>
        </w:rPr>
        <w:t>办公室</w:t>
      </w:r>
      <w:r>
        <w:rPr>
          <w:rFonts w:hint="eastAsia" w:ascii="仿宋_GB2312" w:hAnsi="黑体" w:eastAsia="仿宋_GB2312"/>
          <w:sz w:val="32"/>
          <w:szCs w:val="32"/>
          <w:lang w:eastAsia="zh-CN"/>
        </w:rPr>
        <w:t>、</w:t>
      </w:r>
      <w:r>
        <w:rPr>
          <w:rFonts w:hint="eastAsia" w:ascii="仿宋_GB2312" w:hAnsi="黑体" w:eastAsia="仿宋_GB2312"/>
          <w:sz w:val="32"/>
          <w:szCs w:val="32"/>
        </w:rPr>
        <w:t>政策法规和执法监督股</w:t>
      </w:r>
      <w:r>
        <w:rPr>
          <w:rFonts w:hint="eastAsia" w:ascii="仿宋_GB2312" w:hAnsi="黑体" w:eastAsia="仿宋_GB2312"/>
          <w:sz w:val="32"/>
          <w:szCs w:val="32"/>
          <w:lang w:eastAsia="zh-CN"/>
        </w:rPr>
        <w:t>、</w:t>
      </w:r>
      <w:r>
        <w:rPr>
          <w:rFonts w:hint="eastAsia" w:ascii="仿宋_GB2312" w:hAnsi="黑体" w:eastAsia="仿宋_GB2312"/>
          <w:sz w:val="32"/>
          <w:szCs w:val="32"/>
        </w:rPr>
        <w:t>农业农村统计股</w:t>
      </w:r>
      <w:r>
        <w:rPr>
          <w:rFonts w:hint="eastAsia" w:ascii="仿宋_GB2312" w:hAnsi="黑体" w:eastAsia="仿宋_GB2312"/>
          <w:sz w:val="32"/>
          <w:szCs w:val="32"/>
          <w:lang w:eastAsia="zh-CN"/>
        </w:rPr>
        <w:t>、</w:t>
      </w:r>
      <w:r>
        <w:rPr>
          <w:rFonts w:hint="eastAsia" w:ascii="仿宋_GB2312" w:hAnsi="黑体" w:eastAsia="仿宋_GB2312"/>
          <w:sz w:val="32"/>
          <w:szCs w:val="32"/>
        </w:rPr>
        <w:t>工业能源投资统计股</w:t>
      </w:r>
      <w:r>
        <w:rPr>
          <w:rFonts w:hint="eastAsia" w:ascii="仿宋_GB2312" w:hAnsi="黑体" w:eastAsia="仿宋_GB2312"/>
          <w:sz w:val="32"/>
          <w:szCs w:val="32"/>
          <w:lang w:eastAsia="zh-CN"/>
        </w:rPr>
        <w:t>、</w:t>
      </w:r>
      <w:r>
        <w:rPr>
          <w:rFonts w:hint="eastAsia" w:ascii="仿宋_GB2312" w:hAnsi="黑体" w:eastAsia="仿宋_GB2312"/>
          <w:sz w:val="32"/>
          <w:szCs w:val="32"/>
        </w:rPr>
        <w:t>综合统计股</w:t>
      </w:r>
      <w:r>
        <w:rPr>
          <w:rFonts w:hint="eastAsia" w:ascii="仿宋_GB2312" w:hAnsi="仿宋_GB2312" w:eastAsia="仿宋_GB2312" w:cs="仿宋_GB2312"/>
          <w:sz w:val="32"/>
          <w:szCs w:val="32"/>
          <w:lang w:eastAsia="zh-CN"/>
        </w:rPr>
        <w:t>。</w:t>
      </w:r>
    </w:p>
    <w:p>
      <w:pPr>
        <w:adjustRightInd w:val="0"/>
        <w:spacing w:line="600" w:lineRule="exact"/>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color w:val="auto"/>
          <w:sz w:val="32"/>
          <w:szCs w:val="32"/>
          <w:lang w:val="en-US" w:eastAsia="zh-CN"/>
        </w:rPr>
        <w:t>统计局共有867311.44元国有资产。其中：家具、用具、装具及装备38408.98</w:t>
      </w:r>
      <w:r>
        <w:rPr>
          <w:rFonts w:hint="eastAsia" w:ascii="仿宋_GB2312" w:hAnsi="仿宋_GB2312" w:eastAsia="仿宋_GB2312" w:cs="仿宋_GB2312"/>
          <w:color w:val="auto"/>
          <w:sz w:val="32"/>
          <w:szCs w:val="32"/>
          <w:lang w:eastAsia="zh-CN"/>
        </w:rPr>
        <w:t>元，</w:t>
      </w:r>
      <w:r>
        <w:rPr>
          <w:rFonts w:hint="eastAsia" w:ascii="仿宋_GB2312" w:hAnsi="仿宋_GB2312" w:eastAsia="仿宋_GB2312" w:cs="仿宋_GB2312"/>
          <w:color w:val="auto"/>
          <w:sz w:val="32"/>
          <w:szCs w:val="32"/>
          <w:lang w:val="en-US" w:eastAsia="zh-CN"/>
        </w:rPr>
        <w:t>通用设备828902.46</w:t>
      </w:r>
      <w:r>
        <w:rPr>
          <w:rFonts w:hint="eastAsia" w:ascii="仿宋_GB2312" w:hAnsi="仿宋_GB2312" w:eastAsia="仿宋_GB2312" w:cs="仿宋_GB2312"/>
          <w:color w:val="auto"/>
          <w:sz w:val="32"/>
          <w:szCs w:val="32"/>
          <w:lang w:eastAsia="zh-CN"/>
        </w:rPr>
        <w:t>元。</w:t>
      </w:r>
    </w:p>
    <w:p>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部门履职总体目标。</w:t>
      </w:r>
    </w:p>
    <w:p>
      <w:pPr>
        <w:numPr>
          <w:ilvl w:val="0"/>
          <w:numId w:val="0"/>
        </w:numPr>
        <w:adjustRightInd w:val="0"/>
        <w:ind w:firstLine="640" w:firstLineChars="200"/>
        <w:rPr>
          <w:rFonts w:hint="eastAsia" w:ascii="仿宋" w:hAnsi="仿宋" w:eastAsia="仿宋" w:cs="仿宋"/>
          <w:sz w:val="32"/>
          <w:szCs w:val="32"/>
        </w:rPr>
      </w:pPr>
      <w:r>
        <w:rPr>
          <w:rFonts w:hint="eastAsia" w:ascii="仿宋_GB2312" w:hAnsi="仿宋_GB2312" w:eastAsia="仿宋_GB2312" w:cs="仿宋_GB2312"/>
          <w:color w:val="auto"/>
          <w:sz w:val="32"/>
          <w:szCs w:val="32"/>
          <w:lang w:val="en-US" w:eastAsia="zh-CN"/>
        </w:rPr>
        <w:t>紧扣全县发展大局和中心工作，以“信念坚定、为民服务、勤政务实、敢于担当、清正廉洁”为理念，充分发挥综合协调、督办落实、参政设谋作用，较好的完成和各项工作任务。</w:t>
      </w:r>
    </w:p>
    <w:p>
      <w:pPr>
        <w:numPr>
          <w:ilvl w:val="0"/>
          <w:numId w:val="1"/>
        </w:numPr>
        <w:adjustRightInd w:val="0"/>
        <w:ind w:left="480" w:leftChars="0" w:firstLine="0" w:firstLineChars="0"/>
        <w:rPr>
          <w:rFonts w:hint="eastAsia" w:ascii="仿宋" w:hAnsi="仿宋" w:eastAsia="仿宋" w:cs="仿宋"/>
          <w:color w:val="auto"/>
          <w:sz w:val="32"/>
          <w:szCs w:val="32"/>
        </w:rPr>
      </w:pPr>
      <w:r>
        <w:rPr>
          <w:rFonts w:hint="eastAsia" w:ascii="仿宋" w:hAnsi="仿宋" w:eastAsia="仿宋" w:cs="仿宋"/>
          <w:color w:val="auto"/>
          <w:sz w:val="32"/>
          <w:szCs w:val="32"/>
        </w:rPr>
        <w:t>年度整体绩效目标和工作任务。</w:t>
      </w:r>
    </w:p>
    <w:p>
      <w:pPr>
        <w:autoSpaceDE w:val="0"/>
        <w:autoSpaceDN w:val="0"/>
        <w:adjustRightInd w:val="0"/>
        <w:ind w:firstLine="640" w:firstLineChars="200"/>
        <w:jc w:val="left"/>
        <w:rPr>
          <w:rFonts w:hint="eastAsia" w:ascii="仿宋" w:hAnsi="仿宋" w:eastAsia="仿宋" w:cs="仿宋"/>
          <w:b w:val="0"/>
          <w:bCs w:val="0"/>
          <w:sz w:val="32"/>
          <w:szCs w:val="32"/>
        </w:rPr>
      </w:pPr>
      <w:r>
        <w:rPr>
          <w:rFonts w:hint="eastAsia" w:ascii="仿宋" w:hAnsi="仿宋" w:eastAsia="仿宋" w:cs="仿宋"/>
          <w:b w:val="0"/>
          <w:bCs w:val="0"/>
          <w:sz w:val="32"/>
          <w:szCs w:val="32"/>
          <w:lang w:eastAsia="zh-CN"/>
        </w:rPr>
        <w:t>年度整体</w:t>
      </w:r>
      <w:r>
        <w:rPr>
          <w:rFonts w:hint="eastAsia" w:ascii="仿宋" w:hAnsi="仿宋" w:eastAsia="仿宋" w:cs="仿宋"/>
          <w:b w:val="0"/>
          <w:bCs w:val="0"/>
          <w:sz w:val="32"/>
          <w:szCs w:val="32"/>
        </w:rPr>
        <w:t>绩效目标：</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我局将在县委、县政府的正确领导下，紧紧围绕“11446”发展战略和“135”发展布局，以服务全县经济发展为宗旨，以提高统计基础工作和数据质量为主线，加强统计调查、提高统计数据质量、提升统计服务水平，积极为县委、县政府决策提供服务，圆满完成各项工作任务。</w:t>
      </w:r>
    </w:p>
    <w:p>
      <w:pPr>
        <w:spacing w:line="500" w:lineRule="exact"/>
        <w:ind w:firstLine="643" w:firstLineChars="200"/>
        <w:jc w:val="left"/>
        <w:outlineLvl w:val="1"/>
        <w:rPr>
          <w:rFonts w:hint="eastAsia" w:ascii="仿宋" w:hAnsi="仿宋" w:eastAsia="仿宋" w:cs="仿宋"/>
          <w:sz w:val="32"/>
          <w:szCs w:val="32"/>
        </w:rPr>
      </w:pPr>
      <w:bookmarkStart w:id="0" w:name="_Toc22970"/>
      <w:bookmarkStart w:id="1" w:name="_Toc15645"/>
      <w:r>
        <w:rPr>
          <w:rFonts w:hint="eastAsia" w:ascii="仿宋" w:hAnsi="仿宋" w:eastAsia="仿宋" w:cs="仿宋"/>
          <w:b/>
          <w:bCs/>
          <w:sz w:val="32"/>
          <w:szCs w:val="32"/>
          <w:lang w:eastAsia="zh-CN"/>
        </w:rPr>
        <w:t>工作任务</w:t>
      </w:r>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tc "??????" \f A \l 01</w:instrText>
      </w:r>
      <w:r>
        <w:rPr>
          <w:rFonts w:hint="eastAsia" w:ascii="仿宋" w:hAnsi="仿宋" w:eastAsia="仿宋" w:cs="仿宋"/>
          <w:sz w:val="32"/>
          <w:szCs w:val="32"/>
        </w:rPr>
        <w:fldChar w:fldCharType="end"/>
      </w:r>
      <w:bookmarkEnd w:id="0"/>
      <w:bookmarkEnd w:id="1"/>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1</w:t>
      </w:r>
      <w:r>
        <w:rPr>
          <w:rFonts w:hint="eastAsia" w:ascii="仿宋" w:hAnsi="仿宋" w:eastAsia="仿宋" w:cs="仿宋"/>
          <w:sz w:val="32"/>
          <w:szCs w:val="32"/>
        </w:rPr>
        <w:t>）做好第七次全国人口普查工作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2020年是第七次全国人口普查年，我局按照国家、省、市有关部署开展第七次全国人口普查相关工作，本次人口普查将彻查全县人口出生变动情况以及房屋情况，为政府决策提供数据参考。</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2</w:t>
      </w:r>
      <w:r>
        <w:rPr>
          <w:rFonts w:hint="eastAsia" w:ascii="仿宋" w:hAnsi="仿宋" w:eastAsia="仿宋" w:cs="仿宋"/>
          <w:sz w:val="32"/>
          <w:szCs w:val="32"/>
        </w:rPr>
        <w:t>)做好我县小康监测工作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继续将强化责任放在突出位置，精心筹划，周密组织，立足工作实际，责任到人，确保圆满完成明年小康监测各项报表上报及数据对比工作。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3</w:t>
      </w:r>
      <w:r>
        <w:rPr>
          <w:rFonts w:hint="eastAsia" w:ascii="仿宋" w:hAnsi="仿宋" w:eastAsia="仿宋" w:cs="仿宋"/>
          <w:sz w:val="32"/>
          <w:szCs w:val="32"/>
        </w:rPr>
        <w:t>)继续做好扶贫攻坚工作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继续做好精准扶贫攻坚工作，完成县下达脱贫工作任务，进一步激发贫困人口脱贫致富的内生动力，坚定脱贫攻坚战的信心和决心，巩固脱贫攻坚成果。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4</w:t>
      </w:r>
      <w:r>
        <w:rPr>
          <w:rFonts w:hint="eastAsia" w:ascii="仿宋" w:hAnsi="仿宋" w:eastAsia="仿宋" w:cs="仿宋"/>
          <w:sz w:val="32"/>
          <w:szCs w:val="32"/>
        </w:rPr>
        <w:t>)进一步加强机关党风廉政建设工作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是加强廉政学习。准确把握党风廉政建设的新形势、新要求，定期组织局党组成员学习中央、省、市关于党风廉政建设的各类文件和相关精神，深化提高全体党员干部对党风廉政工作的认识，对上级党风廉政建设相关精神读懂、吃透。二是强化主体责任落实。定期召开党风廉政建设工作会，部署机关党风廉政建设工作，明确工作目标、工作计划，建立工作台账。局党组在重大节日前向所有党员干部发出廉政提醒，定期为党员干部上党课，提醒党员干部牢记使命、警钟长鸣。三是改进工作作风。坚持作风建设重点抓、经常抓、长期抓、深入抓，进一步严明纪律要求，完善机关各项制度，强化干部管理，确保我县统计队伍的长期纯洁，为全县经济社会发展提供强有力的统计支持。</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5</w:t>
      </w:r>
      <w:r>
        <w:rPr>
          <w:rFonts w:hint="eastAsia" w:ascii="仿宋" w:hAnsi="仿宋" w:eastAsia="仿宋" w:cs="仿宋"/>
          <w:sz w:val="32"/>
          <w:szCs w:val="32"/>
        </w:rPr>
        <w:t>)全面做好党建工作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是抓理论学习，提高理论素养。严格执行“三会一课”制度，制定切实可行学习计划，明确学习目的，促进全体党员的理论学习，提高全体干部职工的理论素养。二是抓思想教育，提高党性认识。通过召开专题民主生活会和组织生活会，深刻剖析查找问题，使党员干部时刻清醒坚定政治信念。三是加强组织建设，增强党组织的凝聚力和战斗力。重点在发展党员工作、教育实践活动、党内政治生活和制度建设质量等方面下功夫，强化政治引领，发挥好党员先锋模范作用，带领全体干部职工自觉贯彻执行县委、县政府下达的各项重大部署和工作任务，确保正确方向，务求落到实处。</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6</w:t>
      </w:r>
      <w:r>
        <w:rPr>
          <w:rFonts w:hint="eastAsia" w:ascii="仿宋" w:hAnsi="仿宋" w:eastAsia="仿宋" w:cs="仿宋"/>
          <w:sz w:val="32"/>
          <w:szCs w:val="32"/>
        </w:rPr>
        <w:t>）加强意识形态建设工作</w:t>
      </w:r>
    </w:p>
    <w:p>
      <w:pPr>
        <w:spacing w:line="500" w:lineRule="exact"/>
        <w:ind w:firstLine="640" w:firstLineChars="200"/>
        <w:jc w:val="left"/>
        <w:rPr>
          <w:rFonts w:hint="eastAsia" w:ascii="仿宋" w:hAnsi="仿宋" w:eastAsia="仿宋" w:cs="仿宋"/>
          <w:color w:val="0000FF"/>
          <w:sz w:val="32"/>
          <w:szCs w:val="32"/>
        </w:rPr>
      </w:pPr>
      <w:r>
        <w:rPr>
          <w:rFonts w:hint="eastAsia" w:ascii="仿宋" w:hAnsi="仿宋" w:eastAsia="仿宋" w:cs="仿宋"/>
          <w:sz w:val="32"/>
          <w:szCs w:val="32"/>
        </w:rPr>
        <w:t>认真把握“经济建设是党的工作重心，意识形态工作是党的一项极其重要的工作”的内涵，根据县委、县政府要求，围绕统计工作任务，找准立足点，发挥思想引领、舆论推动、精神激励的重要作用，扎实做好意识形态工作。</w:t>
      </w:r>
    </w:p>
    <w:p>
      <w:pPr>
        <w:numPr>
          <w:ilvl w:val="0"/>
          <w:numId w:val="1"/>
        </w:numPr>
        <w:adjustRightInd w:val="0"/>
        <w:ind w:left="480" w:leftChars="0" w:firstLine="0" w:firstLineChars="0"/>
        <w:rPr>
          <w:rFonts w:hint="eastAsia" w:ascii="楷体" w:hAnsi="楷体" w:eastAsia="楷体" w:cs="仿宋"/>
          <w:color w:val="auto"/>
          <w:sz w:val="32"/>
          <w:szCs w:val="32"/>
        </w:rPr>
      </w:pPr>
      <w:r>
        <w:rPr>
          <w:rFonts w:hint="eastAsia" w:ascii="仿宋" w:hAnsi="仿宋" w:eastAsia="仿宋" w:cs="仿宋"/>
          <w:color w:val="auto"/>
          <w:sz w:val="32"/>
          <w:szCs w:val="32"/>
        </w:rPr>
        <w:t>预算资金安排及资金支出</w:t>
      </w:r>
      <w:r>
        <w:rPr>
          <w:rFonts w:hint="eastAsia" w:ascii="楷体" w:hAnsi="楷体" w:eastAsia="楷体" w:cs="仿宋"/>
          <w:color w:val="auto"/>
          <w:sz w:val="32"/>
          <w:szCs w:val="32"/>
        </w:rPr>
        <w:t>情况。</w:t>
      </w:r>
    </w:p>
    <w:p>
      <w:pPr>
        <w:spacing w:line="500" w:lineRule="exact"/>
        <w:ind w:firstLine="640" w:firstLineChars="200"/>
        <w:jc w:val="left"/>
        <w:rPr>
          <w:rFonts w:hint="default" w:ascii="仿宋" w:hAnsi="仿宋" w:eastAsia="仿宋" w:cs="仿宋"/>
          <w:sz w:val="32"/>
          <w:szCs w:val="32"/>
          <w:lang w:val="en-US" w:eastAsia="zh-CN"/>
        </w:rPr>
      </w:pPr>
      <w:r>
        <w:rPr>
          <w:rFonts w:hint="eastAsia" w:ascii="仿宋" w:hAnsi="仿宋" w:eastAsia="仿宋" w:cs="仿宋"/>
          <w:sz w:val="32"/>
          <w:szCs w:val="32"/>
          <w:lang w:eastAsia="zh-CN"/>
        </w:rPr>
        <w:t>我单位项目经费预算资金安排</w:t>
      </w:r>
      <w:r>
        <w:rPr>
          <w:rFonts w:hint="eastAsia" w:ascii="仿宋" w:hAnsi="仿宋" w:eastAsia="仿宋" w:cs="仿宋"/>
          <w:sz w:val="32"/>
          <w:szCs w:val="32"/>
          <w:lang w:val="en-US" w:eastAsia="zh-CN"/>
        </w:rPr>
        <w:t>126.76万元，实际资金支出情况为144.42万元。</w:t>
      </w:r>
    </w:p>
    <w:p>
      <w:pPr>
        <w:pStyle w:val="17"/>
        <w:numPr>
          <w:ilvl w:val="0"/>
          <w:numId w:val="0"/>
        </w:numPr>
        <w:ind w:left="709" w:leftChars="0"/>
        <w:rPr>
          <w:rFonts w:ascii="黑体" w:hAnsi="黑体" w:eastAsia="黑体" w:cs="仿宋"/>
          <w:sz w:val="32"/>
          <w:szCs w:val="32"/>
        </w:rPr>
      </w:pPr>
      <w:r>
        <w:rPr>
          <w:rFonts w:hint="eastAsia" w:ascii="黑体" w:hAnsi="黑体" w:eastAsia="黑体" w:cs="仿宋"/>
          <w:sz w:val="32"/>
          <w:szCs w:val="32"/>
          <w:lang w:eastAsia="zh-CN"/>
        </w:rPr>
        <w:t>二、</w:t>
      </w:r>
      <w:r>
        <w:rPr>
          <w:rFonts w:hint="eastAsia" w:ascii="黑体" w:hAnsi="黑体" w:eastAsia="黑体" w:cs="仿宋"/>
          <w:sz w:val="32"/>
          <w:szCs w:val="32"/>
        </w:rPr>
        <w:t>预算绩效管理开展及整体绩效实现情况。</w:t>
      </w:r>
    </w:p>
    <w:p>
      <w:pPr>
        <w:numPr>
          <w:ilvl w:val="0"/>
          <w:numId w:val="2"/>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部门开展预算绩效管理情况。</w:t>
      </w:r>
    </w:p>
    <w:p>
      <w:pPr>
        <w:numPr>
          <w:ilvl w:val="0"/>
          <w:numId w:val="0"/>
        </w:numPr>
        <w:spacing w:line="240" w:lineRule="auto"/>
        <w:ind w:firstLine="640" w:firstLineChars="200"/>
        <w:rPr>
          <w:rFonts w:hint="default" w:ascii="仿宋" w:hAnsi="仿宋" w:eastAsia="仿宋" w:cs="仿宋"/>
          <w:sz w:val="32"/>
          <w:szCs w:val="32"/>
          <w:lang w:val="en-US" w:eastAsia="zh-CN"/>
        </w:rPr>
      </w:pPr>
      <w:r>
        <w:rPr>
          <w:rFonts w:hint="eastAsia" w:ascii="仿宋_GB2312" w:hAnsi="仿宋_GB2312" w:eastAsia="仿宋_GB2312" w:cs="仿宋_GB2312"/>
          <w:color w:val="auto"/>
          <w:sz w:val="32"/>
          <w:szCs w:val="32"/>
          <w:lang w:val="en-US" w:eastAsia="zh-CN"/>
        </w:rPr>
        <w:t>为全面实施预算项目绩效管理，我单位一是加强预算编制绩效管理，每年对单位申报预算项目进行全面梳理、加强审核、合理保障，所有项目有明细的资金预算；二是完善项目绩效管理责任，财政局批复下达年度预算时，通过规范格式同步下达绩效目标，我单位明确预算执行主体，负责实现项目绩效目标，对未如期完成或绩效目标结果差的，在编制下年度预算时适当调减项目资金额度；三是积极推进项目绩效评价，在加强预算编制环节的基础上，加强预算执行监管和执行结果评价，将财务监督渗透到预算管理的事前、事中、事后各个环节。</w:t>
      </w:r>
    </w:p>
    <w:p>
      <w:pPr>
        <w:numPr>
          <w:ilvl w:val="0"/>
          <w:numId w:val="2"/>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工作履行活动完成情况。</w:t>
      </w:r>
    </w:p>
    <w:p>
      <w:pPr>
        <w:adjustRightInd w:val="0"/>
        <w:spacing w:line="600" w:lineRule="exact"/>
        <w:ind w:firstLine="640"/>
        <w:rPr>
          <w:rFonts w:hint="default" w:ascii="仿宋" w:hAnsi="仿宋" w:eastAsia="仿宋" w:cs="仿宋"/>
          <w:b/>
          <w:bCs/>
          <w:sz w:val="32"/>
          <w:szCs w:val="32"/>
          <w:lang w:val="en-US" w:eastAsia="zh-CN"/>
        </w:rPr>
      </w:pPr>
      <w:r>
        <w:rPr>
          <w:rFonts w:hint="eastAsia" w:ascii="仿宋_GB2312" w:hAnsi="仿宋_GB2312" w:eastAsia="仿宋_GB2312" w:cs="仿宋_GB2312"/>
          <w:sz w:val="32"/>
          <w:szCs w:val="32"/>
          <w:lang w:val="en-US" w:eastAsia="zh-CN"/>
        </w:rPr>
        <w:t>统计局</w:t>
      </w:r>
      <w:r>
        <w:rPr>
          <w:rFonts w:hint="eastAsia" w:ascii="仿宋_GB2312" w:hAnsi="仿宋_GB2312" w:eastAsia="仿宋_GB2312" w:cs="仿宋_GB2312"/>
          <w:sz w:val="32"/>
          <w:szCs w:val="32"/>
        </w:rPr>
        <w:t>各种会议及大型会议如期成功举行；</w:t>
      </w:r>
      <w:r>
        <w:rPr>
          <w:rFonts w:hint="eastAsia" w:ascii="仿宋_GB2312" w:hAnsi="仿宋_GB2312" w:eastAsia="仿宋_GB2312" w:cs="仿宋_GB2312"/>
          <w:sz w:val="32"/>
          <w:szCs w:val="32"/>
          <w:lang w:val="en-US" w:eastAsia="zh-CN"/>
        </w:rPr>
        <w:t>城乡住户调查、人口变动抽样调查、劳动力调查等调查项目</w:t>
      </w:r>
      <w:r>
        <w:rPr>
          <w:rFonts w:hint="eastAsia" w:ascii="仿宋_GB2312" w:hAnsi="仿宋_GB2312" w:eastAsia="仿宋_GB2312" w:cs="仿宋_GB2312"/>
          <w:sz w:val="32"/>
          <w:szCs w:val="32"/>
        </w:rPr>
        <w:t>；后勤服务和机关事务管理</w:t>
      </w:r>
      <w:r>
        <w:rPr>
          <w:rFonts w:hint="eastAsia" w:ascii="仿宋_GB2312" w:hAnsi="仿宋_GB2312" w:eastAsia="仿宋_GB2312" w:cs="仿宋_GB2312"/>
          <w:sz w:val="32"/>
          <w:szCs w:val="32"/>
          <w:lang w:eastAsia="zh-CN"/>
        </w:rPr>
        <w:t>都很好完成</w:t>
      </w:r>
      <w:r>
        <w:rPr>
          <w:rFonts w:hint="eastAsia" w:ascii="仿宋_GB2312" w:hAnsi="仿宋_GB2312" w:eastAsia="仿宋_GB2312" w:cs="仿宋_GB2312"/>
          <w:sz w:val="32"/>
          <w:szCs w:val="32"/>
        </w:rPr>
        <w:t>，日常工作运转</w:t>
      </w:r>
      <w:r>
        <w:rPr>
          <w:rFonts w:hint="eastAsia" w:ascii="仿宋_GB2312" w:hAnsi="仿宋_GB2312" w:eastAsia="仿宋_GB2312" w:cs="仿宋_GB2312"/>
          <w:color w:val="auto"/>
          <w:sz w:val="32"/>
          <w:szCs w:val="32"/>
          <w:lang w:val="en-US" w:eastAsia="zh-CN"/>
        </w:rPr>
        <w:t>有条不紊</w:t>
      </w:r>
      <w:r>
        <w:rPr>
          <w:rFonts w:hint="eastAsia" w:ascii="仿宋_GB2312" w:hAnsi="仿宋_GB2312" w:eastAsia="仿宋_GB2312" w:cs="仿宋_GB2312"/>
          <w:sz w:val="32"/>
          <w:szCs w:val="32"/>
          <w:lang w:eastAsia="zh-CN"/>
        </w:rPr>
        <w:t>。</w:t>
      </w:r>
    </w:p>
    <w:p>
      <w:pPr>
        <w:numPr>
          <w:ilvl w:val="0"/>
          <w:numId w:val="2"/>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实施履职活动产生的效果或服务对象满意程度。</w:t>
      </w:r>
    </w:p>
    <w:p>
      <w:pPr>
        <w:numPr>
          <w:ilvl w:val="0"/>
          <w:numId w:val="0"/>
        </w:numPr>
        <w:adjustRightInd w:val="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我局按照上级要求圆满完成各项人口调查活动，服务对象较为满意。</w:t>
      </w:r>
    </w:p>
    <w:p>
      <w:pPr>
        <w:pStyle w:val="17"/>
        <w:numPr>
          <w:ilvl w:val="0"/>
          <w:numId w:val="0"/>
        </w:numPr>
        <w:ind w:left="709" w:leftChars="0"/>
        <w:rPr>
          <w:rFonts w:ascii="黑体" w:hAnsi="黑体" w:eastAsia="黑体" w:cs="仿宋"/>
          <w:sz w:val="32"/>
          <w:szCs w:val="32"/>
        </w:rPr>
      </w:pPr>
      <w:r>
        <w:rPr>
          <w:rFonts w:hint="eastAsia" w:ascii="黑体" w:hAnsi="黑体" w:eastAsia="黑体" w:cs="仿宋"/>
          <w:sz w:val="32"/>
          <w:szCs w:val="32"/>
          <w:lang w:eastAsia="zh-CN"/>
        </w:rPr>
        <w:t>三、</w:t>
      </w:r>
      <w:r>
        <w:rPr>
          <w:rFonts w:hint="eastAsia" w:ascii="黑体" w:hAnsi="黑体" w:eastAsia="黑体" w:cs="仿宋"/>
          <w:sz w:val="32"/>
          <w:szCs w:val="32"/>
        </w:rPr>
        <w:t>绩效评价的组织实施情况</w:t>
      </w:r>
    </w:p>
    <w:p>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（一）</w:t>
      </w:r>
      <w:r>
        <w:rPr>
          <w:rFonts w:hint="eastAsia" w:ascii="仿宋" w:hAnsi="仿宋" w:eastAsia="仿宋" w:cs="仿宋"/>
          <w:sz w:val="32"/>
          <w:szCs w:val="32"/>
        </w:rPr>
        <w:t>评价对象绩效目标。</w:t>
      </w:r>
    </w:p>
    <w:p>
      <w:pPr>
        <w:numPr>
          <w:ilvl w:val="0"/>
          <w:numId w:val="0"/>
        </w:numPr>
        <w:adjustRightInd w:val="0"/>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202</w:t>
      </w:r>
      <w:r>
        <w:rPr>
          <w:rFonts w:hint="eastAsia" w:ascii="仿宋" w:hAnsi="仿宋" w:eastAsia="仿宋" w:cs="仿宋"/>
          <w:sz w:val="32"/>
          <w:szCs w:val="32"/>
          <w:lang w:val="en-US" w:eastAsia="zh-CN"/>
        </w:rPr>
        <w:t>1</w:t>
      </w:r>
      <w:r>
        <w:rPr>
          <w:rFonts w:hint="eastAsia" w:ascii="仿宋" w:hAnsi="仿宋" w:eastAsia="仿宋" w:cs="仿宋"/>
          <w:sz w:val="32"/>
          <w:szCs w:val="32"/>
        </w:rPr>
        <w:t>年，我局将在县委、县政府的正确领导下，以</w:t>
      </w:r>
      <w:r>
        <w:rPr>
          <w:rFonts w:hint="eastAsia" w:ascii="仿宋" w:hAnsi="仿宋" w:eastAsia="仿宋" w:cs="仿宋"/>
          <w:sz w:val="32"/>
          <w:szCs w:val="32"/>
          <w:lang w:val="en-US" w:eastAsia="zh-CN"/>
        </w:rPr>
        <w:t>党的</w:t>
      </w:r>
      <w:bookmarkStart w:id="2" w:name="_GoBack"/>
      <w:bookmarkEnd w:id="2"/>
      <w:r>
        <w:rPr>
          <w:rFonts w:hint="eastAsia" w:ascii="仿宋" w:hAnsi="仿宋" w:eastAsia="仿宋" w:cs="仿宋"/>
          <w:sz w:val="32"/>
          <w:szCs w:val="32"/>
        </w:rPr>
        <w:t>十九大精神为指导，紧紧围绕“11446”发展战略和“135”发展布局，以服务全县经济发展为宗旨，以提高统计基础工作和数据质量为主线，加强统计调查、提高统计数据质量、提升统计服务水平，积极为县委、县政府决策提供服务，圆满完成了各项工作任务。</w:t>
      </w:r>
    </w:p>
    <w:p>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（二）</w:t>
      </w:r>
      <w:r>
        <w:rPr>
          <w:rFonts w:hint="eastAsia" w:ascii="仿宋" w:hAnsi="仿宋" w:eastAsia="仿宋" w:cs="仿宋"/>
          <w:sz w:val="32"/>
          <w:szCs w:val="32"/>
        </w:rPr>
        <w:t>绩效指标。</w:t>
      </w:r>
    </w:p>
    <w:p>
      <w:pPr>
        <w:numPr>
          <w:ilvl w:val="0"/>
          <w:numId w:val="0"/>
        </w:numPr>
        <w:adjustRightInd w:val="0"/>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绩效指标分为产出指标（数量指标、质量指标、时效指标、成本指标）、效益指标（社会效益指标）和满意度指标。通过以上指标，对单位项目绩效进行管理。</w:t>
      </w:r>
    </w:p>
    <w:p>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（三）</w:t>
      </w:r>
      <w:r>
        <w:rPr>
          <w:rFonts w:hint="eastAsia" w:ascii="仿宋" w:hAnsi="仿宋" w:eastAsia="仿宋" w:cs="仿宋"/>
          <w:sz w:val="32"/>
          <w:szCs w:val="32"/>
        </w:rPr>
        <w:t>评价标准和评价方法。</w:t>
      </w:r>
    </w:p>
    <w:p>
      <w:pPr>
        <w:numPr>
          <w:ilvl w:val="0"/>
          <w:numId w:val="0"/>
        </w:numPr>
        <w:adjustRightInd w:val="0"/>
        <w:ind w:leftChars="150"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按照绩效目标及绩效指标，对各项目进行绩效管理，严格各项目完成进度。</w:t>
      </w:r>
    </w:p>
    <w:p>
      <w:pPr>
        <w:pStyle w:val="17"/>
        <w:numPr>
          <w:ilvl w:val="0"/>
          <w:numId w:val="0"/>
        </w:numPr>
        <w:ind w:leftChars="200" w:firstLine="320" w:firstLineChars="100"/>
        <w:rPr>
          <w:rFonts w:hint="eastAsia" w:ascii="黑体" w:hAnsi="黑体" w:eastAsia="黑体" w:cs="仿宋"/>
          <w:sz w:val="32"/>
          <w:szCs w:val="32"/>
        </w:rPr>
      </w:pPr>
      <w:r>
        <w:rPr>
          <w:rFonts w:hint="eastAsia" w:ascii="黑体" w:hAnsi="黑体" w:eastAsia="黑体" w:cs="仿宋"/>
          <w:sz w:val="32"/>
          <w:szCs w:val="32"/>
          <w:lang w:eastAsia="zh-CN"/>
        </w:rPr>
        <w:t>四、</w:t>
      </w:r>
      <w:r>
        <w:rPr>
          <w:rFonts w:hint="eastAsia" w:ascii="黑体" w:hAnsi="黑体" w:eastAsia="黑体" w:cs="仿宋"/>
          <w:sz w:val="32"/>
          <w:szCs w:val="32"/>
        </w:rPr>
        <w:t>各项绩效目标的实现程度及差异性原因分析。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仿宋"/>
          <w:sz w:val="32"/>
          <w:szCs w:val="32"/>
        </w:rPr>
      </w:pPr>
      <w:r>
        <w:rPr>
          <w:rFonts w:hint="eastAsia" w:ascii="仿宋_GB2312" w:hAnsi="仿宋_GB2312" w:eastAsia="仿宋_GB2312" w:cs="仿宋_GB2312"/>
          <w:color w:val="auto"/>
          <w:sz w:val="32"/>
          <w:szCs w:val="32"/>
          <w:lang w:val="en-US" w:eastAsia="zh-CN"/>
        </w:rPr>
        <w:t>我单位各个项目绩效目标均已完成。</w:t>
      </w:r>
    </w:p>
    <w:p>
      <w:pPr>
        <w:pStyle w:val="17"/>
        <w:numPr>
          <w:ilvl w:val="0"/>
          <w:numId w:val="0"/>
        </w:numPr>
        <w:ind w:firstLine="640" w:firstLineChars="200"/>
        <w:rPr>
          <w:rFonts w:hint="eastAsia" w:ascii="黑体" w:hAnsi="黑体" w:eastAsia="黑体" w:cs="仿宋"/>
          <w:sz w:val="32"/>
          <w:szCs w:val="32"/>
        </w:rPr>
      </w:pPr>
      <w:r>
        <w:rPr>
          <w:rFonts w:hint="eastAsia" w:ascii="黑体" w:hAnsi="黑体" w:eastAsia="黑体" w:cs="仿宋"/>
          <w:sz w:val="32"/>
          <w:szCs w:val="32"/>
          <w:lang w:eastAsia="zh-CN"/>
        </w:rPr>
        <w:t>五、</w:t>
      </w:r>
      <w:r>
        <w:rPr>
          <w:rFonts w:hint="eastAsia" w:ascii="黑体" w:hAnsi="黑体" w:eastAsia="黑体" w:cs="仿宋"/>
          <w:sz w:val="32"/>
          <w:szCs w:val="32"/>
        </w:rPr>
        <w:t>存在问题</w:t>
      </w:r>
    </w:p>
    <w:p>
      <w:pPr>
        <w:widowControl w:val="0"/>
        <w:numPr>
          <w:ilvl w:val="0"/>
          <w:numId w:val="0"/>
        </w:numPr>
        <w:spacing w:line="240" w:lineRule="auto"/>
        <w:ind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（一）注重抓贯彻，忽视抓典型。对上级要求的各项工作，我们很重视，但思想停留在“完成”二字上，少有创新举措，忽视对典型的挖掘和推介。</w:t>
      </w:r>
    </w:p>
    <w:p>
      <w:pPr>
        <w:widowControl w:val="0"/>
        <w:numPr>
          <w:ilvl w:val="0"/>
          <w:numId w:val="0"/>
        </w:numPr>
        <w:spacing w:line="240" w:lineRule="auto"/>
        <w:ind w:firstLine="640" w:firstLineChars="200"/>
        <w:jc w:val="both"/>
        <w:rPr>
          <w:rFonts w:hint="eastAsia" w:ascii="黑体" w:hAnsi="黑体" w:eastAsia="黑体" w:cs="仿宋"/>
          <w:sz w:val="32"/>
          <w:szCs w:val="32"/>
        </w:rPr>
      </w:pPr>
      <w:r>
        <w:rPr>
          <w:rFonts w:hint="eastAsia" w:ascii="仿宋_GB2312" w:hAnsi="仿宋_GB2312" w:eastAsia="仿宋_GB2312" w:cs="仿宋_GB2312"/>
          <w:color w:val="auto"/>
          <w:sz w:val="32"/>
          <w:szCs w:val="32"/>
          <w:lang w:val="en-US" w:eastAsia="zh-CN"/>
        </w:rPr>
        <w:t>（二）注重按时，忽视评估效果。对于各项工作任务，我们一般提前谋划，但对完成的效果以及影响力的评估，我们少有探究，联系实际、服务群众做的不够。</w:t>
      </w:r>
    </w:p>
    <w:p>
      <w:pPr>
        <w:pStyle w:val="17"/>
        <w:numPr>
          <w:ilvl w:val="0"/>
          <w:numId w:val="0"/>
        </w:numPr>
        <w:ind w:left="709" w:leftChars="0"/>
        <w:rPr>
          <w:rFonts w:hint="eastAsia" w:ascii="黑体" w:hAnsi="黑体" w:eastAsia="黑体" w:cs="仿宋"/>
          <w:sz w:val="32"/>
          <w:szCs w:val="32"/>
        </w:rPr>
      </w:pPr>
      <w:r>
        <w:rPr>
          <w:rFonts w:hint="eastAsia" w:ascii="黑体" w:hAnsi="黑体" w:eastAsia="黑体" w:cs="仿宋"/>
          <w:sz w:val="32"/>
          <w:szCs w:val="32"/>
          <w:lang w:eastAsia="zh-CN"/>
        </w:rPr>
        <w:t>六、</w:t>
      </w:r>
      <w:r>
        <w:rPr>
          <w:rFonts w:hint="eastAsia" w:ascii="黑体" w:hAnsi="黑体" w:eastAsia="黑体" w:cs="仿宋"/>
          <w:sz w:val="32"/>
          <w:szCs w:val="32"/>
        </w:rPr>
        <w:t>采取的纠偏措施及改进绩效管理建议。</w:t>
      </w:r>
    </w:p>
    <w:p>
      <w:pPr>
        <w:widowControl w:val="0"/>
        <w:numPr>
          <w:ilvl w:val="0"/>
          <w:numId w:val="0"/>
        </w:numPr>
        <w:spacing w:line="240" w:lineRule="auto"/>
        <w:ind w:firstLine="640" w:firstLineChars="200"/>
        <w:jc w:val="both"/>
        <w:rPr>
          <w:rFonts w:hint="eastAsia" w:ascii="仿宋_GB2312" w:hAnsi="仿宋_GB2312" w:eastAsia="仿宋_GB2312" w:cs="仿宋_GB2312"/>
          <w:color w:val="FF0000"/>
          <w:sz w:val="32"/>
          <w:szCs w:val="32"/>
          <w:lang w:val="en-US" w:eastAsia="zh-CN"/>
        </w:rPr>
      </w:pPr>
      <w:r>
        <w:rPr>
          <w:rFonts w:hint="eastAsia" w:ascii="仿宋_GB2312" w:hAnsi="仿宋_GB2312" w:eastAsia="仿宋_GB2312" w:cs="仿宋_GB2312"/>
          <w:color w:val="auto"/>
          <w:sz w:val="32"/>
          <w:szCs w:val="32"/>
          <w:lang w:val="en-US" w:eastAsia="zh-CN"/>
        </w:rPr>
        <w:t>进一步规范财务管理，对本单位当年度的各项工作开展做到心中有数，统筹安排，合理配置。在以后工作中，坚持做到合理安排预算资金，不断完善支出结构，优化资金使用率，进一步完善预算管理体制。</w:t>
      </w:r>
    </w:p>
    <w:p>
      <w:pPr>
        <w:pStyle w:val="17"/>
        <w:numPr>
          <w:ilvl w:val="0"/>
          <w:numId w:val="0"/>
        </w:numPr>
        <w:ind w:left="709" w:leftChars="0"/>
        <w:rPr>
          <w:rFonts w:hint="eastAsia" w:ascii="黑体" w:hAnsi="黑体" w:eastAsia="黑体"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83" w:usb1="288F0000" w:usb2="0000000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7</w:t>
    </w:r>
    <w:r>
      <w:rPr>
        <w:rStyle w:val="11"/>
        <w:rFonts w:ascii="宋体" w:hAnsi="宋体" w:eastAsia="宋体"/>
        <w:sz w:val="28"/>
        <w:szCs w:val="28"/>
      </w:rPr>
      <w:fldChar w:fldCharType="end"/>
    </w:r>
    <w:r>
      <w:rPr>
        <w:rStyle w:val="11"/>
        <w:rFonts w:hint="eastAsia" w:ascii="宋体" w:hAnsi="宋体" w:eastAsia="宋体"/>
        <w:sz w:val="28"/>
        <w:szCs w:val="28"/>
      </w:rPr>
      <w:t>-</w:t>
    </w:r>
  </w:p>
  <w:p>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40C7E72"/>
    <w:multiLevelType w:val="singleLevel"/>
    <w:tmpl w:val="D40C7E72"/>
    <w:lvl w:ilvl="0" w:tentative="0">
      <w:start w:val="3"/>
      <w:numFmt w:val="chineseCounting"/>
      <w:suff w:val="nothing"/>
      <w:lvlText w:val="（%1）"/>
      <w:lvlJc w:val="left"/>
      <w:pPr>
        <w:ind w:left="480" w:leftChars="0" w:firstLine="0" w:firstLineChars="0"/>
      </w:pPr>
      <w:rPr>
        <w:rFonts w:hint="eastAsia"/>
      </w:rPr>
    </w:lvl>
  </w:abstractNum>
  <w:abstractNum w:abstractNumId="1">
    <w:nsid w:val="3F7191BE"/>
    <w:multiLevelType w:val="singleLevel"/>
    <w:tmpl w:val="3F7191BE"/>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TBmNmFkZDcwZjRhZDMxNTNiMzQ3ZTJjMDQzMWFkNzYifQ=="/>
  </w:docVars>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5374814"/>
    <w:rsid w:val="0C8F0285"/>
    <w:rsid w:val="0F8F6BFC"/>
    <w:rsid w:val="107166F3"/>
    <w:rsid w:val="14F90370"/>
    <w:rsid w:val="1C841DE7"/>
    <w:rsid w:val="3791647A"/>
    <w:rsid w:val="455969D8"/>
    <w:rsid w:val="48725571"/>
    <w:rsid w:val="4BDB04ED"/>
    <w:rsid w:val="526A3656"/>
    <w:rsid w:val="53CD5365"/>
    <w:rsid w:val="5D643D56"/>
    <w:rsid w:val="5FFD7718"/>
    <w:rsid w:val="64283056"/>
    <w:rsid w:val="69BD0A47"/>
    <w:rsid w:val="71A911C9"/>
    <w:rsid w:val="7793669D"/>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qFormat/>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857</Words>
  <Characters>4889</Characters>
  <Lines>40</Lines>
  <Paragraphs>11</Paragraphs>
  <TotalTime>22</TotalTime>
  <ScaleCrop>false</ScaleCrop>
  <LinksUpToDate>false</LinksUpToDate>
  <CharactersWithSpaces>5735</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2016-02-22T07:07:00Z</dcterms:created>
  <dc:creator>Administrator</dc:creator>
  <cp:lastModifiedBy>lenovo</cp:lastModifiedBy>
  <cp:lastPrinted>2022-03-18T07:00:00Z</cp:lastPrinted>
  <dcterms:modified xsi:type="dcterms:W3CDTF">2023-09-22T03:07:45Z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FE50A302BD6F4F218A0AD72C848D204E_12</vt:lpwstr>
  </property>
</Properties>
</file>