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E w:val="0"/>
        <w:autoSpaceDN w:val="0"/>
        <w:adjustRightInd w:val="0"/>
        <w:ind w:left="198" w:firstLine="640" w:firstLineChars="200"/>
        <w:jc w:val="left"/>
        <w:rPr>
          <w:rFonts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预算绩效信息</w:t>
      </w:r>
    </w:p>
    <w:p>
      <w:pPr>
        <w:autoSpaceDE w:val="0"/>
        <w:autoSpaceDN w:val="0"/>
        <w:adjustRightInd w:val="0"/>
        <w:ind w:left="198" w:firstLine="643" w:firstLineChars="200"/>
        <w:jc w:val="left"/>
        <w:rPr>
          <w:rFonts w:hint="eastAsia" w:ascii="Times New Roman" w:hAnsi="Times New Roman" w:eastAsia="仿宋" w:cs="Times New Roman"/>
          <w:b/>
          <w:color w:val="auto"/>
          <w:sz w:val="32"/>
          <w:szCs w:val="32"/>
          <w:highlight w:val="none"/>
        </w:rPr>
      </w:pPr>
      <w:bookmarkStart w:id="0" w:name="_Toc471398463"/>
      <w:r>
        <w:rPr>
          <w:rFonts w:hint="eastAsia" w:ascii="Times New Roman" w:hAnsi="Times New Roman" w:eastAsia="仿宋" w:cs="Times New Roman"/>
          <w:b/>
          <w:color w:val="auto"/>
          <w:sz w:val="32"/>
          <w:szCs w:val="32"/>
          <w:highlight w:val="none"/>
        </w:rPr>
        <w:t>部门整体绩效目标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根据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隆尧县第十五届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人民代表大会第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五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次会议通过的工作报告，深入贯彻依法治国方略，全面履行法定职责，努力推进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幸福隆尧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建设进程。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、加强对权力运行的制约监督，推动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县委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重大决策部署的贯彻落实。围绕重大问题和人民群众关注的热点难点问题，听取审议专项工作报告，开展执法检查、视察调研。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3、做好会议的服务保障工作，确保会议顺利进行，达到预期目标。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4、发挥好常委会组成人员、专门委员会委员和代表的履职积极性。密切对代表的联系，组织专门委员会成员、代表列席常委会会议，坚持向代表通报常委会会议情况。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5、改进文风会风，提高常委会议事质量。常委会会议议题要在听取群众意见的基础上依法确定，加强会前的视察调研，严格落实议事规则，完善审议程序，切实提出有针对性的意见建议。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6、全面推进机关思想建设、组织建设、作风建设、制度建设和廉政建设，提高机关管理的科学化水平。</w:t>
      </w:r>
    </w:p>
    <w:p>
      <w:pPr>
        <w:autoSpaceDE w:val="0"/>
        <w:autoSpaceDN w:val="0"/>
        <w:adjustRightInd w:val="0"/>
        <w:ind w:left="198" w:firstLine="643" w:firstLineChars="200"/>
        <w:jc w:val="left"/>
        <w:rPr>
          <w:rFonts w:ascii="Times New Roman" w:hAnsi="Times New Roman" w:eastAsia="仿宋" w:cs="Times New Roman"/>
          <w:b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b/>
          <w:color w:val="auto"/>
          <w:sz w:val="32"/>
          <w:szCs w:val="32"/>
          <w:highlight w:val="none"/>
        </w:rPr>
        <w:t>职责分类绩效目标：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、监督方面。听取计划预算执行情况报告、决算报告和审计工作报告，审查批准决算，推动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县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人代会计划预算决议的落实。听取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县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政府专项工作报告。对社会普遍关心的问题组织开展专题询问。组织开展代表旁听评议人民法院庭审活动，督促司法机关完善内部监督制约机制，促进司法公正。提高法规质量，保障其有效实施；发挥常委及代表的桥梁纽带作用，集中反映民意，促进依法履职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、人大会议方面。确保会议按照议程顺利进行，达到预期目的，圆满完成各项任务。完善各项会议制度，规范会议程序，提高会议质量，提高人大代表及常委会审议水平。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、人事任免方面。严格遵循法律法规规定，严格规范工作程序，做好人事任免工作。确保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  <w:lang w:eastAsia="zh-CN"/>
        </w:rPr>
        <w:t>县</w:t>
      </w: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人大和乡人大换届选举工作顺利完成，提高组织换届选举工作水平；高质量完成国家机关领导人选举和常委会人事任免服务工作；高效督办有关部门负责人的目标责任书和述职报告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t>5、人大事务管理方面。保障新闻宣传与新闻发布工作正常开展，提高人大信息透明度和影响力，加强人大对内、对外交流。保障会议表决系统正常运转，网络与办公平台正常运行，促进社会和谐稳定。机关基础设施设备正常运转，信息化保障、老干部服务保障能力进一步提高。</w:t>
      </w:r>
    </w:p>
    <w:p>
      <w:pPr>
        <w:autoSpaceDE w:val="0"/>
        <w:autoSpaceDN w:val="0"/>
        <w:adjustRightInd w:val="0"/>
        <w:ind w:left="198" w:firstLine="640" w:firstLineChars="200"/>
        <w:jc w:val="left"/>
        <w:rPr>
          <w:rFonts w:hint="eastAsia" w:ascii="Times New Roman" w:hAnsi="Times New Roman" w:eastAsia="仿宋" w:cs="Times New Roman"/>
          <w:color w:val="auto"/>
          <w:sz w:val="32"/>
          <w:szCs w:val="32"/>
          <w:highlight w:val="none"/>
        </w:rPr>
        <w:sectPr>
          <w:footerReference r:id="rId4" w:type="default"/>
          <w:pgSz w:w="11907" w:h="16839" w:orient="landscape"/>
          <w:pgMar w:top="1984" w:right="1304" w:bottom="1134" w:left="1304" w:header="851" w:footer="992" w:gutter="0"/>
          <w:cols w:space="720" w:num="1"/>
          <w:docGrid w:type="lines" w:linePitch="312" w:charSpace="0"/>
        </w:sectPr>
      </w:pPr>
    </w:p>
    <w:p>
      <w:pPr>
        <w:autoSpaceDE w:val="0"/>
        <w:autoSpaceDN w:val="0"/>
        <w:adjustRightInd w:val="0"/>
        <w:ind w:left="198" w:firstLine="643" w:firstLineChars="200"/>
        <w:jc w:val="left"/>
        <w:rPr>
          <w:rFonts w:ascii="Times New Roman" w:hAnsi="Times New Roman" w:eastAsia="仿宋" w:cs="Times New Roman"/>
          <w:b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仿宋" w:cs="Times New Roman"/>
          <w:b/>
          <w:color w:val="auto"/>
          <w:sz w:val="32"/>
          <w:szCs w:val="32"/>
          <w:highlight w:val="none"/>
        </w:rPr>
        <w:t>部门职责及工作活动绩效目标指标：</w:t>
      </w:r>
    </w:p>
    <w:p>
      <w:pPr>
        <w:jc w:val="center"/>
        <w:outlineLvl w:val="0"/>
        <w:rPr>
          <w:rFonts w:ascii="方正小标宋_GBK" w:hAnsi="Times New Roman" w:eastAsia="方正小标宋_GBK" w:cs="Times New Roman"/>
          <w:color w:val="auto"/>
          <w:sz w:val="32"/>
          <w:szCs w:val="24"/>
          <w:highlight w:val="none"/>
        </w:rPr>
      </w:pPr>
    </w:p>
    <w:p>
      <w:pPr>
        <w:jc w:val="center"/>
        <w:outlineLvl w:val="0"/>
        <w:rPr>
          <w:rFonts w:hint="eastAsia" w:ascii="方正小标宋_GBK" w:eastAsia="方正小标宋_GBK"/>
          <w:color w:val="auto"/>
          <w:sz w:val="32"/>
          <w:highlight w:val="none"/>
        </w:rPr>
      </w:pPr>
    </w:p>
    <w:p>
      <w:pPr>
        <w:jc w:val="center"/>
        <w:outlineLvl w:val="0"/>
        <w:rPr>
          <w:rFonts w:ascii="方正小标宋_GBK" w:eastAsia="方正小标宋_GBK"/>
          <w:color w:val="auto"/>
          <w:sz w:val="32"/>
          <w:highlight w:val="none"/>
        </w:rPr>
      </w:pPr>
      <w:r>
        <w:rPr>
          <w:rFonts w:hint="eastAsia" w:ascii="方正小标宋_GBK" w:eastAsia="方正小标宋_GBK"/>
          <w:color w:val="auto"/>
          <w:sz w:val="32"/>
          <w:highlight w:val="none"/>
        </w:rPr>
        <w:t>部门职责-工作活动绩效目标</w:t>
      </w:r>
      <w:r>
        <w:rPr>
          <w:rStyle w:val="9"/>
          <w:rFonts w:ascii="方正小标宋_GBK" w:eastAsia="方正小标宋_GBK"/>
          <w:color w:val="auto"/>
          <w:sz w:val="32"/>
          <w:highlight w:val="none"/>
        </w:rPr>
        <w:footnoteReference w:id="0" w:customMarkFollows="1"/>
        <w:sym w:font="Symbol" w:char="F020"/>
      </w:r>
    </w:p>
    <w:tbl>
      <w:tblPr>
        <w:tblStyle w:val="7"/>
        <w:tblW w:w="13934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1"/>
        <w:gridCol w:w="1276"/>
        <w:gridCol w:w="2976"/>
        <w:gridCol w:w="2976"/>
        <w:gridCol w:w="1417"/>
        <w:gridCol w:w="737"/>
        <w:gridCol w:w="737"/>
        <w:gridCol w:w="737"/>
        <w:gridCol w:w="737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10986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color w:val="auto"/>
                <w:sz w:val="24"/>
                <w:highlight w:val="none"/>
              </w:rPr>
            </w:pPr>
            <w:r>
              <w:rPr>
                <w:rFonts w:ascii="方正小标宋_GBK" w:eastAsia="方正小标宋_GBK"/>
                <w:color w:val="auto"/>
                <w:sz w:val="24"/>
                <w:highlight w:val="none"/>
              </w:rPr>
              <w:t>101</w:t>
            </w:r>
            <w:r>
              <w:rPr>
                <w:rFonts w:hint="eastAsia" w:ascii="方正小标宋_GBK" w:eastAsia="方正小标宋_GBK"/>
                <w:color w:val="auto"/>
                <w:sz w:val="24"/>
                <w:highlight w:val="none"/>
              </w:rPr>
              <w:t>隆尧县人大</w:t>
            </w:r>
          </w:p>
        </w:tc>
        <w:tc>
          <w:tcPr>
            <w:tcW w:w="2948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color w:val="auto"/>
                <w:sz w:val="24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sz w:val="24"/>
                <w:highlight w:val="none"/>
              </w:rPr>
              <w:t>单位：元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职责活动</w:t>
            </w:r>
          </w:p>
        </w:tc>
        <w:tc>
          <w:tcPr>
            <w:tcW w:w="1276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年度预算数</w:t>
            </w:r>
          </w:p>
        </w:tc>
        <w:tc>
          <w:tcPr>
            <w:tcW w:w="2976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内容描述</w:t>
            </w:r>
          </w:p>
        </w:tc>
        <w:tc>
          <w:tcPr>
            <w:tcW w:w="2976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绩效目标</w:t>
            </w:r>
          </w:p>
        </w:tc>
        <w:tc>
          <w:tcPr>
            <w:tcW w:w="1417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绩效指标</w:t>
            </w:r>
          </w:p>
        </w:tc>
        <w:tc>
          <w:tcPr>
            <w:tcW w:w="2948" w:type="dxa"/>
            <w:gridSpan w:val="4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评价标准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tblHeader/>
          <w:jc w:val="center"/>
        </w:trPr>
        <w:tc>
          <w:tcPr>
            <w:tcW w:w="2341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color w:val="auto"/>
                <w:highlight w:val="none"/>
              </w:rPr>
            </w:pPr>
          </w:p>
        </w:tc>
        <w:tc>
          <w:tcPr>
            <w:tcW w:w="1276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color w:val="auto"/>
                <w:highlight w:val="none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color w:val="auto"/>
                <w:highlight w:val="none"/>
              </w:rPr>
            </w:pPr>
          </w:p>
        </w:tc>
        <w:tc>
          <w:tcPr>
            <w:tcW w:w="2976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color w:val="auto"/>
                <w:highlight w:val="none"/>
              </w:rPr>
            </w:pPr>
          </w:p>
        </w:tc>
        <w:tc>
          <w:tcPr>
            <w:tcW w:w="1417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0"/>
              <w:rPr>
                <w:color w:val="auto"/>
                <w:highlight w:val="none"/>
              </w:rPr>
            </w:pP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优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良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中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差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一、人大监督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289850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进行执法调研和执法检查；围绕政府工作报告和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“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一府两院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”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专项工作报告涉及内容开展调查研究，开展专题询问和工作评议；对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“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一府两院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”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进行监督。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促进各项法律法规、人大决议、报告等的落实；促进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“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一府</w:t>
            </w: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一委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两院</w:t>
            </w:r>
            <w:r>
              <w:rPr>
                <w:rFonts w:hint="cs" w:ascii="方正书宋_GBK" w:eastAsia="方正书宋_GBK"/>
                <w:color w:val="auto"/>
                <w:highlight w:val="none"/>
              </w:rPr>
              <w:t>”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改进工作；提高规范性文件质量；促进社会和谐稳定。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监督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70%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1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、专门委员会、常委及代表活动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289850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组织专门委员会委员、各工作委员会及特聘专家进行对法律实施情况进行执法检查；组织县人大常委会委员及县人大代表进行执法检查和集中视察；开展代表建议督办；组织对常委及代表培训。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发挥常委及代表的作用，集中反映民意，促进依法履职。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依法履职履</w:t>
            </w:r>
            <w:r>
              <w:rPr>
                <w:rFonts w:hint="eastAsia" w:ascii="方正书宋_GBK" w:eastAsia="方正书宋_GBK"/>
                <w:color w:val="auto"/>
                <w:highlight w:val="none"/>
              </w:rPr>
              <w:t>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70%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二、人大会议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215092</w:t>
            </w:r>
            <w:r>
              <w:rPr>
                <w:rFonts w:ascii="方正书宋_GBK" w:eastAsia="方正书宋_GBK"/>
                <w:color w:val="auto"/>
                <w:highlight w:val="none"/>
              </w:rPr>
              <w:t>.</w:t>
            </w: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5</w:t>
            </w:r>
            <w:r>
              <w:rPr>
                <w:rFonts w:ascii="方正书宋_GBK" w:eastAsia="方正书宋_GBK"/>
                <w:color w:val="auto"/>
                <w:highlight w:val="none"/>
              </w:rPr>
              <w:t>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县人民代表大会和常务委员会各种会议的筹备、会务工作，负责常委会文件起草、审核把关，常委会会议、主任会议及常委会党组会议决定事项、工作部署、重要文件及领导批示的传达和督办。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完善各项会议制度，规范会议程序，提高会议质量，提高人大代表及常委会审议水平。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会议筹备及会务工作的完成率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100%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95%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1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、人大会议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方正书宋_GBK" w:eastAsia="方正书宋_GBK"/>
                <w:color w:val="auto"/>
                <w:highlight w:val="none"/>
              </w:rPr>
              <w:t>2</w:t>
            </w: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15092.50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承担县人民代表大会和常务委员会各种会议的筹备、会务工作，负责常委会文件起草、审核把关，常委会会议、主任会议及常委会党组会议决定事项、工作部署、重要文件及领导批示的传达和督办。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完善各项会议制度，规范会议程序，提高会议质量，提高人大代表及常委会审议水平。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会议筹备及会务工作的完成率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100%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95%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三、选举和任免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检查监督代表法、选举法及其实施办法的贯彻实施；承担人大换届选举及人事任免服务工作；负责对县政府组成人员和县级人民法院、县人民检察院主要负责人的目标责任书、述职报告的督办工作。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确保换届选举工作顺利完成，实现省市和县委人事安排部署；提高组织换届选举工作水平。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选举和任免完成率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70%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1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、换届选举及人事任免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承担县人大换届选举、县级国家机关领导人的选举和常委会人事任免的服务工作；指导乡镇人大换届选举工作；负责对县政府组成人员和县级人民法院、县人民检察院主要负责人的目标责任书、述职报告的督办工作；对换届选举人员进行培训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确保换届选举工作顺利完成，实现省市和县委人事安排部署；提高组织换届选举工作水平。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选举和任免完成率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70%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&lt;70%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四、人大事务管理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238595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新闻宣传和机关信息化建设与维护；人代会及常委会会议表决系统、机关基础设施建设与维护；县人大机关日常管理事务；公报、年检的编辑印刷；信访工作。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促进机关自身建设、服务保障能力进一步提升。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综合业务管理工作完成率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100%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95%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1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、综合业务管理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办理来信来访，日常外事活动和县人大代表团出访事务，内外宾接待，常委会新闻发布和对外宣传，人大系列工作的宣传报道；会议表决系统建设与维护；代表大会和常委会会议公报、人大工作年鉴、大事记和组织史的编写及印刷；负责县内外</w:t>
            </w:r>
            <w:bookmarkStart w:id="1" w:name="_GoBack"/>
            <w:bookmarkEnd w:id="1"/>
            <w:r>
              <w:rPr>
                <w:rFonts w:hint="eastAsia" w:ascii="方正书宋_GBK" w:eastAsia="方正书宋_GBK"/>
                <w:color w:val="auto"/>
                <w:highlight w:val="none"/>
              </w:rPr>
              <w:t>人大常委会联系；重大课题调研。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促进机关自身建设、服务保障能力进一步提升。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综合业务管理工作完成率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100%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95%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2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、综合事务管理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238595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负责机关文书档案印信管理和保密，机关人事、离退休人员服务，财务、基建、后勤服务及警卫工作；机关信息建设和办公自动化建设；负责对全县人大系统信息建设和办公自动化建设的指导、规划、组织、协调和人员培训工作；纪检组办案及培训；领导交办的其他工作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促进机关自身建设、服务保障能力进一步提升。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综合业务管理工作完成率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100%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95%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&lt;90%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五、新农村建设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25500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将积极动员和组织社会力量，为新农村建设提供智力、信息、项目、资金、技术以及法律政策咨询等方面的服务；对新农村建设的理论和实践问题进行调研和论证；组织力量开展新农村建设需要的各类培训，帮助农村干部，技术人员，产业、行业管理人员提高综合素质和领导、管理水平。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将积极动员和组织社会力量，为新农村建设提供智力、信息、项目、资金、技术以及法律政策咨询等方面的服务；对新农村建设的理论和实践问题进行调研和论证；组织力量开展新农村建设需要的各类培训，帮助农村干部，技术人员，产业、行业管理人员提高综合素质和领导、管理水平。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新农村工作完成率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100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&lt;60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atLeast"/>
          <w:jc w:val="center"/>
        </w:trPr>
        <w:tc>
          <w:tcPr>
            <w:tcW w:w="234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b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　　</w:t>
            </w:r>
            <w:r>
              <w:rPr>
                <w:rFonts w:ascii="方正书宋_GBK" w:eastAsia="方正书宋_GBK"/>
                <w:b/>
                <w:color w:val="auto"/>
                <w:highlight w:val="none"/>
              </w:rPr>
              <w:t>1</w:t>
            </w:r>
            <w:r>
              <w:rPr>
                <w:rFonts w:hint="eastAsia" w:ascii="方正书宋_GBK" w:eastAsia="方正书宋_GBK"/>
                <w:b/>
                <w:color w:val="auto"/>
                <w:highlight w:val="none"/>
              </w:rPr>
              <w:t>、新农村建设</w:t>
            </w:r>
          </w:p>
        </w:tc>
        <w:tc>
          <w:tcPr>
            <w:tcW w:w="12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val="en-US" w:eastAsia="zh-CN"/>
              </w:rPr>
              <w:t>25500</w:t>
            </w:r>
            <w:r>
              <w:rPr>
                <w:rFonts w:ascii="方正书宋_GBK" w:eastAsia="方正书宋_GBK"/>
                <w:color w:val="auto"/>
                <w:highlight w:val="none"/>
              </w:rPr>
              <w:t>.00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将积极动员和组织社会力量，为新农村建设提供智力、信息、项目、资金、技术以及法律政策咨询等方面的服务；对新农村建设的理论和实践问题进行调研和论证</w:t>
            </w:r>
          </w:p>
        </w:tc>
        <w:tc>
          <w:tcPr>
            <w:tcW w:w="297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</w:rPr>
              <w:t>将积极动员和组织社会力量，为新农村建设提供智力、信息、项目、资金、技术以及法律政策咨询等方面的服务；对新农村建设的理论和实践问题进行调研和论证</w:t>
            </w:r>
          </w:p>
        </w:tc>
        <w:tc>
          <w:tcPr>
            <w:tcW w:w="141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方正书宋_GBK" w:eastAsia="方正书宋_GBK"/>
                <w:color w:val="auto"/>
                <w:highlight w:val="none"/>
                <w:lang w:eastAsia="zh-CN"/>
              </w:rPr>
              <w:t>新农村工作完成率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60" w:lineRule="auto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100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90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hint="eastAsia" w:ascii="仿宋" w:hAnsi="仿宋" w:eastAsia="仿宋"/>
                <w:sz w:val="18"/>
                <w:szCs w:val="18"/>
              </w:rPr>
              <w:t>≥</w:t>
            </w:r>
            <w:r>
              <w:rPr>
                <w:rFonts w:ascii="仿宋" w:hAnsi="仿宋" w:eastAsia="仿宋"/>
                <w:sz w:val="18"/>
                <w:szCs w:val="18"/>
              </w:rPr>
              <w:t>80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  <w:tc>
          <w:tcPr>
            <w:tcW w:w="737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color w:val="auto"/>
                <w:highlight w:val="none"/>
              </w:rPr>
            </w:pPr>
            <w:r>
              <w:rPr>
                <w:rFonts w:ascii="仿宋" w:hAnsi="仿宋" w:eastAsia="仿宋"/>
                <w:sz w:val="18"/>
                <w:szCs w:val="18"/>
              </w:rPr>
              <w:t>&lt;60</w:t>
            </w:r>
            <w:r>
              <w:rPr>
                <w:rFonts w:hint="eastAsia" w:ascii="仿宋" w:hAnsi="仿宋" w:eastAsia="仿宋"/>
                <w:sz w:val="18"/>
                <w:szCs w:val="18"/>
              </w:rPr>
              <w:t>%</w:t>
            </w:r>
          </w:p>
        </w:tc>
      </w:tr>
      <w:bookmarkEnd w:id="0"/>
    </w:tbl>
    <w:p>
      <w:pPr>
        <w:rPr>
          <w:rFonts w:ascii="Times New Roman" w:hAnsi="Times New Roman" w:eastAsia="仿宋" w:cs="Times New Roman"/>
          <w:sz w:val="32"/>
          <w:szCs w:val="32"/>
        </w:rPr>
      </w:pPr>
    </w:p>
    <w:sectPr>
      <w:footerReference r:id="rId5" w:type="default"/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楷体_GBK">
    <w:panose1 w:val="02000000000000000000"/>
    <w:charset w:val="86"/>
    <w:family w:val="roman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script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3</w:t>
    </w:r>
    <w:r>
      <w:fldChar w:fldCharType="end"/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11"/>
      </w:rPr>
    </w:pPr>
    <w:r>
      <w:fldChar w:fldCharType="begin"/>
    </w:r>
    <w:r>
      <w:rPr>
        <w:rStyle w:val="11"/>
      </w:rPr>
      <w:instrText xml:space="preserve">PAGE  </w:instrText>
    </w:r>
    <w:r>
      <w:fldChar w:fldCharType="separate"/>
    </w:r>
    <w:r>
      <w:rPr>
        <w:rStyle w:val="11"/>
      </w:rPr>
      <w:t>12</w:t>
    </w:r>
    <w:r>
      <w:fldChar w:fldCharType="end"/>
    </w:r>
  </w:p>
  <w:p>
    <w:pPr>
      <w:pStyle w:val="2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2">
    <w:p>
      <w:r>
        <w:separator/>
      </w:r>
    </w:p>
  </w:footnote>
  <w:footnote w:type="continuationSeparator" w:id="3">
    <w:p>
      <w:r>
        <w:continuationSeparator/>
      </w:r>
    </w:p>
  </w:footnote>
  <w:footnote w:id="0">
    <w:p>
      <w:pPr>
        <w:pStyle w:val="5"/>
        <w:rPr>
          <w:rFonts w:hint="eastAsia"/>
        </w:rPr>
      </w:pPr>
      <w:r>
        <w:rPr>
          <w:rStyle w:val="9"/>
        </w:rPr>
        <w:sym w:font="Symbol" w:char="F020"/>
      </w:r>
      <w:r>
        <w:rPr>
          <w:rFonts w:hint="eastAsia" w:ascii="方正楷体_GBK" w:eastAsia="方正楷体_GBK"/>
          <w:sz w:val="24"/>
        </w:rPr>
        <w:t>备注：表中的年度预算数为项目支出，部门工作活动虽未安排项目支出，但由基本支出保障，由于基本支出无法拆分到相应的工作活动，因此部分工作活动没有列示年度预算数。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2"/>
    <w:footnote w:id="3"/>
  </w:footnotePr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1BA"/>
    <w:rsid w:val="000C7140"/>
    <w:rsid w:val="00323B29"/>
    <w:rsid w:val="0039059E"/>
    <w:rsid w:val="007F0341"/>
    <w:rsid w:val="009A521C"/>
    <w:rsid w:val="00D607DA"/>
    <w:rsid w:val="00DC6EE5"/>
    <w:rsid w:val="00EE71BA"/>
    <w:rsid w:val="00F867E4"/>
    <w:rsid w:val="01ED3979"/>
    <w:rsid w:val="056E6DE6"/>
    <w:rsid w:val="062D7B72"/>
    <w:rsid w:val="0662719C"/>
    <w:rsid w:val="081F235E"/>
    <w:rsid w:val="0874174D"/>
    <w:rsid w:val="0DC54D97"/>
    <w:rsid w:val="106674E4"/>
    <w:rsid w:val="11CC562F"/>
    <w:rsid w:val="13B15A1E"/>
    <w:rsid w:val="149436EB"/>
    <w:rsid w:val="1AA62313"/>
    <w:rsid w:val="20332267"/>
    <w:rsid w:val="22B858FE"/>
    <w:rsid w:val="22BE29EF"/>
    <w:rsid w:val="25EB47C6"/>
    <w:rsid w:val="25F838A4"/>
    <w:rsid w:val="26937E03"/>
    <w:rsid w:val="2C44276D"/>
    <w:rsid w:val="30D8736F"/>
    <w:rsid w:val="351C415E"/>
    <w:rsid w:val="359B113B"/>
    <w:rsid w:val="3FEE66E1"/>
    <w:rsid w:val="40DD49C6"/>
    <w:rsid w:val="411D53AF"/>
    <w:rsid w:val="489F1E7D"/>
    <w:rsid w:val="4998668E"/>
    <w:rsid w:val="4B4E47EE"/>
    <w:rsid w:val="4F966706"/>
    <w:rsid w:val="53A20821"/>
    <w:rsid w:val="560710F7"/>
    <w:rsid w:val="58572687"/>
    <w:rsid w:val="5E85753E"/>
    <w:rsid w:val="67010268"/>
    <w:rsid w:val="69934BB2"/>
    <w:rsid w:val="6D62651B"/>
    <w:rsid w:val="6D700C0B"/>
    <w:rsid w:val="6FA51F9B"/>
    <w:rsid w:val="735C3BBC"/>
    <w:rsid w:val="755C1DE8"/>
    <w:rsid w:val="BDFF8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nhideWhenUsed="0" w:uiPriority="0" w:semiHidden="0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nhideWhenUsed="0" w:uiPriority="0" w:semiHidden="0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cs="Times New Roman"/>
      <w:sz w:val="18"/>
      <w:szCs w:val="18"/>
    </w:rPr>
  </w:style>
  <w:style w:type="paragraph" w:styleId="3">
    <w:name w:val="header"/>
    <w:basedOn w:val="1"/>
    <w:link w:val="13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cs="Times New Roman"/>
      <w:sz w:val="18"/>
      <w:szCs w:val="18"/>
    </w:rPr>
  </w:style>
  <w:style w:type="paragraph" w:styleId="4">
    <w:name w:val="toc 1"/>
    <w:basedOn w:val="1"/>
    <w:next w:val="1"/>
    <w:qFormat/>
    <w:uiPriority w:val="0"/>
    <w:rPr>
      <w:rFonts w:ascii="Times New Roman" w:hAnsi="Times New Roman" w:cs="Times New Roman"/>
      <w:szCs w:val="24"/>
    </w:rPr>
  </w:style>
  <w:style w:type="paragraph" w:styleId="5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6">
    <w:name w:val="toc 2"/>
    <w:basedOn w:val="1"/>
    <w:next w:val="1"/>
    <w:qFormat/>
    <w:uiPriority w:val="0"/>
    <w:pPr>
      <w:ind w:left="420" w:leftChars="200"/>
    </w:pPr>
    <w:rPr>
      <w:rFonts w:ascii="Times New Roman" w:hAnsi="Times New Roman" w:cs="Times New Roman"/>
      <w:szCs w:val="24"/>
    </w:rPr>
  </w:style>
  <w:style w:type="character" w:styleId="9">
    <w:name w:val="footnote reference"/>
    <w:qFormat/>
    <w:uiPriority w:val="0"/>
    <w:rPr>
      <w:vertAlign w:val="superscript"/>
    </w:rPr>
  </w:style>
  <w:style w:type="paragraph" w:customStyle="1" w:styleId="10">
    <w:name w:val="Char"/>
    <w:basedOn w:val="1"/>
    <w:qFormat/>
    <w:uiPriority w:val="0"/>
    <w:rPr>
      <w:rFonts w:ascii="Times New Roman" w:hAnsi="Times New Roman" w:cs="Times New Roman"/>
      <w:szCs w:val="24"/>
    </w:rPr>
  </w:style>
  <w:style w:type="character" w:customStyle="1" w:styleId="11">
    <w:name w:val="页码1"/>
    <w:qFormat/>
    <w:uiPriority w:val="0"/>
  </w:style>
  <w:style w:type="character" w:customStyle="1" w:styleId="12">
    <w:name w:val="页脚 Char"/>
    <w:link w:val="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眉 Char"/>
    <w:link w:val="3"/>
    <w:semiHidden/>
    <w:qFormat/>
    <w:uiPriority w:val="0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15</Pages>
  <Words>1322</Words>
  <Characters>7536</Characters>
  <Lines>62</Lines>
  <Paragraphs>17</Paragraphs>
  <TotalTime>17</TotalTime>
  <ScaleCrop>false</ScaleCrop>
  <LinksUpToDate>false</LinksUpToDate>
  <CharactersWithSpaces>8841</CharactersWithSpaces>
  <Application>WPS Office_11.8.2.1120_F1E327BC-269C-435d-A152-05C5408002CA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2017-01-24T01:29:00Z</dcterms:created>
  <dc:creator>guest</dc:creator>
  <cp:lastModifiedBy>work</cp:lastModifiedBy>
  <cp:lastPrinted>2020-01-10T23:53:00Z</cp:lastPrinted>
  <dcterms:modified xsi:type="dcterms:W3CDTF">2023-09-21T15:33:22Z</dcterms:modified>
  <dc:title>o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2052-11.8.2.1120</vt:lpwstr>
  </property>
  <property fmtid="{D5CDD505-2E9C-101B-9397-08002B2CF9AE}" pid="3" name="ICV">
    <vt:lpwstr>220100DD048BC7D3C2F10B65A5C1E280</vt:lpwstr>
  </property>
</Properties>
</file>