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河北隆尧经济开发区管理委员会</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按照《预算法》、《地方预决算公开操作规程》和《河北省省级预算公开办法》规定，现将河北省人大常委会办公厅2020年部门预算公开如下：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widowControl/>
        <w:spacing w:line="580" w:lineRule="atLeast"/>
        <w:ind w:firstLine="640"/>
        <w:jc w:val="left"/>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（一）编制辖区的总体规划及经济、社会发展规划，经批准后组织实施。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（二）编制辖区区域性城市发展规划、国土利用规划，经批准后组织实施。</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（三）审批或审核辖区固定资产投资项目。</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（四）负责辖区基础设施、公用设施的建设和管理。</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（五）负责辖区财政管理，实施辖区内财政预算、决算、国有资产管理和财政监督工作。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（六）负责招商引资、进出口贸易和国内外经济技术合作工作。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（七）负责辖区环境保护和安全生产监督管理工作。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（八）负责协调西区内上级有关部门派驻机构的工作。</w:t>
      </w:r>
    </w:p>
    <w:p>
      <w:pPr>
        <w:widowControl/>
        <w:spacing w:line="580" w:lineRule="atLeast"/>
        <w:ind w:firstLine="640"/>
        <w:jc w:val="left"/>
        <w:rPr>
          <w:rFonts w:ascii="仿宋" w:hAnsi="仿宋" w:eastAsia="仿宋" w:cs="宋体"/>
          <w:kern w:val="0"/>
          <w:sz w:val="32"/>
          <w:szCs w:val="32"/>
        </w:rPr>
      </w:pPr>
      <w:r>
        <w:rPr>
          <w:rFonts w:hint="eastAsia" w:ascii="仿宋" w:hAnsi="仿宋" w:eastAsia="仿宋" w:cs="宋体"/>
          <w:kern w:val="0"/>
          <w:sz w:val="32"/>
          <w:szCs w:val="32"/>
        </w:rPr>
        <w:t>（九）负责隆尧县政府交办的其他事项。</w:t>
      </w:r>
    </w:p>
    <w:p>
      <w:pPr>
        <w:widowControl/>
        <w:spacing w:line="580" w:lineRule="atLeast"/>
        <w:ind w:firstLine="640"/>
        <w:jc w:val="left"/>
        <w:rPr>
          <w:rFonts w:ascii="仿宋" w:hAnsi="仿宋" w:eastAsia="仿宋" w:cs="宋体"/>
          <w:kern w:val="0"/>
          <w:sz w:val="32"/>
          <w:szCs w:val="32"/>
        </w:rPr>
      </w:pP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仿宋_GB2312" w:hAnsi="仿宋_GB2312" w:eastAsia="仿宋_GB2312"/>
                <w:bCs/>
                <w:kern w:val="0"/>
                <w:sz w:val="24"/>
                <w:szCs w:val="24"/>
              </w:rPr>
              <w:t>河北隆尧经济开发区管理委员会（机关）</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仿宋_GB2312" w:hAnsi="仿宋_GB2312" w:eastAsia="仿宋_GB2312"/>
                <w:bCs/>
                <w:kern w:val="0"/>
                <w:sz w:val="24"/>
                <w:szCs w:val="24"/>
              </w:rPr>
              <w:t>副处级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jc w:val="center"/>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仿宋_GB2312" w:hAnsi="仿宋_GB2312" w:eastAsia="仿宋_GB2312"/>
                <w:bCs/>
                <w:kern w:val="0"/>
                <w:sz w:val="24"/>
                <w:szCs w:val="24"/>
              </w:rPr>
            </w:pPr>
          </w:p>
        </w:tc>
        <w:tc>
          <w:tcPr>
            <w:tcW w:w="1134" w:type="dxa"/>
            <w:vAlign w:val="center"/>
          </w:tcPr>
          <w:p>
            <w:pPr>
              <w:spacing w:line="300" w:lineRule="exact"/>
              <w:jc w:val="center"/>
              <w:rPr>
                <w:rFonts w:ascii="方正书宋_GBK" w:eastAsia="方正书宋_GBK"/>
              </w:rPr>
            </w:pPr>
          </w:p>
        </w:tc>
        <w:tc>
          <w:tcPr>
            <w:tcW w:w="1276" w:type="dxa"/>
            <w:vAlign w:val="center"/>
          </w:tcPr>
          <w:p>
            <w:pPr>
              <w:spacing w:line="300" w:lineRule="exact"/>
              <w:rPr>
                <w:rFonts w:ascii="仿宋_GB2312" w:hAnsi="仿宋_GB2312" w:eastAsia="仿宋_GB2312"/>
                <w:bCs/>
                <w:kern w:val="0"/>
                <w:sz w:val="24"/>
                <w:szCs w:val="24"/>
              </w:rPr>
            </w:pPr>
          </w:p>
        </w:tc>
        <w:tc>
          <w:tcPr>
            <w:tcW w:w="2902" w:type="dxa"/>
            <w:vAlign w:val="center"/>
          </w:tcPr>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w:t>
      </w:r>
      <w:r>
        <w:rPr>
          <w:rFonts w:hint="eastAsia" w:ascii="Times New Roman" w:hAnsi="Times New Roman" w:eastAsia="仿宋" w:cs="Times New Roman"/>
          <w:sz w:val="32"/>
          <w:szCs w:val="32"/>
        </w:rPr>
        <w:t>单位</w:t>
      </w:r>
      <w:r>
        <w:rPr>
          <w:rFonts w:ascii="Times New Roman" w:hAnsi="Times New Roman" w:eastAsia="仿宋" w:cs="Times New Roman"/>
          <w:sz w:val="32"/>
          <w:szCs w:val="32"/>
        </w:rPr>
        <w:t>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反映本部门当年全部收入。2020年预算收入4137.88万元，其中：一般公共预算收入534.58万元，基金预算收入3603.30万元，财政专户核拨收入0万元，其他来源收入0万元。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河北省人民代表大会常务委员会办公厅年度部门预算中支出预算的总体情况。2020年部门支出预算为4137.88万元，其中基本支出208.69万元，包括人员经费194.67万元和日常公用经费14.02万元；项目支出3929.19万元，主要为招商引资60万元，城乡社区管理事务135.89万元，其他城乡社区公共设施支出50万元，城乡社区环境卫生80万元，国有土地使用权出让收入安排的支出2099.30万元，城市基础设施配套费安排的支出1504万元；其他支出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4137.88</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较2019年增加3518.88万元，其中：基本支出与上年基本持平；项目支出增加3518.29万元，国有土地使用权出让收入安排的支出2099.30万元，城市基础设施配套费安排的支出1504万元。</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2020年，我部门机关运行经费共计安排14.02万元，主要用于保证机关正常运转的办公及办公用房水电费、工会经费、其他交通费用等支出。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2020年，我部门财政拨款“三公”经费预算安排10万元，其中：因公出国（境）费0万元,与上年持平，无增减变化；公务用车购置及运维费0万元（其中：公务用车购置费0万元，公务用车运行维护费0万元) 与上年持平，无增减变化；公务接待费10万元，较上年减少3.2万元，主要是因为减少公务接待费支出。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2020年，开发区管委会将继续以习近平新时代中国特色社会主义思想为指引，全面贯彻落实我县“11446”发展思路和“135”发展布局，以项目建设为抓手，以服务企业为宗旨，全力推进开发区经济发展稳中求进。</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一、发展思路。以开发区的产业发展推进县城建设，以县城建设促进开发区产业发展，走以产兴城、产城融合的发展道路。在招商引资上，以“3+2”产业定位为方向，突出做好内培和外引两篇文章。在产业发展和项目建设上，以高端石油装备制造暨氢能源特种车科技创新产业园为依托，培育发展高端装备制造产业；以五金制品产业园和金属表面处理中心为依托，做大做强传统产业。在园区建设上，以“一厂（污水处理厂提质改造）、两路（兴业路和滏阳街北延道改造提升工程）、三平台（装备制造科创园、职工生活小区、投融资平台）” 建设为抓手，进一步提升开发区承载能力。在规划执行上，推进唐尧新区规划和开发区规划的融合对接，并用大开发区的理念，推动唐尧新区和开发区融合发展。在行政审批上，推进网上审批服务，实现企业办理事项“两不见面”和“最多跑一次”的目标。</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二、集中力量，全力以赴，推进招商引资工作取得新成绩。开发区将以“3+2”产业定位为总纲，紧密结合我省战略性新兴产业规划，以高端装备制造，新材料，先进环保，未来产业等领域作为未来三年主攻方向。内培外引并重，推动产业转型升级，提高发展质量效益，加快新旧动能转换。</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计划招引10亿元以上项目1个，亿元以上项目6个。重点实施好“1+3工程”，依托金属表面处理中心和五金制品产业园，引进世界一流的生产设备和先进的管理经验，将五金制品产业园打造成为中国最大的五金制品生产基地；依托高端石油装备制造暨氢能源特种车科技创新产业园，培育发展高端装备制造产业，实现开发区汽车整车制造等高端装备制造产业的零突破；依托京津产业转移的有利时机，谋划建设京津装备制造科技创新产业园，引进1-2个承接京津产业转移的全产业链项目；依托红星美凯龙品牌效应，打造高端商业中心，提升县城消费档次和城市品位。以“1+3工程”为抓手，招引规模大、质量高的项目，特别是战略性新兴产业项目落地实施，推进开发区招商引资有质的提升。</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三、加大力度，凝心聚力，推进项目建设工作取得新突破。重点抓好“四个一批”工作，即开工建设一批、投产达效一批、规上入统一批、腾笼换凤一批。一是开工建设一批。2020年计划安排重点项目共计16个，总投资33.7198亿元，计划总投资10亿元。其中，续建项目10个，总投资24.006亿元，计划投资5亿元；新开工项目6个，总投资9.7亿元，计划投资5亿元。千方百计破解土地这一最大的制约因素，推进高端石油装备制造暨氢能源特种车科技创新产业园、五金制品产业园、青岛喜歌五金制钉、雲龙螺丝钉、雷霆特种钉等项目落地实施，顺利开工建设。</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二是投产达效一批。完善项目倒排工期制，深化项目调度机制和全程帮办机制，促使企业早建成、早投产、早达效，加快推进青龙剑钉业、考格尔冷藏车、瀚驰金属制品、田鑫电力、鸥神塑料、筑功金属制品等续建项目2020年年初投产。</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三是规上入统一批。加大企业入统力度，将新中航轴承、金广联达电气、乐居家具、联福仓储、辉顺塑料、美化印刷、德高实业等项目纳入2020年规上企业盘子，指导企业规范经营行为，促使企业尽早纳入规上企业管理。</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四是腾笼换凤一批。根据县项目管理办法，持续抓好劣质项目退出工作，坚持一企一策的原则，采取两税征收、环保倒逼、立案起诉等必要措施，倒逼5家问题企业全面清退，为唐尧新区建设和新项目入驻腾退空间。</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四、加大投资，克难攻坚，推进园区建设工作再添新亮点。重点是推进“一厂、两路、三平台”建设， “一厂”即污水处理厂提质改造工程，“两路”即兴业路绿化和滏阳街改造提升工程，“三平台”即京津装备制造科创园、职工生活小区（保障房）、投融资等发展平台。一是完成总投资4000万元，占地50亩的污水处理厂提质改造项目建设，污水排水口水质达到准四类标准。二是完成柳行路道路排水和滏阳街北延工程建设，拓展发展空间。三是谋划建设京津装备制造科创园和职工生活小区（保障房），并推进投融资平台建设，完善开发区配套功能。通过“一厂、两路、三平台”的建设，进一步增强开发区承载能能力。</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五、多措并举，众志成城，保证安全环保工作取得新成效。一是加强组织领导，严格落实网格化监管责任体系，全员分包企业，层层落实，确保不留死角。二是成立安全环保办公室，专人负责，加强督导，安全、环保两项工作一起抓，不能注重环境保护而轻视安全生产，也不能强调安全生产而忽视环境保护。三是全力开展工业企业管控专项行动，严格执行安全生产和环境保护各项方案、关注数据，强调落实，密切排查消除安全、环境风险隐患。四是加大投资，做好基础增添设备，加快污水处理厂建设，加大园区大气污染治理，加大园区道路清扫，雾炮车和洒水车工作频率等具体措施。</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600" w:lineRule="exact"/>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六、夯实基础，突出重点，推进基层党建工作再上新台阶。一是加强党群活动服务中心建设，坚持“服务党员、服务职工、服务群众、服务民生、服务改革、服务发展”的宗旨，组织丰富多样的党群活动，进一步拉近党群、干群关系。二是引导各支部学习党的精神，方针政策，贯彻落实“三会一课”、民主生活会等各项制度，加大以宝信党支部、珈奥党支部为例，培树亮点，打造优秀非公党建阵地。三是加强党的宣传工作，鼓励广大企业职工积极踊跃入党，大力开展“双育工程”，吸收企业出资人、业务骨干等优秀人才加入党组织，2020年计划发展积极分子60余人，发展预备党员20名左右。四是加强干部队伍建设，加大教育培训力度，提高业务素质，提升服务意识，努力打造一支想干事，敢干事，能干事，懂经济，会管理的年轻干部队伍。五是继续加强开发区公众号和《开发区简报》两个宣传平台建设，同时，认真选择优秀题材报送至《河北开发区》杂志、县委县政府各信息中心、《今日隆尧》等媒体，加大对开发区及我县的宣传工作。</w:t>
      </w:r>
    </w:p>
    <w:p>
      <w:pPr>
        <w:pStyle w:val="15"/>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七、奋力争先，开拓创新，推进园区改革工作取得新进展。当前，开发区的四项改革工作取得了较快的进展，但还存在质量不高，服务不优，效果不明等问题，2020年，重点抓好以下三方面工作。一是按照全省开发区四项改革工作总体部署，把准时间，抓住重点，统筹安排资金，合理编制预算，确保四项改革不断完善。二是强化服务中心功能，减少行政审批流程，精简审批环节，放宽审核合一权限，提升服务效能。加强同各职能部门的协调沟通和密切配合，确保“园区事项园区办”取得实效。三是继续深化“放管服”改革，努力构建“线下一中心，线上一张网”工作机制，开发在线填报、在线提交和在线审查等便民应用，推动更多审批服务事项通过互联网移动端办理。通过容缺后补、绿色通道、数字化审图等便利化措施，实现“最多跑一次”和“两不见面”的目标。</w:t>
      </w:r>
    </w:p>
    <w:p>
      <w:pPr>
        <w:pStyle w:val="16"/>
        <w:rPr>
          <w:rFonts w:ascii="Times New Roman" w:hAnsi="Times New Roman" w:eastAsia="仿宋"/>
          <w:kern w:val="2"/>
          <w:sz w:val="32"/>
          <w:szCs w:val="32"/>
          <w:lang w:eastAsia="zh-CN"/>
        </w:rPr>
      </w:pPr>
    </w:p>
    <w:p>
      <w:pPr>
        <w:numPr>
          <w:ilvl w:val="0"/>
          <w:numId w:val="1"/>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分项绩效目标</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2020年开发区将深入贯彻落实党的</w:t>
      </w:r>
      <w:bookmarkStart w:id="20" w:name="_GoBack"/>
      <w:bookmarkEnd w:id="20"/>
      <w:r>
        <w:rPr>
          <w:rFonts w:hint="eastAsia" w:ascii="Times New Roman" w:hAnsi="Times New Roman" w:eastAsia="仿宋"/>
          <w:kern w:val="2"/>
          <w:sz w:val="32"/>
          <w:szCs w:val="32"/>
          <w:lang w:eastAsia="zh-CN"/>
        </w:rPr>
        <w:t>十九大精神，全面落实市委“走新路、有作为、创亮点、守底线”要求，以全县“11446”发展思路和“135”发展布局为统领，紧紧抓住京津冀一体化和雄安新区建设的重大战略机遇期，立足开发区“3+2”产业定位，加强基础建设、优化营商环境、强化招商引资、推进项目建设，权利推进开发区跨越式发展。</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加强组织领导。开发区实行一把手统领，分管副职督导，各局局长带头实施的年度发展目标制定化管理体系，将目标任务层层落实到部门、到岗、并明确时间进度。定期召开调度会议摸排和商讨解决存在问题，了解目标完成情况、存在问题、商讨解决对策。</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2、将目标任务纳入年终考核。将目标任务的完成情况作为年终评优、提拔推荐、岗位级别评定的依据。</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3、招商引资。狠抓招商工作不放松，借助各地商会、协会等平台，通过全员招商、驻点招商、登门招商、小组团队招商、亲情招商、领导带队招商、展会招商等多种方式为开发区招引项目。</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4、项目建设。一是前期项目强帮办；二是在建项目促进度；三是投产项目搞服务。</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5、安全生产。一是层层签订安全生产责任书；二是加强对重点领域企业的监管；三是加强检查执法力度；四是认真开展重要时期及各类专项整治活动和打击违法活动。</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6、规划建设。一是开发区总体规划的落实和实施；二是基础设施和建设；三是入驻企业选址、形象审定及工程质量指导；四是开发区市政设施的建设、管理和维护；五是开发区退出机制。</w:t>
      </w:r>
    </w:p>
    <w:p>
      <w:pPr>
        <w:autoSpaceDE w:val="0"/>
        <w:autoSpaceDN w:val="0"/>
        <w:adjustRightInd w:val="0"/>
        <w:ind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30"/>
      <w:r>
        <w:rPr>
          <w:rFonts w:hint="eastAsia" w:ascii="Times New Roman" w:hAnsi="Times New Roman" w:eastAsia="方正仿宋_GBK" w:cs="Times New Roman"/>
          <w:b/>
          <w:sz w:val="32"/>
          <w:szCs w:val="32"/>
        </w:rPr>
        <w:instrText xml:space="preserve">工作保障措施</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一、综合办公室</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负责机关内部规章制度的制定、议定事项检查督办和各项工作的联络与协商；负责各类资料数据统计、归类、上呈下达工作；组织开发区内企业联谊活动和各类会议的召开，接待领导视察和友好单位的巡防；负责开发区的党建、后勤管理工作。</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二、规划建设局</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协调国土、规划等部门完成对项目占地的测量、定点放线工作。对创谱、隆科、驿应达电缆等重点项目定点放线工作及对新签约项目的用地测量，争取为项目尽早落地打下坚实的基础。2.服务企业做好办理手续等工作。积极协调职能部门予以解决，确保各入驻企业无后顾之忧。3.协调解决项目建设中问题，优化开发区发展环境。协助企业解决矛盾纠纷，为企业正常施工建设提供保障，确保重点项目建设进度。4.对存在“圈而不建”、“圈多建少”的企业启动退出机制，强化监管。5.基础设施建设达到省级开发区标准，取得新进展。协调解决企业与开发区基础设施的衔接上所存在的问题。</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三、经济发展局</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1、全力协助项目单位完善手续办理工作，加强项目建设监督。2、深化在建项目调度机制，确保项目如期投产达效 。完善在建项目建设倒排工期制，使园区能快速、准确地掌握项目进度，同时启动帮办工作机制，落实企业帮办责任人，切实做到深入项目现场，加强与投资商、施工企业的对接，对项目建设重要时期或关键环节实施重点调度，保障项目建设顺利进行。3、实施前期项目快速推进措施，促进项目早日开工。重点帮助企业办理生产涉及工商、环保、质监、安全、消防等行政许可手续，协调解决生产用水、使用天然气、用电、用工等工作，通过召开企业调度会、职能部门协调会等方式，加强联系沟通，及时掌握并解决项目入驻过程中存在的矛盾和问题。4、按照河北省经济开发区综合评价办法，全面对开发区内企业进行各项指标摸底登记，及时进行网络报表系统上报。</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四、招商局</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1、承接好京津产业转移项目。认真研究京津产业转移企业名单，做好与当地政府和商会的联系和沟通，筛选符合开发区产业定位的企业进行重点跟踪，邀请企业负责人到隆尧考察，争取企业到开发区落户，加大开发区的宣传和推介力度。2、安排好明年拜访各大商会的时间表。与商会建立长期的、有规律的联系，按照重要程度制定不同的拜访频率，形成一项固定的、有计划地制度。3、确定重点区域，研究分析当地综合情况。以北京、上海和深圳的三个招商分局为依托，深入研究京津、长三角、珠三角的政府圈、经济圈和企业圈，有计划、有针对性地筛选符合开发区产业定位的、有对外投资意向的企业，邀请到隆尧进行实地考察，同时做好自我宣传和自我推介，提升开发区的知名度和竞争力。4、参与国家部委举办的相关会议。积极参与国资委、科技部等单位组织的国内外科技交流大会等相关会议，拓展招商渠道，搜集招商线索。5、利用互联网平台，搜索招商信息。将企业网站以产业或者地域为标准分类，建立网络信息库，并定期关注相关企业动态，捕捉招商信息。</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五、财政局</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负责单位内部资金申请和支出，银行所有手续和现金办理、预决算的编制情况；企业各类税收、落地保证金、招拍挂和耕地占用税的缴纳情况，以及企业申请重点项目资金的手续办理情况。负责单位人事关系及工资关系</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 xml:space="preserve">    六、行政审批局</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r>
        <w:rPr>
          <w:rFonts w:hint="eastAsia" w:ascii="Times New Roman" w:hAnsi="Times New Roman" w:eastAsia="仿宋"/>
          <w:kern w:val="2"/>
          <w:sz w:val="32"/>
          <w:szCs w:val="32"/>
          <w:lang w:eastAsia="zh-CN"/>
        </w:rPr>
        <w:t>负责贯彻执行行政审批相关政策、法律、法规和规定；2、按照相关法律法规编制服务指南，规划行政审批行为，优化审批流程，提高审批效率，并依法全面公开行政审批信息；3、开发区行政审批制度改革，以及相关工作体系、体制机制创新和完善工作；4、负责行政审批局审批业务和人员的教育培训、管理、监督和考核工作；5、负责会同入驻单位对入驻单位有关人员的教育培训、管理、监督和考核工作；6、负责行政审批信息化建设和管理；7、负责承办开发区党工委、管委会交办的其他事项。</w:t>
      </w:r>
    </w:p>
    <w:p>
      <w:pPr>
        <w:pStyle w:val="16"/>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ind w:firstLine="640" w:firstLineChars="200"/>
        <w:rPr>
          <w:rFonts w:ascii="Times New Roman" w:hAnsi="Times New Roman" w:eastAsia="仿宋"/>
          <w:kern w:val="2"/>
          <w:sz w:val="32"/>
          <w:szCs w:val="32"/>
          <w:lang w:eastAsia="zh-CN"/>
        </w:rPr>
      </w:pPr>
    </w:p>
    <w:p>
      <w:pPr>
        <w:numPr>
          <w:ilvl w:val="0"/>
          <w:numId w:val="2"/>
        </w:numPr>
        <w:autoSpaceDE w:val="0"/>
        <w:autoSpaceDN w:val="0"/>
        <w:adjustRightInd w:val="0"/>
        <w:ind w:left="198" w:firstLine="640"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分  预算项目绩效目标</w:t>
      </w: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1、2020年绿化养护经费绩效目标表</w:t>
      </w:r>
      <w:bookmarkStart w:id="3" w:name="_Toc13124"/>
      <w:r>
        <w:rPr>
          <w:rFonts w:hint="eastAsia"/>
        </w:rPr>
        <w:fldChar w:fldCharType="begin"/>
      </w:r>
      <w:r>
        <w:rPr>
          <w:rFonts w:hint="eastAsia" w:ascii="方正仿宋_GBK" w:hAnsi="方正仿宋_GBK" w:eastAsia="方正仿宋_GBK" w:cs="方正仿宋_GBK"/>
          <w:b/>
          <w:sz w:val="28"/>
        </w:rPr>
        <w:instrText xml:space="preserve"> TC 1、2020年绿化养护经费绩效目标表 \f C \l 1 </w:instrText>
      </w:r>
      <w:r>
        <w:rPr>
          <w:rFonts w:hint="eastAsia" w:ascii="方正仿宋_GBK" w:hAnsi="方正仿宋_GBK" w:eastAsia="方正仿宋_GBK" w:cs="方正仿宋_GBK"/>
          <w:b/>
          <w:sz w:val="28"/>
        </w:rPr>
        <w:fldChar w:fldCharType="end"/>
      </w:r>
      <w:bookmarkEnd w:id="3"/>
    </w:p>
    <w:tbl>
      <w:tblPr>
        <w:tblStyle w:val="8"/>
        <w:tblW w:w="116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4"/>
        <w:gridCol w:w="1304"/>
        <w:gridCol w:w="481"/>
        <w:gridCol w:w="823"/>
        <w:gridCol w:w="707"/>
        <w:gridCol w:w="569"/>
        <w:gridCol w:w="2446"/>
        <w:gridCol w:w="14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3904"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94"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438-0501-JXN-X4FE</w:t>
            </w:r>
          </w:p>
        </w:tc>
        <w:tc>
          <w:tcPr>
            <w:tcW w:w="178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003"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2020年绿化养护经费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56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800000.00</w:t>
            </w:r>
          </w:p>
        </w:tc>
        <w:tc>
          <w:tcPr>
            <w:tcW w:w="178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3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800000.00</w:t>
            </w:r>
          </w:p>
        </w:tc>
        <w:tc>
          <w:tcPr>
            <w:tcW w:w="301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458"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482"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委托业务费800000元。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180"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180"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482"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1、基础设施建设的社会管理职能，为开发区范围内市政实施进行维护。</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2、打造开发区优良环境，为招商引资做贡献。</w:t>
            </w:r>
          </w:p>
        </w:tc>
      </w:tr>
    </w:tbl>
    <w:p>
      <w:pPr>
        <w:spacing w:line="14" w:lineRule="exact"/>
        <w:ind w:firstLine="422" w:firstLineChars="200"/>
        <w:jc w:val="center"/>
        <w:rPr>
          <w:rFonts w:ascii="Times New Roman" w:hAnsi="宋体" w:cs="宋体"/>
          <w:b/>
        </w:rPr>
      </w:pPr>
    </w:p>
    <w:tbl>
      <w:tblPr>
        <w:tblStyle w:val="8"/>
        <w:tblW w:w="1157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732"/>
        <w:gridCol w:w="14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73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407"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路面、便道维护</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开发区路面正常通行</w:t>
            </w:r>
          </w:p>
        </w:tc>
        <w:tc>
          <w:tcPr>
            <w:tcW w:w="373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615"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绿化维护</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开发区绿化保持完好</w:t>
            </w:r>
          </w:p>
        </w:tc>
        <w:tc>
          <w:tcPr>
            <w:tcW w:w="373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1170"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保持开发区良好的生态环境</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保证绿化舒适、生态环境良好</w:t>
            </w:r>
          </w:p>
        </w:tc>
        <w:tc>
          <w:tcPr>
            <w:tcW w:w="373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40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795"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保障企业的正常发展运行</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基础设施保持完成、保证企业正常发展运行</w:t>
            </w:r>
          </w:p>
        </w:tc>
        <w:tc>
          <w:tcPr>
            <w:tcW w:w="373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pPr>
              <w:spacing w:line="300" w:lineRule="exact"/>
              <w:jc w:val="left"/>
              <w:rPr>
                <w:rFonts w:ascii="方正书宋_GBK" w:hAnsi="方正书宋_GBK" w:eastAsia="方正书宋_GBK" w:cs="方正书宋_GBK"/>
                <w:b/>
              </w:rPr>
            </w:pPr>
          </w:p>
        </w:tc>
        <w:tc>
          <w:tcPr>
            <w:tcW w:w="140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73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pPr>
              <w:spacing w:line="300" w:lineRule="exact"/>
              <w:jc w:val="left"/>
              <w:rPr>
                <w:rFonts w:ascii="方正书宋_GBK" w:hAnsi="方正书宋_GBK" w:eastAsia="方正书宋_GBK" w:cs="方正书宋_GBK"/>
                <w:b/>
              </w:rPr>
            </w:pPr>
          </w:p>
        </w:tc>
        <w:tc>
          <w:tcPr>
            <w:tcW w:w="1407" w:type="dxa"/>
            <w:vAlign w:val="center"/>
          </w:tcPr>
          <w:p>
            <w:pPr>
              <w:spacing w:line="300" w:lineRule="exact"/>
              <w:jc w:val="left"/>
              <w:rPr>
                <w:rFonts w:ascii="方正书宋_GBK" w:hAnsi="方正书宋_GBK" w:eastAsia="方正书宋_GBK" w:cs="方正书宋_GBK"/>
                <w:b/>
              </w:rPr>
            </w:pPr>
          </w:p>
        </w:tc>
      </w:tr>
    </w:tbl>
    <w:p>
      <w:pPr>
        <w:jc w:val="left"/>
        <w:outlineLvl w:val="1"/>
        <w:rPr>
          <w:rFonts w:ascii="方正仿宋_GBK" w:hAnsi="方正仿宋_GBK" w:eastAsia="方正仿宋_GBK" w:cs="方正仿宋_GBK"/>
          <w:b/>
          <w:sz w:val="28"/>
        </w:rPr>
      </w:pPr>
    </w:p>
    <w:p>
      <w:pPr>
        <w:jc w:val="left"/>
        <w:outlineLvl w:val="1"/>
        <w:rPr>
          <w:rFonts w:ascii="Times New Roman" w:hAnsi="宋体" w:cs="宋体"/>
          <w:b/>
          <w:sz w:val="28"/>
        </w:rPr>
      </w:pPr>
      <w:r>
        <w:rPr>
          <w:rFonts w:hint="eastAsia" w:ascii="方正仿宋_GBK" w:hAnsi="方正仿宋_GBK" w:eastAsia="方正仿宋_GBK" w:cs="方正仿宋_GBK"/>
          <w:b/>
          <w:sz w:val="28"/>
        </w:rPr>
        <w:t>2、2020年土地集约利用评价绩效目标表</w:t>
      </w:r>
      <w:bookmarkStart w:id="4" w:name="_Toc26032"/>
      <w:r>
        <w:rPr>
          <w:rFonts w:hint="eastAsia"/>
        </w:rPr>
        <w:fldChar w:fldCharType="begin"/>
      </w:r>
      <w:r>
        <w:rPr>
          <w:rFonts w:hint="eastAsia" w:ascii="方正仿宋_GBK" w:hAnsi="方正仿宋_GBK" w:eastAsia="方正仿宋_GBK" w:cs="方正仿宋_GBK"/>
          <w:b/>
          <w:sz w:val="28"/>
        </w:rPr>
        <w:instrText xml:space="preserve"> TC 2、2020年土地集约利用评价绩效目标表 \f C \l 1 </w:instrText>
      </w:r>
      <w:r>
        <w:rPr>
          <w:rFonts w:hint="eastAsia" w:ascii="方正仿宋_GBK" w:hAnsi="方正仿宋_GBK" w:eastAsia="方正仿宋_GBK" w:cs="方正仿宋_GBK"/>
          <w:b/>
          <w:sz w:val="28"/>
        </w:rPr>
        <w:fldChar w:fldCharType="end"/>
      </w:r>
      <w:bookmarkEnd w:id="4"/>
    </w:p>
    <w:tbl>
      <w:tblPr>
        <w:tblStyle w:val="8"/>
        <w:tblW w:w="1138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10"/>
        <w:gridCol w:w="1178"/>
        <w:gridCol w:w="592"/>
        <w:gridCol w:w="712"/>
        <w:gridCol w:w="1058"/>
        <w:gridCol w:w="218"/>
        <w:gridCol w:w="2407"/>
        <w:gridCol w:w="126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3676"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20"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438-0501-YXN-GBOV</w:t>
            </w:r>
          </w:p>
        </w:tc>
        <w:tc>
          <w:tcPr>
            <w:tcW w:w="177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5664"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2020年土地集约利用评价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6"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160000.00</w:t>
            </w:r>
          </w:p>
        </w:tc>
        <w:tc>
          <w:tcPr>
            <w:tcW w:w="177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7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160000.00</w:t>
            </w:r>
          </w:p>
        </w:tc>
        <w:tc>
          <w:tcPr>
            <w:tcW w:w="262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26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254"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用于委托业务费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4952"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p>
        </w:tc>
        <w:tc>
          <w:tcPr>
            <w:tcW w:w="1588" w:type="dxa"/>
            <w:gridSpan w:val="2"/>
            <w:vAlign w:val="center"/>
          </w:tcPr>
          <w:p>
            <w:pPr>
              <w:spacing w:line="300" w:lineRule="exact"/>
              <w:jc w:val="center"/>
              <w:rPr>
                <w:rFonts w:ascii="方正书宋_GBK" w:hAnsi="方正书宋_GBK" w:eastAsia="方正书宋_GBK" w:cs="方正书宋_GBK"/>
                <w:b/>
              </w:rPr>
            </w:pP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4952"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254"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1、按照上级文件要求，需要联系做土地集约评价利用3年，为以后做准备</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2、2018年开发区土地集约利用评价为全面评价，为日后的扩区、调区、升级做好准备工作。</w:t>
            </w:r>
          </w:p>
        </w:tc>
      </w:tr>
    </w:tbl>
    <w:p>
      <w:pPr>
        <w:spacing w:line="14" w:lineRule="exact"/>
        <w:ind w:firstLine="422" w:firstLineChars="200"/>
        <w:jc w:val="center"/>
        <w:rPr>
          <w:rFonts w:ascii="Times New Roman" w:hAnsi="宋体" w:cs="宋体"/>
          <w:b/>
        </w:rPr>
      </w:pPr>
    </w:p>
    <w:tbl>
      <w:tblPr>
        <w:tblStyle w:val="8"/>
        <w:tblW w:w="114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743"/>
        <w:gridCol w:w="123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743"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23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评价文件编制</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完成参评文件编制</w:t>
            </w:r>
          </w:p>
        </w:tc>
        <w:tc>
          <w:tcPr>
            <w:tcW w:w="3743"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开发区土地情况统计梳理</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对开发区企业土地利用情况进行梳理</w:t>
            </w:r>
          </w:p>
        </w:tc>
        <w:tc>
          <w:tcPr>
            <w:tcW w:w="3743"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提高开发区土地集约利用率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督促企业集约利用土地，提高开发区土地集约利用情况</w:t>
            </w:r>
          </w:p>
        </w:tc>
        <w:tc>
          <w:tcPr>
            <w:tcW w:w="3743"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5以上为优，3以上为良，2以上为中，1为差</w:t>
            </w:r>
          </w:p>
        </w:tc>
        <w:tc>
          <w:tcPr>
            <w:tcW w:w="123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提高企业土地高效利用</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推动企业建设多层厂房</w:t>
            </w:r>
          </w:p>
        </w:tc>
        <w:tc>
          <w:tcPr>
            <w:tcW w:w="3743"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3个以上为优、2个以上为良、1个以上为中、0个为差</w:t>
            </w:r>
          </w:p>
        </w:tc>
        <w:tc>
          <w:tcPr>
            <w:tcW w:w="123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743"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239"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304" w:bottom="1304" w:left="1304" w:header="851" w:footer="992" w:gutter="0"/>
          <w:cols w:space="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3、办公场所租赁费绩效目标表</w:t>
      </w:r>
      <w:bookmarkStart w:id="5" w:name="_Toc8307"/>
      <w:r>
        <w:rPr>
          <w:rFonts w:hint="eastAsia"/>
        </w:rPr>
        <w:fldChar w:fldCharType="begin"/>
      </w:r>
      <w:r>
        <w:rPr>
          <w:rFonts w:hint="eastAsia" w:ascii="方正仿宋_GBK" w:hAnsi="方正仿宋_GBK" w:eastAsia="方正仿宋_GBK" w:cs="方正仿宋_GBK"/>
          <w:b/>
          <w:sz w:val="28"/>
        </w:rPr>
        <w:instrText xml:space="preserve"> TC 3、办公场所租赁费绩效目标表 \f C \l 1 </w:instrText>
      </w:r>
      <w:r>
        <w:rPr>
          <w:rFonts w:hint="eastAsia" w:ascii="方正仿宋_GBK" w:hAnsi="方正仿宋_GBK" w:eastAsia="方正仿宋_GBK" w:cs="方正仿宋_GBK"/>
          <w:b/>
          <w:sz w:val="28"/>
        </w:rPr>
        <w:fldChar w:fldCharType="end"/>
      </w:r>
      <w:bookmarkEnd w:id="5"/>
    </w:p>
    <w:tbl>
      <w:tblPr>
        <w:tblStyle w:val="8"/>
        <w:tblW w:w="1201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8"/>
        <w:gridCol w:w="1304"/>
        <w:gridCol w:w="1276"/>
        <w:gridCol w:w="1701"/>
        <w:gridCol w:w="1024"/>
        <w:gridCol w:w="157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2"/>
          <w:wAfter w:w="2602" w:type="dxa"/>
          <w:trHeight w:val="397" w:hRule="atLeast"/>
          <w:jc w:val="center"/>
        </w:trPr>
        <w:tc>
          <w:tcPr>
            <w:tcW w:w="7712" w:type="dxa"/>
            <w:gridSpan w:val="6"/>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1701" w:type="dxa"/>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41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438-0501-JXN-A031</w:t>
            </w:r>
          </w:p>
        </w:tc>
        <w:tc>
          <w:tcPr>
            <w:tcW w:w="158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883"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办公场所租赁费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158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0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80000.00</w:t>
            </w:r>
          </w:p>
        </w:tc>
        <w:tc>
          <w:tcPr>
            <w:tcW w:w="4001" w:type="dxa"/>
            <w:gridSpan w:val="3"/>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78"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81" w:type="dxa"/>
            <w:gridSpan w:val="8"/>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租赁费80000元。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9"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p>
        </w:tc>
        <w:tc>
          <w:tcPr>
            <w:tcW w:w="158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vAlign w:val="center"/>
          </w:tcPr>
          <w:p>
            <w:pPr>
              <w:spacing w:line="300" w:lineRule="exact"/>
              <w:jc w:val="center"/>
              <w:rPr>
                <w:rFonts w:ascii="方正书宋_GBK" w:hAnsi="方正书宋_GBK" w:eastAsia="方正书宋_GBK" w:cs="方正书宋_GBK"/>
                <w:b/>
              </w:rPr>
            </w:pPr>
          </w:p>
        </w:tc>
        <w:tc>
          <w:tcPr>
            <w:tcW w:w="5579"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81" w:type="dxa"/>
            <w:gridSpan w:val="8"/>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1、保证开发区人员办公场所</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2、完成上级交办各项任务、更好服务企业</w:t>
            </w:r>
          </w:p>
        </w:tc>
      </w:tr>
    </w:tbl>
    <w:p>
      <w:pPr>
        <w:spacing w:line="14" w:lineRule="exact"/>
        <w:ind w:firstLine="422" w:firstLineChars="200"/>
        <w:jc w:val="center"/>
        <w:rPr>
          <w:rFonts w:ascii="Times New Roman" w:hAnsi="宋体" w:cs="宋体"/>
          <w:b/>
        </w:rPr>
      </w:pPr>
    </w:p>
    <w:tbl>
      <w:tblPr>
        <w:tblStyle w:val="8"/>
        <w:tblW w:w="1201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74"/>
        <w:gridCol w:w="160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7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60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积极申请资金按时拨付</w:t>
            </w:r>
          </w:p>
        </w:tc>
        <w:tc>
          <w:tcPr>
            <w:tcW w:w="397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按照时间节点申请资金及时拨付为优</w:t>
            </w:r>
          </w:p>
          <w:p>
            <w:pPr>
              <w:spacing w:line="300" w:lineRule="exact"/>
              <w:jc w:val="left"/>
              <w:rPr>
                <w:rFonts w:ascii="方正书宋_GBK" w:hAnsi="方正书宋_GBK" w:eastAsia="方正书宋_GBK" w:cs="方正书宋_GBK"/>
                <w:b/>
              </w:rPr>
            </w:pPr>
          </w:p>
        </w:tc>
        <w:tc>
          <w:tcPr>
            <w:tcW w:w="160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为企业更好发展、早日投产达效</w:t>
            </w:r>
          </w:p>
        </w:tc>
        <w:tc>
          <w:tcPr>
            <w:tcW w:w="397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609"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7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p>
            <w:pPr>
              <w:spacing w:line="300" w:lineRule="exact"/>
              <w:jc w:val="left"/>
              <w:rPr>
                <w:rFonts w:ascii="方正书宋_GBK" w:hAnsi="方正书宋_GBK" w:eastAsia="方正书宋_GBK" w:cs="方正书宋_GBK"/>
                <w:b/>
              </w:rPr>
            </w:pPr>
          </w:p>
        </w:tc>
        <w:tc>
          <w:tcPr>
            <w:tcW w:w="1609"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4、编制装备制造产业发展规划绩效目标表</w:t>
      </w:r>
      <w:bookmarkStart w:id="6" w:name="_Toc24708"/>
      <w:r>
        <w:rPr>
          <w:rFonts w:hint="eastAsia"/>
        </w:rPr>
        <w:fldChar w:fldCharType="begin"/>
      </w:r>
      <w:r>
        <w:rPr>
          <w:rFonts w:hint="eastAsia" w:ascii="方正仿宋_GBK" w:hAnsi="方正仿宋_GBK" w:eastAsia="方正仿宋_GBK" w:cs="方正仿宋_GBK"/>
          <w:b/>
          <w:sz w:val="28"/>
        </w:rPr>
        <w:instrText xml:space="preserve"> TC 4、编制装备制造产业发展规划绩效目标表 \f C \l 1 </w:instrText>
      </w:r>
      <w:r>
        <w:rPr>
          <w:rFonts w:hint="eastAsia" w:ascii="方正仿宋_GBK" w:hAnsi="方正仿宋_GBK" w:eastAsia="方正仿宋_GBK" w:cs="方正仿宋_GBK"/>
          <w:b/>
          <w:sz w:val="28"/>
        </w:rPr>
        <w:fldChar w:fldCharType="end"/>
      </w:r>
      <w:bookmarkEnd w:id="6"/>
    </w:p>
    <w:tbl>
      <w:tblPr>
        <w:tblStyle w:val="8"/>
        <w:tblW w:w="1200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365"/>
        <w:gridCol w:w="1223"/>
        <w:gridCol w:w="442"/>
        <w:gridCol w:w="862"/>
        <w:gridCol w:w="653"/>
        <w:gridCol w:w="623"/>
        <w:gridCol w:w="2692"/>
        <w:gridCol w:w="160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96"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775"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438-0501-YXN-0E3E</w:t>
            </w:r>
          </w:p>
        </w:tc>
        <w:tc>
          <w:tcPr>
            <w:tcW w:w="166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34"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编制装备制造产业发展规划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41"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166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15"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331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74"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委托业务费300000元。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2"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572"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74"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1、指导隆尧县装备制造产业集群发展</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2、科学指导隆尧县装备制造产业高质量发展</w:t>
            </w:r>
          </w:p>
        </w:tc>
      </w:tr>
    </w:tbl>
    <w:p>
      <w:pPr>
        <w:spacing w:line="14" w:lineRule="exact"/>
        <w:ind w:firstLine="422" w:firstLineChars="200"/>
        <w:jc w:val="center"/>
        <w:rPr>
          <w:rFonts w:ascii="Times New Roman" w:hAnsi="宋体" w:cs="宋体"/>
          <w:b/>
        </w:rPr>
      </w:pPr>
    </w:p>
    <w:tbl>
      <w:tblPr>
        <w:tblStyle w:val="8"/>
        <w:tblW w:w="1200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95"/>
        <w:gridCol w:w="157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9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7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资料收集</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规划文件编制</w:t>
            </w:r>
          </w:p>
        </w:tc>
        <w:tc>
          <w:tcPr>
            <w:tcW w:w="3995"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规划文件编制</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科学指导我县装备制造产业发展</w:t>
            </w:r>
          </w:p>
        </w:tc>
        <w:tc>
          <w:tcPr>
            <w:tcW w:w="3995"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95"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71"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5、城市基础设施配套费/污水处理厂运营费绩效目标表</w:t>
      </w:r>
      <w:bookmarkStart w:id="7" w:name="_Toc23536"/>
      <w:r>
        <w:rPr>
          <w:rFonts w:hint="eastAsia"/>
        </w:rPr>
        <w:fldChar w:fldCharType="begin"/>
      </w:r>
      <w:r>
        <w:rPr>
          <w:rFonts w:hint="eastAsia" w:ascii="方正仿宋_GBK" w:hAnsi="方正仿宋_GBK" w:eastAsia="方正仿宋_GBK" w:cs="方正仿宋_GBK"/>
          <w:b/>
          <w:sz w:val="28"/>
        </w:rPr>
        <w:instrText xml:space="preserve"> TC 5、城市基础设施配套费/污水处理厂运营费绩效目标表 \f C \l 1 </w:instrText>
      </w:r>
      <w:r>
        <w:rPr>
          <w:rFonts w:hint="eastAsia" w:ascii="方正仿宋_GBK" w:hAnsi="方正仿宋_GBK" w:eastAsia="方正仿宋_GBK" w:cs="方正仿宋_GBK"/>
          <w:b/>
          <w:sz w:val="28"/>
        </w:rPr>
        <w:fldChar w:fldCharType="end"/>
      </w:r>
      <w:bookmarkEnd w:id="7"/>
    </w:p>
    <w:tbl>
      <w:tblPr>
        <w:tblStyle w:val="8"/>
        <w:tblW w:w="120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33"/>
        <w:gridCol w:w="1055"/>
        <w:gridCol w:w="565"/>
        <w:gridCol w:w="739"/>
        <w:gridCol w:w="971"/>
        <w:gridCol w:w="305"/>
        <w:gridCol w:w="2710"/>
        <w:gridCol w:w="159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01"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943"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438-0501-YXN-6VYY</w:t>
            </w:r>
          </w:p>
        </w:tc>
        <w:tc>
          <w:tcPr>
            <w:tcW w:w="162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316"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城市基础设施配套费/污水处理厂运营费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809"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15040000.00</w:t>
            </w:r>
          </w:p>
        </w:tc>
        <w:tc>
          <w:tcPr>
            <w:tcW w:w="162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15040000.00</w:t>
            </w:r>
          </w:p>
        </w:tc>
        <w:tc>
          <w:tcPr>
            <w:tcW w:w="301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91"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79"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用于隆业清污水处理厂运营费用。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77"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577"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79"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1、确保隆尧县隆业清污水处理厂正常运营</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2、确保污水达标排放，完成污染物消减率</w:t>
            </w:r>
          </w:p>
        </w:tc>
      </w:tr>
    </w:tbl>
    <w:p>
      <w:pPr>
        <w:spacing w:line="14" w:lineRule="exact"/>
        <w:ind w:firstLine="422" w:firstLineChars="200"/>
        <w:jc w:val="center"/>
        <w:rPr>
          <w:rFonts w:ascii="Times New Roman" w:hAnsi="宋体" w:cs="宋体"/>
          <w:b/>
        </w:rPr>
      </w:pPr>
    </w:p>
    <w:tbl>
      <w:tblPr>
        <w:tblStyle w:val="8"/>
        <w:tblW w:w="1199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3962"/>
        <w:gridCol w:w="159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396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9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二氧化硫削排放减量</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当年实际二氧化硫排放削减量</w:t>
            </w:r>
          </w:p>
        </w:tc>
        <w:tc>
          <w:tcPr>
            <w:tcW w:w="396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130吨以上为优，100吨以上为良、80吨以上为中、80吨以下为差</w:t>
            </w:r>
          </w:p>
        </w:tc>
        <w:tc>
          <w:tcPr>
            <w:tcW w:w="159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消减二氧化硫130吨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细颗粒物排放削减量</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当年实际细颗粒物排放削减量</w:t>
            </w:r>
          </w:p>
        </w:tc>
        <w:tc>
          <w:tcPr>
            <w:tcW w:w="396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大于等于20%为优、15%-20%为良、10%-15%为中、小于10%为差</w:t>
            </w:r>
          </w:p>
        </w:tc>
        <w:tc>
          <w:tcPr>
            <w:tcW w:w="1598"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可持续影响指标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单位工业产值增加值能耗下降率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单位工业产值增加值能耗的同期下降率</w:t>
            </w:r>
          </w:p>
        </w:tc>
        <w:tc>
          <w:tcPr>
            <w:tcW w:w="396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下降6.21%以上为优、下降5.5%-6.21%为良、下降5%-5.5%以下为中、下降5%以下为差</w:t>
            </w:r>
          </w:p>
        </w:tc>
        <w:tc>
          <w:tcPr>
            <w:tcW w:w="159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下降6.21%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396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98"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6、开发区2020年劳务派遣工作人员工资及社保等相关费用绩效目标表</w:t>
      </w:r>
      <w:bookmarkStart w:id="8" w:name="_Toc20674"/>
      <w:r>
        <w:rPr>
          <w:rFonts w:hint="eastAsia"/>
        </w:rPr>
        <w:fldChar w:fldCharType="begin"/>
      </w:r>
      <w:r>
        <w:rPr>
          <w:rFonts w:hint="eastAsia" w:ascii="方正仿宋_GBK" w:hAnsi="方正仿宋_GBK" w:eastAsia="方正仿宋_GBK" w:cs="方正仿宋_GBK"/>
          <w:b/>
          <w:sz w:val="28"/>
        </w:rPr>
        <w:instrText xml:space="preserve"> TC 6、开发区2020年劳务派遣工作人员工资及社保等相关费用绩效目标表 \f C \l 1 </w:instrText>
      </w:r>
      <w:r>
        <w:rPr>
          <w:rFonts w:hint="eastAsia" w:ascii="方正仿宋_GBK" w:hAnsi="方正仿宋_GBK" w:eastAsia="方正仿宋_GBK" w:cs="方正仿宋_GBK"/>
          <w:b/>
          <w:sz w:val="28"/>
        </w:rPr>
        <w:fldChar w:fldCharType="end"/>
      </w:r>
      <w:bookmarkEnd w:id="8"/>
    </w:p>
    <w:tbl>
      <w:tblPr>
        <w:tblStyle w:val="8"/>
        <w:tblW w:w="1198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12"/>
        <w:gridCol w:w="1176"/>
        <w:gridCol w:w="534"/>
        <w:gridCol w:w="770"/>
        <w:gridCol w:w="550"/>
        <w:gridCol w:w="726"/>
        <w:gridCol w:w="2694"/>
        <w:gridCol w:w="157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69"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22"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438-0501-JXN-UKCC</w:t>
            </w:r>
          </w:p>
        </w:tc>
        <w:tc>
          <w:tcPr>
            <w:tcW w:w="17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315"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开发区2020年劳务派遣工作人员工资及社保等相关费用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8"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466929.00</w:t>
            </w:r>
          </w:p>
        </w:tc>
        <w:tc>
          <w:tcPr>
            <w:tcW w:w="17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2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466929.00</w:t>
            </w:r>
          </w:p>
        </w:tc>
        <w:tc>
          <w:tcPr>
            <w:tcW w:w="342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75"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47"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经县委、县政府批准，我单位委托邢台启禾劳务服务有限公司面向社会公开招聘了13名劳务派遣制工作人员，用于工资及社保等费用。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45"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545"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47"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1、为了更好更快发展</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2、服务企业</w:t>
            </w:r>
          </w:p>
        </w:tc>
      </w:tr>
    </w:tbl>
    <w:p>
      <w:pPr>
        <w:spacing w:line="14" w:lineRule="exact"/>
        <w:ind w:firstLine="422" w:firstLineChars="200"/>
        <w:jc w:val="center"/>
        <w:rPr>
          <w:rFonts w:ascii="Times New Roman" w:hAnsi="宋体" w:cs="宋体"/>
          <w:b/>
        </w:rPr>
      </w:pPr>
    </w:p>
    <w:tbl>
      <w:tblPr>
        <w:tblStyle w:val="8"/>
        <w:tblW w:w="1199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06"/>
        <w:gridCol w:w="1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0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5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企业对提供的政策和服务满意情况</w:t>
            </w:r>
          </w:p>
        </w:tc>
        <w:tc>
          <w:tcPr>
            <w:tcW w:w="400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工资发放率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工资发放情况</w:t>
            </w:r>
          </w:p>
        </w:tc>
        <w:tc>
          <w:tcPr>
            <w:tcW w:w="400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企业对提供的政策和服务满意情况</w:t>
            </w:r>
          </w:p>
        </w:tc>
        <w:tc>
          <w:tcPr>
            <w:tcW w:w="400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0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52"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7、开发区环保经费绩效目标表</w:t>
      </w:r>
      <w:bookmarkStart w:id="9" w:name="_Toc12089"/>
      <w:r>
        <w:rPr>
          <w:rFonts w:hint="eastAsia"/>
        </w:rPr>
        <w:fldChar w:fldCharType="begin"/>
      </w:r>
      <w:r>
        <w:rPr>
          <w:rFonts w:hint="eastAsia" w:ascii="方正仿宋_GBK" w:hAnsi="方正仿宋_GBK" w:eastAsia="方正仿宋_GBK" w:cs="方正仿宋_GBK"/>
          <w:b/>
          <w:sz w:val="28"/>
        </w:rPr>
        <w:instrText xml:space="preserve"> TC 7、开发区环保经费绩效目标表 \f C \l 1 </w:instrText>
      </w:r>
      <w:r>
        <w:rPr>
          <w:rFonts w:hint="eastAsia" w:ascii="方正仿宋_GBK" w:hAnsi="方正仿宋_GBK" w:eastAsia="方正仿宋_GBK" w:cs="方正仿宋_GBK"/>
          <w:b/>
          <w:sz w:val="28"/>
        </w:rPr>
        <w:fldChar w:fldCharType="end"/>
      </w:r>
      <w:bookmarkEnd w:id="9"/>
    </w:p>
    <w:tbl>
      <w:tblPr>
        <w:tblStyle w:val="8"/>
        <w:tblW w:w="1203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14"/>
        <w:gridCol w:w="1374"/>
        <w:gridCol w:w="276"/>
        <w:gridCol w:w="1028"/>
        <w:gridCol w:w="292"/>
        <w:gridCol w:w="984"/>
        <w:gridCol w:w="2766"/>
        <w:gridCol w:w="15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23"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24"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438-0501-YXN-8O0K</w:t>
            </w:r>
          </w:p>
        </w:tc>
        <w:tc>
          <w:tcPr>
            <w:tcW w:w="165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27"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开发区环保经费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9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165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32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w:t>
            </w:r>
          </w:p>
        </w:tc>
        <w:tc>
          <w:tcPr>
            <w:tcW w:w="375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901"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为深化生态环境保护管理体制改革，加强基层环保力量，提升乡（镇）生态环境监管能力，统筹推进城乡生态环境保护工作协调发展，根据《中共河北省委办公厅、河北省人民政府办公厅关于加强全省乡（镇、街道）环保机构和队伍建设的通知》（冀办字〔2018〕37号）和《中共邢台市委办公室、邢台市人民政府办公室印发〈关于加强全市乡（镇、街道）环保机构和队伍建设的意见〉的通知》（邢办字〔2018〕31号）精神，河北隆尧经济开发区、东方食品城项目建设服务中心参照本《意见》精神，明确生态环境保护工作的机构，配备满足工作需要的人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99"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pPr>
              <w:spacing w:line="300" w:lineRule="exact"/>
              <w:jc w:val="center"/>
              <w:rPr>
                <w:rFonts w:ascii="方正书宋_GBK" w:hAnsi="方正书宋_GBK" w:eastAsia="方正书宋_GBK" w:cs="方正书宋_GBK"/>
                <w:b/>
              </w:rPr>
            </w:pPr>
          </w:p>
        </w:tc>
        <w:tc>
          <w:tcPr>
            <w:tcW w:w="5599"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01"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1、为深化环境环保管理体制改革，加强基层环保力量，提升生态环境监管能力。</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2、统筹推进城乡生态环境保护工作协调发展</w:t>
            </w:r>
          </w:p>
        </w:tc>
      </w:tr>
    </w:tbl>
    <w:p>
      <w:pPr>
        <w:spacing w:line="14" w:lineRule="exact"/>
        <w:ind w:firstLine="422" w:firstLineChars="200"/>
        <w:jc w:val="center"/>
        <w:rPr>
          <w:rFonts w:ascii="Times New Roman" w:hAnsi="宋体" w:cs="宋体"/>
          <w:b/>
        </w:rPr>
      </w:pPr>
    </w:p>
    <w:tbl>
      <w:tblPr>
        <w:tblStyle w:val="8"/>
        <w:tblW w:w="1202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20"/>
        <w:gridCol w:w="156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20"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6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排查园区及企业数量</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排查园区及企业环保安全次数</w:t>
            </w:r>
          </w:p>
        </w:tc>
        <w:tc>
          <w:tcPr>
            <w:tcW w:w="40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每月排查企业安全生产、环保设备25次为优、20次为良、15次为中、15次以下为差</w:t>
            </w:r>
          </w:p>
        </w:tc>
        <w:tc>
          <w:tcPr>
            <w:tcW w:w="1566"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调查中满意和较满意的群众人数</w:t>
            </w:r>
          </w:p>
        </w:tc>
        <w:tc>
          <w:tcPr>
            <w:tcW w:w="40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66"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66"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8、开发区人事薪酬2019年绩效绩效目标表</w:t>
      </w:r>
      <w:bookmarkStart w:id="10" w:name="_Toc18050"/>
      <w:r>
        <w:rPr>
          <w:rFonts w:hint="eastAsia"/>
        </w:rPr>
        <w:fldChar w:fldCharType="begin"/>
      </w:r>
      <w:r>
        <w:rPr>
          <w:rFonts w:hint="eastAsia" w:ascii="方正仿宋_GBK" w:hAnsi="方正仿宋_GBK" w:eastAsia="方正仿宋_GBK" w:cs="方正仿宋_GBK"/>
          <w:b/>
          <w:sz w:val="28"/>
        </w:rPr>
        <w:instrText xml:space="preserve"> TC 8、开发区人事薪酬2019年绩效绩效目标表 \f C \l 1 </w:instrText>
      </w:r>
      <w:r>
        <w:rPr>
          <w:rFonts w:hint="eastAsia" w:ascii="方正仿宋_GBK" w:hAnsi="方正仿宋_GBK" w:eastAsia="方正仿宋_GBK" w:cs="方正仿宋_GBK"/>
          <w:b/>
          <w:sz w:val="28"/>
        </w:rPr>
        <w:fldChar w:fldCharType="end"/>
      </w:r>
      <w:bookmarkEnd w:id="10"/>
    </w:p>
    <w:tbl>
      <w:tblPr>
        <w:tblStyle w:val="8"/>
        <w:tblW w:w="1194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27"/>
        <w:gridCol w:w="1361"/>
        <w:gridCol w:w="229"/>
        <w:gridCol w:w="1075"/>
        <w:gridCol w:w="455"/>
        <w:gridCol w:w="821"/>
        <w:gridCol w:w="2689"/>
        <w:gridCol w:w="15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229"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37"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438-0501-JXN-5Q6U</w:t>
            </w:r>
          </w:p>
        </w:tc>
        <w:tc>
          <w:tcPr>
            <w:tcW w:w="159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580"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开发区人事薪酬2019年绩效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503"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159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3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35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40"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07"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2019年绩效工资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05"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p>
        </w:tc>
        <w:tc>
          <w:tcPr>
            <w:tcW w:w="1588" w:type="dxa"/>
            <w:gridSpan w:val="2"/>
            <w:vAlign w:val="center"/>
          </w:tcPr>
          <w:p>
            <w:pPr>
              <w:spacing w:line="300" w:lineRule="exact"/>
              <w:jc w:val="center"/>
              <w:rPr>
                <w:rFonts w:ascii="方正书宋_GBK" w:hAnsi="方正书宋_GBK" w:eastAsia="方正书宋_GBK" w:cs="方正书宋_GBK"/>
                <w:b/>
              </w:rPr>
            </w:pPr>
          </w:p>
        </w:tc>
        <w:tc>
          <w:tcPr>
            <w:tcW w:w="1304" w:type="dxa"/>
            <w:gridSpan w:val="2"/>
            <w:vAlign w:val="center"/>
          </w:tcPr>
          <w:p>
            <w:pPr>
              <w:spacing w:line="300" w:lineRule="exact"/>
              <w:jc w:val="center"/>
              <w:rPr>
                <w:rFonts w:ascii="方正书宋_GBK" w:hAnsi="方正书宋_GBK" w:eastAsia="方正书宋_GBK" w:cs="方正书宋_GBK"/>
                <w:b/>
              </w:rPr>
            </w:pPr>
          </w:p>
        </w:tc>
        <w:tc>
          <w:tcPr>
            <w:tcW w:w="5505"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07"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1、完成上级交办任务和各项指标</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2、完成上级考核任务</w:t>
            </w:r>
          </w:p>
        </w:tc>
      </w:tr>
    </w:tbl>
    <w:p>
      <w:pPr>
        <w:spacing w:line="14" w:lineRule="exact"/>
        <w:ind w:firstLine="422" w:firstLineChars="200"/>
        <w:jc w:val="center"/>
        <w:rPr>
          <w:rFonts w:ascii="Times New Roman" w:hAnsi="宋体" w:cs="宋体"/>
          <w:b/>
        </w:rPr>
      </w:pPr>
    </w:p>
    <w:tbl>
      <w:tblPr>
        <w:tblStyle w:val="8"/>
        <w:tblW w:w="1195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18"/>
        <w:gridCol w:w="15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1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03"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对政策及服务企业满意情况</w:t>
            </w:r>
          </w:p>
        </w:tc>
        <w:tc>
          <w:tcPr>
            <w:tcW w:w="401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服务企业满意率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排查入驻企业对开发区人员政策和服务满意率</w:t>
            </w:r>
          </w:p>
        </w:tc>
        <w:tc>
          <w:tcPr>
            <w:tcW w:w="401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排查企业满意度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排查入驻企业对开发区人员政策和服务满意度</w:t>
            </w:r>
          </w:p>
        </w:tc>
        <w:tc>
          <w:tcPr>
            <w:tcW w:w="401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1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03"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9、开发区人事薪酬2020年岗位工资绩效目标表</w:t>
      </w:r>
      <w:bookmarkStart w:id="11" w:name="_Toc27726"/>
      <w:r>
        <w:rPr>
          <w:rFonts w:hint="eastAsia"/>
        </w:rPr>
        <w:fldChar w:fldCharType="begin"/>
      </w:r>
      <w:r>
        <w:rPr>
          <w:rFonts w:hint="eastAsia" w:ascii="方正仿宋_GBK" w:hAnsi="方正仿宋_GBK" w:eastAsia="方正仿宋_GBK" w:cs="方正仿宋_GBK"/>
          <w:b/>
          <w:sz w:val="28"/>
        </w:rPr>
        <w:instrText xml:space="preserve"> TC 9、开发区人事薪酬2020年岗位工资绩效目标表 \f C \l 1 </w:instrText>
      </w:r>
      <w:r>
        <w:rPr>
          <w:rFonts w:hint="eastAsia" w:ascii="方正仿宋_GBK" w:hAnsi="方正仿宋_GBK" w:eastAsia="方正仿宋_GBK" w:cs="方正仿宋_GBK"/>
          <w:b/>
          <w:sz w:val="28"/>
        </w:rPr>
        <w:fldChar w:fldCharType="end"/>
      </w:r>
      <w:bookmarkEnd w:id="11"/>
    </w:p>
    <w:tbl>
      <w:tblPr>
        <w:tblStyle w:val="8"/>
        <w:tblW w:w="1202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91"/>
        <w:gridCol w:w="1397"/>
        <w:gridCol w:w="268"/>
        <w:gridCol w:w="1036"/>
        <w:gridCol w:w="464"/>
        <w:gridCol w:w="812"/>
        <w:gridCol w:w="2773"/>
        <w:gridCol w:w="15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08"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01"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438-0501-JXN-FQBC</w:t>
            </w:r>
          </w:p>
        </w:tc>
        <w:tc>
          <w:tcPr>
            <w:tcW w:w="166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20"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开发区人事薪酬2020年岗位工资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67"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166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50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151000.00</w:t>
            </w:r>
          </w:p>
        </w:tc>
        <w:tc>
          <w:tcPr>
            <w:tcW w:w="358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35"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886"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2020年岗位工资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584"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p>
        </w:tc>
        <w:tc>
          <w:tcPr>
            <w:tcW w:w="5584"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886"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1、更高效的完成上级交办的任务</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2、更快更好服务企业</w:t>
            </w:r>
          </w:p>
        </w:tc>
      </w:tr>
    </w:tbl>
    <w:p>
      <w:pPr>
        <w:spacing w:line="14" w:lineRule="exact"/>
        <w:ind w:firstLine="422" w:firstLineChars="200"/>
        <w:jc w:val="center"/>
        <w:rPr>
          <w:rFonts w:ascii="Times New Roman" w:hAnsi="宋体" w:cs="宋体"/>
          <w:b/>
        </w:rPr>
      </w:pPr>
    </w:p>
    <w:tbl>
      <w:tblPr>
        <w:tblStyle w:val="8"/>
        <w:tblW w:w="1203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059"/>
        <w:gridCol w:w="154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5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4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对企业提供的政策和服务满意情况</w:t>
            </w:r>
          </w:p>
        </w:tc>
        <w:tc>
          <w:tcPr>
            <w:tcW w:w="405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企业满意率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调查服务企业满意和较满意情况</w:t>
            </w:r>
          </w:p>
        </w:tc>
        <w:tc>
          <w:tcPr>
            <w:tcW w:w="405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5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4"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10、土地出让金/开发区城乡环卫一体化绩效目标表</w:t>
      </w:r>
      <w:bookmarkStart w:id="12" w:name="_Toc27872"/>
      <w:r>
        <w:rPr>
          <w:rFonts w:hint="eastAsia"/>
        </w:rPr>
        <w:fldChar w:fldCharType="begin"/>
      </w:r>
      <w:r>
        <w:rPr>
          <w:rFonts w:hint="eastAsia" w:ascii="方正仿宋_GBK" w:hAnsi="方正仿宋_GBK" w:eastAsia="方正仿宋_GBK" w:cs="方正仿宋_GBK"/>
          <w:b/>
          <w:sz w:val="28"/>
        </w:rPr>
        <w:instrText xml:space="preserve"> TC 10、土地出让金/开发区城乡环卫一体化绩效目标表 \f C \l 1 </w:instrText>
      </w:r>
      <w:r>
        <w:rPr>
          <w:rFonts w:hint="eastAsia" w:ascii="方正仿宋_GBK" w:hAnsi="方正仿宋_GBK" w:eastAsia="方正仿宋_GBK" w:cs="方正仿宋_GBK"/>
          <w:b/>
          <w:sz w:val="28"/>
        </w:rPr>
        <w:fldChar w:fldCharType="end"/>
      </w:r>
      <w:bookmarkEnd w:id="12"/>
    </w:p>
    <w:tbl>
      <w:tblPr>
        <w:tblStyle w:val="8"/>
        <w:tblW w:w="120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486"/>
        <w:gridCol w:w="1815"/>
        <w:gridCol w:w="1155"/>
        <w:gridCol w:w="555"/>
        <w:gridCol w:w="433"/>
        <w:gridCol w:w="2792"/>
        <w:gridCol w:w="155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46"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62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438-0501-JXN-4MIG</w:t>
            </w:r>
          </w:p>
        </w:tc>
        <w:tc>
          <w:tcPr>
            <w:tcW w:w="181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89"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土地出让金/开发区城乡环卫一体化</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48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493000.00</w:t>
            </w:r>
          </w:p>
        </w:tc>
        <w:tc>
          <w:tcPr>
            <w:tcW w:w="181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493000.00</w:t>
            </w:r>
          </w:p>
        </w:tc>
        <w:tc>
          <w:tcPr>
            <w:tcW w:w="322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924" w:type="dxa"/>
            <w:gridSpan w:val="8"/>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承接原由城管局基础设施环境卫生的社会管理职能，负责开发区范围内环境卫生的维护。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62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81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15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334"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62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81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15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334"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24" w:type="dxa"/>
            <w:gridSpan w:val="8"/>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1、基础设施环境卫生的社会管理职能，负责开发区范围内环境卫生的维护</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2、负责开发区内企业生活垃圾收集处理</w:t>
            </w:r>
          </w:p>
        </w:tc>
      </w:tr>
    </w:tbl>
    <w:p>
      <w:pPr>
        <w:spacing w:line="14" w:lineRule="exact"/>
        <w:ind w:firstLine="422" w:firstLineChars="200"/>
        <w:jc w:val="center"/>
        <w:rPr>
          <w:rFonts w:ascii="Times New Roman" w:hAnsi="宋体" w:cs="宋体"/>
          <w:b/>
        </w:rPr>
      </w:pPr>
    </w:p>
    <w:tbl>
      <w:tblPr>
        <w:tblStyle w:val="8"/>
        <w:tblW w:w="120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999"/>
        <w:gridCol w:w="2169"/>
        <w:gridCol w:w="4071"/>
        <w:gridCol w:w="15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99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169"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071"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27"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保持路面干净整治</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开发区路面正常通行</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生活垃圾收集处理</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保证企业生活垃圾收集处理</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保持开发区良好的生态环境</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保证干净整洁、生态环境良好</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保证企业的正常发展运行</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生活垃圾及时收集处理、保证企业正常发展运行</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99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w:t>
            </w:r>
          </w:p>
        </w:tc>
        <w:tc>
          <w:tcPr>
            <w:tcW w:w="2169"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开发区路面湿扫，保证干净不扬尘</w:t>
            </w:r>
          </w:p>
        </w:tc>
        <w:tc>
          <w:tcPr>
            <w:tcW w:w="4071"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27"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11、土地出让金/隆尧县开拓建设开发有限公司注资绩效目标表</w:t>
      </w:r>
      <w:bookmarkStart w:id="13" w:name="_Toc13942"/>
      <w:r>
        <w:rPr>
          <w:rFonts w:hint="eastAsia"/>
        </w:rPr>
        <w:fldChar w:fldCharType="begin"/>
      </w:r>
      <w:r>
        <w:rPr>
          <w:rFonts w:hint="eastAsia" w:ascii="方正仿宋_GBK" w:hAnsi="方正仿宋_GBK" w:eastAsia="方正仿宋_GBK" w:cs="方正仿宋_GBK"/>
          <w:b/>
          <w:sz w:val="28"/>
        </w:rPr>
        <w:instrText xml:space="preserve"> TC 11、土地出让金/隆尧县开拓建设开发有限公司注资绩效目标表 \f C \l 1 </w:instrText>
      </w:r>
      <w:r>
        <w:rPr>
          <w:rFonts w:hint="eastAsia" w:ascii="方正仿宋_GBK" w:hAnsi="方正仿宋_GBK" w:eastAsia="方正仿宋_GBK" w:cs="方正仿宋_GBK"/>
          <w:b/>
          <w:sz w:val="28"/>
        </w:rPr>
        <w:fldChar w:fldCharType="end"/>
      </w:r>
      <w:bookmarkEnd w:id="13"/>
    </w:p>
    <w:tbl>
      <w:tblPr>
        <w:tblStyle w:val="8"/>
        <w:tblW w:w="1208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540"/>
        <w:gridCol w:w="1048"/>
        <w:gridCol w:w="692"/>
        <w:gridCol w:w="612"/>
        <w:gridCol w:w="1036"/>
        <w:gridCol w:w="240"/>
        <w:gridCol w:w="2822"/>
        <w:gridCol w:w="155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75"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950"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438-0501-YXN-55NG</w:t>
            </w:r>
          </w:p>
        </w:tc>
        <w:tc>
          <w:tcPr>
            <w:tcW w:w="174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63"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土地出让金/隆尧县开拓建设开发有限公司注资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816"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20000000.00</w:t>
            </w:r>
          </w:p>
        </w:tc>
        <w:tc>
          <w:tcPr>
            <w:tcW w:w="174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648"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20000000.00</w:t>
            </w:r>
          </w:p>
        </w:tc>
        <w:tc>
          <w:tcPr>
            <w:tcW w:w="3062"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953"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根据县政府与北京太极谷国际科技有限公司签署的优洁卫士清洗消毒液项目合作协议，作为该项目前期使用资金。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651"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651"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53"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1、为该项目提供前期手续、为企业提供更好服务</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2、该项目能够尽快生产达效</w:t>
            </w:r>
          </w:p>
        </w:tc>
      </w:tr>
    </w:tbl>
    <w:p>
      <w:pPr>
        <w:spacing w:line="14" w:lineRule="exact"/>
        <w:ind w:firstLine="422" w:firstLineChars="200"/>
        <w:jc w:val="center"/>
        <w:rPr>
          <w:rFonts w:ascii="Times New Roman" w:hAnsi="宋体" w:cs="宋体"/>
          <w:b/>
        </w:rPr>
      </w:pPr>
    </w:p>
    <w:tbl>
      <w:tblPr>
        <w:tblStyle w:val="8"/>
        <w:tblW w:w="1210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120"/>
        <w:gridCol w:w="154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120"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45"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实际拨付资金占全部拨付资金百分比</w:t>
            </w:r>
          </w:p>
        </w:tc>
        <w:tc>
          <w:tcPr>
            <w:tcW w:w="41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按时间节点积极申请资金及时拨付资金为优</w:t>
            </w:r>
          </w:p>
        </w:tc>
        <w:tc>
          <w:tcPr>
            <w:tcW w:w="1545"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收益满意率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受益企业满意百分比</w:t>
            </w:r>
          </w:p>
        </w:tc>
        <w:tc>
          <w:tcPr>
            <w:tcW w:w="41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5"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12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45"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12、土地出让金/排水管道抽水清淤工程绩效目标表</w:t>
      </w:r>
      <w:bookmarkStart w:id="14" w:name="_Toc21568"/>
      <w:r>
        <w:rPr>
          <w:rFonts w:hint="eastAsia"/>
        </w:rPr>
        <w:fldChar w:fldCharType="begin"/>
      </w:r>
      <w:r>
        <w:rPr>
          <w:rFonts w:hint="eastAsia" w:ascii="方正仿宋_GBK" w:hAnsi="方正仿宋_GBK" w:eastAsia="方正仿宋_GBK" w:cs="方正仿宋_GBK"/>
          <w:b/>
          <w:sz w:val="28"/>
        </w:rPr>
        <w:instrText xml:space="preserve"> TC 12、土地出让金/排水管道抽水清淤工程绩效目标表 \f C \l 1 </w:instrText>
      </w:r>
      <w:r>
        <w:rPr>
          <w:rFonts w:hint="eastAsia" w:ascii="方正仿宋_GBK" w:hAnsi="方正仿宋_GBK" w:eastAsia="方正仿宋_GBK" w:cs="方正仿宋_GBK"/>
          <w:b/>
          <w:sz w:val="28"/>
        </w:rPr>
        <w:fldChar w:fldCharType="end"/>
      </w:r>
      <w:bookmarkEnd w:id="14"/>
    </w:p>
    <w:tbl>
      <w:tblPr>
        <w:tblStyle w:val="8"/>
        <w:tblW w:w="121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55"/>
        <w:gridCol w:w="933"/>
        <w:gridCol w:w="717"/>
        <w:gridCol w:w="587"/>
        <w:gridCol w:w="1036"/>
        <w:gridCol w:w="240"/>
        <w:gridCol w:w="2832"/>
        <w:gridCol w:w="156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395"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3065"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438-0501-YXN-658L</w:t>
            </w:r>
          </w:p>
        </w:tc>
        <w:tc>
          <w:tcPr>
            <w:tcW w:w="165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58"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土地出让金/排水管道抽水清淤工程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931"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165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623"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200000.00</w:t>
            </w:r>
          </w:p>
        </w:tc>
        <w:tc>
          <w:tcPr>
            <w:tcW w:w="3072"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6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0973"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工程款200000元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671"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pPr>
              <w:spacing w:line="300" w:lineRule="exact"/>
              <w:jc w:val="center"/>
              <w:rPr>
                <w:rFonts w:ascii="方正书宋_GBK" w:hAnsi="方正书宋_GBK" w:eastAsia="方正书宋_GBK" w:cs="方正书宋_GBK"/>
                <w:b/>
              </w:rPr>
            </w:pPr>
          </w:p>
        </w:tc>
        <w:tc>
          <w:tcPr>
            <w:tcW w:w="5671"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0973"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1、加强基础设施服务能力</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加强开发区道路排水、排位的效率、防止开发区内涝的发生，加强基础设施服务能力</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2、改善开发区人居环境和投资环境，提升隆尧县整体形象推进隆尧县城镇化建设步伐。</w:t>
            </w:r>
          </w:p>
        </w:tc>
      </w:tr>
    </w:tbl>
    <w:p>
      <w:pPr>
        <w:spacing w:line="14" w:lineRule="exact"/>
        <w:ind w:firstLine="422" w:firstLineChars="200"/>
        <w:jc w:val="center"/>
        <w:rPr>
          <w:rFonts w:ascii="Times New Roman" w:hAnsi="宋体" w:cs="宋体"/>
          <w:b/>
        </w:rPr>
      </w:pPr>
    </w:p>
    <w:tbl>
      <w:tblPr>
        <w:tblStyle w:val="8"/>
        <w:tblW w:w="1213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166"/>
        <w:gridCol w:w="153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16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3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费用资金是否按照时间申请并拨付</w:t>
            </w:r>
          </w:p>
        </w:tc>
        <w:tc>
          <w:tcPr>
            <w:tcW w:w="416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在规定时间内完成资金申请并积极拨付为优</w:t>
            </w:r>
          </w:p>
        </w:tc>
        <w:tc>
          <w:tcPr>
            <w:tcW w:w="153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完工率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是否在协议规定期限内保证质量完成工期</w:t>
            </w:r>
          </w:p>
        </w:tc>
        <w:tc>
          <w:tcPr>
            <w:tcW w:w="416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在协议时间内完成工期且保证质量为优</w:t>
            </w:r>
          </w:p>
        </w:tc>
        <w:tc>
          <w:tcPr>
            <w:tcW w:w="153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16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≥9090以上为优，80以上为良、70以上为中、70以上为差</w:t>
            </w:r>
          </w:p>
          <w:p>
            <w:pPr>
              <w:spacing w:line="300" w:lineRule="exact"/>
              <w:jc w:val="left"/>
              <w:rPr>
                <w:rFonts w:ascii="方正书宋_GBK" w:hAnsi="方正书宋_GBK" w:eastAsia="方正书宋_GBK" w:cs="方正书宋_GBK"/>
                <w:b/>
              </w:rPr>
            </w:pPr>
          </w:p>
        </w:tc>
        <w:tc>
          <w:tcPr>
            <w:tcW w:w="1532"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13、土地出让金/滏阳街雨水管道铺设工程绩效目标表</w:t>
      </w:r>
      <w:bookmarkStart w:id="15" w:name="_Toc13808"/>
      <w:r>
        <w:rPr>
          <w:rFonts w:hint="eastAsia"/>
        </w:rPr>
        <w:fldChar w:fldCharType="begin"/>
      </w:r>
      <w:r>
        <w:rPr>
          <w:rFonts w:hint="eastAsia" w:ascii="方正仿宋_GBK" w:hAnsi="方正仿宋_GBK" w:eastAsia="方正仿宋_GBK" w:cs="方正仿宋_GBK"/>
          <w:b/>
          <w:sz w:val="28"/>
        </w:rPr>
        <w:instrText xml:space="preserve"> TC 13、土地出让金/滏阳街雨水管道铺设工程绩效目标表 \f C \l 1 </w:instrText>
      </w:r>
      <w:r>
        <w:rPr>
          <w:rFonts w:hint="eastAsia" w:ascii="方正仿宋_GBK" w:hAnsi="方正仿宋_GBK" w:eastAsia="方正仿宋_GBK" w:cs="方正仿宋_GBK"/>
          <w:b/>
          <w:sz w:val="28"/>
        </w:rPr>
        <w:fldChar w:fldCharType="end"/>
      </w:r>
      <w:bookmarkEnd w:id="15"/>
    </w:p>
    <w:tbl>
      <w:tblPr>
        <w:tblStyle w:val="8"/>
        <w:tblW w:w="1221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09"/>
        <w:gridCol w:w="1179"/>
        <w:gridCol w:w="636"/>
        <w:gridCol w:w="668"/>
        <w:gridCol w:w="1036"/>
        <w:gridCol w:w="240"/>
        <w:gridCol w:w="2946"/>
        <w:gridCol w:w="155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504"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19"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438-0501-YXN-V8VR</w:t>
            </w:r>
          </w:p>
        </w:tc>
        <w:tc>
          <w:tcPr>
            <w:tcW w:w="181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448"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土地出让金/滏阳街雨水管道铺设工程</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685"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181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04"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300000.00</w:t>
            </w:r>
          </w:p>
        </w:tc>
        <w:tc>
          <w:tcPr>
            <w:tcW w:w="3186"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558"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1082"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工程款300000元。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780"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1304" w:type="dxa"/>
            <w:gridSpan w:val="2"/>
            <w:vAlign w:val="center"/>
          </w:tcPr>
          <w:p>
            <w:pPr>
              <w:spacing w:line="300" w:lineRule="exact"/>
              <w:jc w:val="center"/>
              <w:rPr>
                <w:rFonts w:ascii="方正书宋_GBK" w:hAnsi="方正书宋_GBK" w:eastAsia="方正书宋_GBK" w:cs="方正书宋_GBK"/>
                <w:b/>
              </w:rPr>
            </w:pPr>
          </w:p>
        </w:tc>
        <w:tc>
          <w:tcPr>
            <w:tcW w:w="5780"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082"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1、提升全县形象，继而推进开发区经济繁荣。</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2、改善开发区的投资环境、增强经济快速发展的目标</w:t>
            </w:r>
          </w:p>
        </w:tc>
      </w:tr>
    </w:tbl>
    <w:p>
      <w:pPr>
        <w:spacing w:line="14" w:lineRule="exact"/>
        <w:ind w:firstLine="422" w:firstLineChars="200"/>
        <w:jc w:val="center"/>
        <w:rPr>
          <w:rFonts w:ascii="Times New Roman" w:hAnsi="宋体" w:cs="宋体"/>
          <w:b/>
        </w:rPr>
      </w:pPr>
    </w:p>
    <w:tbl>
      <w:tblPr>
        <w:tblStyle w:val="8"/>
        <w:tblW w:w="1228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270"/>
        <w:gridCol w:w="15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270"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资金拨付率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按照时间节点积极申请资金及时拨付资金</w:t>
            </w:r>
          </w:p>
        </w:tc>
        <w:tc>
          <w:tcPr>
            <w:tcW w:w="427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在规定时间内积极申请资金及时拨付资金为优</w:t>
            </w:r>
          </w:p>
        </w:tc>
        <w:tc>
          <w:tcPr>
            <w:tcW w:w="1576"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完工率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工程是否按照协议工期内保证质量按时完工</w:t>
            </w:r>
          </w:p>
        </w:tc>
        <w:tc>
          <w:tcPr>
            <w:tcW w:w="427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在协议工期按时完成并保证质量为优</w:t>
            </w:r>
          </w:p>
        </w:tc>
        <w:tc>
          <w:tcPr>
            <w:tcW w:w="1576"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270"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≥9090以上为优、80以上为良、70以上为中、60以下为差</w:t>
            </w:r>
          </w:p>
        </w:tc>
        <w:tc>
          <w:tcPr>
            <w:tcW w:w="1576"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14、污水处理厂监测设备运维、维修费绩效目标表</w:t>
      </w:r>
      <w:bookmarkStart w:id="16" w:name="_Toc8100"/>
      <w:r>
        <w:rPr>
          <w:rFonts w:hint="eastAsia"/>
        </w:rPr>
        <w:fldChar w:fldCharType="begin"/>
      </w:r>
      <w:r>
        <w:rPr>
          <w:rFonts w:hint="eastAsia" w:ascii="方正仿宋_GBK" w:hAnsi="方正仿宋_GBK" w:eastAsia="方正仿宋_GBK" w:cs="方正仿宋_GBK"/>
          <w:b/>
          <w:sz w:val="28"/>
        </w:rPr>
        <w:instrText xml:space="preserve"> TC 14、污水处理厂监测设备运维、维修费绩效目标表 \f C \l 1 </w:instrText>
      </w:r>
      <w:r>
        <w:rPr>
          <w:rFonts w:hint="eastAsia" w:ascii="方正仿宋_GBK" w:hAnsi="方正仿宋_GBK" w:eastAsia="方正仿宋_GBK" w:cs="方正仿宋_GBK"/>
          <w:b/>
          <w:sz w:val="28"/>
        </w:rPr>
        <w:fldChar w:fldCharType="end"/>
      </w:r>
      <w:bookmarkEnd w:id="16"/>
    </w:p>
    <w:tbl>
      <w:tblPr>
        <w:tblStyle w:val="8"/>
        <w:tblW w:w="1236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634"/>
        <w:gridCol w:w="954"/>
        <w:gridCol w:w="951"/>
        <w:gridCol w:w="353"/>
        <w:gridCol w:w="1276"/>
        <w:gridCol w:w="741"/>
        <w:gridCol w:w="2310"/>
        <w:gridCol w:w="160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8"/>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654" w:type="dxa"/>
            <w:gridSpan w:val="3"/>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3044"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438-0501-YXN-VAXX</w:t>
            </w:r>
          </w:p>
        </w:tc>
        <w:tc>
          <w:tcPr>
            <w:tcW w:w="190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283"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污水处理厂监测设备运维、维修费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91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500000.00</w:t>
            </w:r>
          </w:p>
        </w:tc>
        <w:tc>
          <w:tcPr>
            <w:tcW w:w="190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2370"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500000.00</w:t>
            </w:r>
          </w:p>
        </w:tc>
        <w:tc>
          <w:tcPr>
            <w:tcW w:w="2310"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3"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1232"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委托业务费和维修费用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930"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25.00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50.00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75.00</w:t>
            </w:r>
          </w:p>
        </w:tc>
        <w:tc>
          <w:tcPr>
            <w:tcW w:w="5930"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232"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1、按时完成三方在线检测数据</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2、确保隆业清污水处理厂在线检测数据与环保部门对接，实现信息共享。</w:t>
            </w:r>
          </w:p>
        </w:tc>
      </w:tr>
    </w:tbl>
    <w:p>
      <w:pPr>
        <w:spacing w:line="14" w:lineRule="exact"/>
        <w:ind w:firstLine="422" w:firstLineChars="200"/>
        <w:jc w:val="center"/>
        <w:rPr>
          <w:rFonts w:ascii="Times New Roman" w:hAnsi="宋体" w:cs="宋体"/>
          <w:b/>
        </w:rPr>
      </w:pPr>
    </w:p>
    <w:tbl>
      <w:tblPr>
        <w:tblStyle w:val="8"/>
        <w:tblW w:w="1235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338"/>
        <w:gridCol w:w="158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338"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58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工程里完成率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实际完成工程里占计划完成工程</w:t>
            </w:r>
          </w:p>
        </w:tc>
        <w:tc>
          <w:tcPr>
            <w:tcW w:w="433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工程验收合格率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通过验收的工程里占建设、改造工程验收</w:t>
            </w:r>
          </w:p>
        </w:tc>
        <w:tc>
          <w:tcPr>
            <w:tcW w:w="433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社会效益指标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设计功能实现率</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建筑工程达到设计结构标准功能</w:t>
            </w:r>
          </w:p>
        </w:tc>
        <w:tc>
          <w:tcPr>
            <w:tcW w:w="433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338"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584"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p>
      <w:pPr>
        <w:spacing w:line="300" w:lineRule="exact"/>
        <w:ind w:firstLine="420" w:firstLineChars="200"/>
        <w:jc w:val="left"/>
        <w:rPr>
          <w:rFonts w:ascii="方正书宋_GBK" w:hAnsi="方正书宋_GBK" w:eastAsia="方正书宋_GBK" w:cs="方正书宋_GBK"/>
          <w:b/>
        </w:rPr>
      </w:pPr>
    </w:p>
    <w:p>
      <w:pPr>
        <w:ind w:firstLine="560" w:firstLineChars="200"/>
        <w:jc w:val="left"/>
        <w:outlineLvl w:val="1"/>
        <w:rPr>
          <w:rFonts w:ascii="Times New Roman" w:hAnsi="宋体" w:cs="宋体"/>
          <w:b/>
          <w:sz w:val="28"/>
        </w:rPr>
      </w:pPr>
      <w:r>
        <w:rPr>
          <w:rFonts w:hint="eastAsia" w:ascii="方正仿宋_GBK" w:hAnsi="方正仿宋_GBK" w:eastAsia="方正仿宋_GBK" w:cs="方正仿宋_GBK"/>
          <w:b/>
          <w:sz w:val="28"/>
        </w:rPr>
        <w:t>15、招商经费绩效目标表</w:t>
      </w:r>
      <w:bookmarkStart w:id="17" w:name="_Toc13936"/>
      <w:r>
        <w:rPr>
          <w:rFonts w:hint="eastAsia"/>
        </w:rPr>
        <w:fldChar w:fldCharType="begin"/>
      </w:r>
      <w:r>
        <w:rPr>
          <w:rFonts w:hint="eastAsia" w:ascii="方正仿宋_GBK" w:hAnsi="方正仿宋_GBK" w:eastAsia="方正仿宋_GBK" w:cs="方正仿宋_GBK"/>
          <w:b/>
          <w:sz w:val="28"/>
        </w:rPr>
        <w:instrText xml:space="preserve"> TC 15、招商经费绩效目标表 \f C \l 1 </w:instrText>
      </w:r>
      <w:r>
        <w:rPr>
          <w:rFonts w:hint="eastAsia" w:ascii="方正仿宋_GBK" w:hAnsi="方正仿宋_GBK" w:eastAsia="方正仿宋_GBK" w:cs="方正仿宋_GBK"/>
          <w:b/>
          <w:sz w:val="28"/>
        </w:rPr>
        <w:fldChar w:fldCharType="end"/>
      </w:r>
      <w:bookmarkEnd w:id="17"/>
    </w:p>
    <w:tbl>
      <w:tblPr>
        <w:tblStyle w:val="8"/>
        <w:tblW w:w="12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428"/>
        <w:gridCol w:w="1160"/>
        <w:gridCol w:w="580"/>
        <w:gridCol w:w="724"/>
        <w:gridCol w:w="986"/>
        <w:gridCol w:w="290"/>
        <w:gridCol w:w="3085"/>
        <w:gridCol w:w="160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2" w:type="dxa"/>
            <w:gridSpan w:val="9"/>
            <w:tcBorders>
              <w:top w:val="single" w:color="FFFFFF" w:sz="6" w:space="0"/>
              <w:left w:val="single" w:color="FFFFFF" w:sz="6" w:space="0"/>
              <w:right w:val="single" w:color="FFFFFF" w:sz="6" w:space="0"/>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438002河北隆尧经济开发区管理委员会</w:t>
            </w:r>
          </w:p>
        </w:tc>
        <w:tc>
          <w:tcPr>
            <w:tcW w:w="4692" w:type="dxa"/>
            <w:gridSpan w:val="2"/>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rPr>
            </w:pPr>
            <w:r>
              <w:rPr>
                <w:rFonts w:hint="eastAsia" w:ascii="方正书宋_GBK" w:hAnsi="方正书宋_GBK" w:eastAsia="方正书宋_GBK" w:cs="方正书宋_GBK"/>
                <w:b/>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项目编码</w:t>
            </w:r>
          </w:p>
        </w:tc>
        <w:tc>
          <w:tcPr>
            <w:tcW w:w="2838" w:type="dxa"/>
            <w:gridSpan w:val="3"/>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438-0601-JXN-QZPL</w:t>
            </w:r>
          </w:p>
        </w:tc>
        <w:tc>
          <w:tcPr>
            <w:tcW w:w="174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项目名称</w:t>
            </w:r>
          </w:p>
        </w:tc>
        <w:tc>
          <w:tcPr>
            <w:tcW w:w="6692" w:type="dxa"/>
            <w:gridSpan w:val="5"/>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预算规模及资金用途</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预算数</w:t>
            </w:r>
          </w:p>
        </w:tc>
        <w:tc>
          <w:tcPr>
            <w:tcW w:w="1704"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600000.00</w:t>
            </w:r>
          </w:p>
        </w:tc>
        <w:tc>
          <w:tcPr>
            <w:tcW w:w="174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其中：财政资金</w:t>
            </w:r>
          </w:p>
        </w:tc>
        <w:tc>
          <w:tcPr>
            <w:tcW w:w="1710" w:type="dxa"/>
            <w:gridSpan w:val="2"/>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600000.00</w:t>
            </w:r>
          </w:p>
        </w:tc>
        <w:tc>
          <w:tcPr>
            <w:tcW w:w="3375"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其他资金</w:t>
            </w:r>
          </w:p>
        </w:tc>
        <w:tc>
          <w:tcPr>
            <w:tcW w:w="1607"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11270" w:type="dxa"/>
            <w:gridSpan w:val="10"/>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用于差旅费、会议费、公务接待费、培训费、办公费、印刷费等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资金支出计划（%）</w:t>
            </w: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3月底</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6月底</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10月底</w:t>
            </w:r>
          </w:p>
        </w:tc>
        <w:tc>
          <w:tcPr>
            <w:tcW w:w="5968" w:type="dxa"/>
            <w:gridSpan w:val="4"/>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12月底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Pr>
          <w:p>
            <w:pPr>
              <w:spacing w:line="300" w:lineRule="exact"/>
              <w:jc w:val="left"/>
              <w:outlineLvl w:val="1"/>
              <w:rPr>
                <w:rFonts w:ascii="方正仿宋_GBK" w:hAnsi="方正仿宋_GBK" w:eastAsia="方正仿宋_GBK" w:cs="方正仿宋_GBK"/>
                <w:b/>
                <w:sz w:val="28"/>
              </w:rPr>
            </w:pPr>
          </w:p>
        </w:tc>
        <w:tc>
          <w:tcPr>
            <w:tcW w:w="2410"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30.00</w:t>
            </w:r>
          </w:p>
        </w:tc>
        <w:tc>
          <w:tcPr>
            <w:tcW w:w="1588"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60.00</w:t>
            </w:r>
          </w:p>
        </w:tc>
        <w:tc>
          <w:tcPr>
            <w:tcW w:w="1304" w:type="dxa"/>
            <w:gridSpan w:val="2"/>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100.00</w:t>
            </w:r>
          </w:p>
        </w:tc>
        <w:tc>
          <w:tcPr>
            <w:tcW w:w="5968" w:type="dxa"/>
            <w:gridSpan w:val="4"/>
            <w:vAlign w:val="center"/>
          </w:tcPr>
          <w:p>
            <w:pPr>
              <w:spacing w:line="300" w:lineRule="exact"/>
              <w:jc w:val="center"/>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绩效目标</w:t>
            </w:r>
          </w:p>
        </w:tc>
        <w:tc>
          <w:tcPr>
            <w:tcW w:w="11270" w:type="dxa"/>
            <w:gridSpan w:val="10"/>
            <w:tcBorders>
              <w:bottom w:val="nil"/>
            </w:tcBorders>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1、完成上级交办的招商任务</w:t>
            </w:r>
          </w:p>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2、召开推介会、招商线索等</w:t>
            </w:r>
          </w:p>
        </w:tc>
      </w:tr>
    </w:tbl>
    <w:p>
      <w:pPr>
        <w:spacing w:line="14" w:lineRule="exact"/>
        <w:ind w:firstLine="422" w:firstLineChars="200"/>
        <w:jc w:val="center"/>
        <w:rPr>
          <w:rFonts w:ascii="Times New Roman" w:hAnsi="宋体" w:cs="宋体"/>
          <w:b/>
        </w:rPr>
      </w:pPr>
    </w:p>
    <w:tbl>
      <w:tblPr>
        <w:tblStyle w:val="8"/>
        <w:tblW w:w="1240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2"/>
        <w:gridCol w:w="4346"/>
        <w:gridCol w:w="162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一级指标</w:t>
            </w:r>
          </w:p>
        </w:tc>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二级指标</w:t>
            </w:r>
          </w:p>
        </w:tc>
        <w:tc>
          <w:tcPr>
            <w:tcW w:w="127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三级指标</w:t>
            </w:r>
          </w:p>
        </w:tc>
        <w:tc>
          <w:tcPr>
            <w:tcW w:w="289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绩效指标描述</w:t>
            </w:r>
          </w:p>
        </w:tc>
        <w:tc>
          <w:tcPr>
            <w:tcW w:w="4346"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w:t>
            </w:r>
          </w:p>
        </w:tc>
        <w:tc>
          <w:tcPr>
            <w:tcW w:w="162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产出指标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招商推介会次数</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召开招商推介会次数</w:t>
            </w:r>
          </w:p>
        </w:tc>
        <w:tc>
          <w:tcPr>
            <w:tcW w:w="434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3次以上为优、2次以上为良、1次以上为中、0次为差</w:t>
            </w:r>
          </w:p>
        </w:tc>
        <w:tc>
          <w:tcPr>
            <w:tcW w:w="162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时效指标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招商引资签约个数</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招引1个超10亿元项目、5个超亿元项目</w:t>
            </w:r>
          </w:p>
        </w:tc>
        <w:tc>
          <w:tcPr>
            <w:tcW w:w="434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签约5个优、签约4个良、签约3个中、签约2个差</w:t>
            </w:r>
          </w:p>
        </w:tc>
        <w:tc>
          <w:tcPr>
            <w:tcW w:w="162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效果指标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外出宣传、拜访客商次数</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宣传隆尧、外出拜访客商次数</w:t>
            </w:r>
          </w:p>
        </w:tc>
        <w:tc>
          <w:tcPr>
            <w:tcW w:w="434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≥3030以上为优、20以上为良、10以上为中、10以下为差</w:t>
            </w:r>
          </w:p>
        </w:tc>
        <w:tc>
          <w:tcPr>
            <w:tcW w:w="162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vAlign w:val="center"/>
          </w:tcPr>
          <w:p>
            <w:pPr>
              <w:spacing w:line="300" w:lineRule="exact"/>
              <w:jc w:val="center"/>
              <w:rPr>
                <w:rFonts w:ascii="方正书宋_GBK" w:hAnsi="方正书宋_GBK" w:eastAsia="方正书宋_GBK" w:cs="方正书宋_GBK"/>
                <w:b/>
              </w:rPr>
            </w:pP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经济效益指标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接待客商次数</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外出拜访客商及接待客商回访次数</w:t>
            </w:r>
          </w:p>
        </w:tc>
        <w:tc>
          <w:tcPr>
            <w:tcW w:w="434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≥3030以上为优、20以上为良、10以上为中、10以下为差</w:t>
            </w:r>
          </w:p>
        </w:tc>
        <w:tc>
          <w:tcPr>
            <w:tcW w:w="1622" w:type="dxa"/>
            <w:vAlign w:val="center"/>
          </w:tcPr>
          <w:p>
            <w:pPr>
              <w:spacing w:line="300" w:lineRule="exact"/>
              <w:jc w:val="lef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满意度指标</w:t>
            </w:r>
          </w:p>
        </w:tc>
        <w:tc>
          <w:tcPr>
            <w:tcW w:w="1134"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服务对象满意度指标</w:t>
            </w:r>
          </w:p>
        </w:tc>
        <w:tc>
          <w:tcPr>
            <w:tcW w:w="127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群众满意度</w:t>
            </w:r>
          </w:p>
        </w:tc>
        <w:tc>
          <w:tcPr>
            <w:tcW w:w="2892"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群众满意数量占总数的比例。</w:t>
            </w:r>
          </w:p>
        </w:tc>
        <w:tc>
          <w:tcPr>
            <w:tcW w:w="4346" w:type="dxa"/>
            <w:vAlign w:val="center"/>
          </w:tcPr>
          <w:p>
            <w:pPr>
              <w:spacing w:line="300" w:lineRule="exact"/>
              <w:jc w:val="left"/>
              <w:rPr>
                <w:rFonts w:ascii="方正书宋_GBK" w:hAnsi="方正书宋_GBK" w:eastAsia="方正书宋_GBK" w:cs="方正书宋_GBK"/>
                <w:b/>
              </w:rPr>
            </w:pPr>
            <w:r>
              <w:rPr>
                <w:rFonts w:hint="eastAsia" w:ascii="方正书宋_GBK" w:hAnsi="方正书宋_GBK" w:eastAsia="方正书宋_GBK" w:cs="方正书宋_GBK"/>
                <w:b/>
              </w:rPr>
              <w:t>≥9090以上为优、80以上为良、70以上为中、70以下为差</w:t>
            </w:r>
          </w:p>
        </w:tc>
        <w:tc>
          <w:tcPr>
            <w:tcW w:w="1622" w:type="dxa"/>
            <w:vAlign w:val="center"/>
          </w:tcPr>
          <w:p>
            <w:pPr>
              <w:spacing w:line="300" w:lineRule="exact"/>
              <w:jc w:val="left"/>
              <w:rPr>
                <w:rFonts w:ascii="方正书宋_GBK" w:hAnsi="方正书宋_GBK" w:eastAsia="方正书宋_GBK" w:cs="方正书宋_GBK"/>
                <w:b/>
              </w:rPr>
            </w:pPr>
          </w:p>
        </w:tc>
      </w:tr>
    </w:tbl>
    <w:p>
      <w:pPr>
        <w:spacing w:line="300" w:lineRule="exact"/>
        <w:ind w:firstLine="420" w:firstLineChars="200"/>
        <w:jc w:val="left"/>
        <w:rPr>
          <w:rFonts w:ascii="方正书宋_GBK" w:hAnsi="方正书宋_GBK" w:eastAsia="方正书宋_GBK" w:cs="方正书宋_GBK"/>
          <w:b/>
        </w:rPr>
        <w:sectPr>
          <w:pgSz w:w="16838" w:h="11906" w:orient="landscape"/>
          <w:pgMar w:top="1304" w:right="1984" w:bottom="1304" w:left="1134" w:header="851" w:footer="992" w:gutter="0"/>
          <w:cols w:space="720" w:num="1"/>
          <w:docGrid w:type="lines" w:linePitch="312" w:charSpace="0"/>
        </w:sectPr>
      </w:pPr>
    </w:p>
    <w:bookmarkEnd w:id="0"/>
    <w:p>
      <w:pPr>
        <w:autoSpaceDE w:val="0"/>
        <w:autoSpaceDN w:val="0"/>
        <w:adjustRightInd w:val="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ind w:firstLine="640" w:firstLineChars="200"/>
        <w:outlineLvl w:val="0"/>
        <w:rPr>
          <w:rFonts w:ascii="Times New Roman" w:hAnsi="Times New Roman" w:eastAsia="仿宋" w:cs="Times New Roman"/>
          <w:sz w:val="32"/>
          <w:szCs w:val="24"/>
        </w:rPr>
      </w:pPr>
      <w:bookmarkStart w:id="18"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175.9</w:t>
      </w:r>
      <w:r>
        <w:rPr>
          <w:rFonts w:ascii="Times New Roman" w:hAnsi="Times New Roman" w:eastAsia="仿宋" w:cs="Times New Roman"/>
          <w:sz w:val="32"/>
          <w:szCs w:val="24"/>
        </w:rPr>
        <w:t>万元。具体内容见下表。</w:t>
      </w:r>
      <w:bookmarkEnd w:id="18"/>
    </w:p>
    <w:p>
      <w:pPr>
        <w:ind w:firstLine="640" w:firstLineChars="200"/>
        <w:jc w:val="center"/>
        <w:outlineLvl w:val="0"/>
        <w:rPr>
          <w:rFonts w:ascii="方正小标宋_GBK" w:eastAsia="方正小标宋_GBK"/>
          <w:sz w:val="32"/>
        </w:rPr>
      </w:pPr>
      <w:r>
        <w:rPr>
          <w:rFonts w:hint="eastAsia" w:ascii="方正小标宋_GBK" w:eastAsia="方正小标宋_GBK"/>
          <w:sz w:val="32"/>
        </w:rPr>
        <w:t>部门政府采购预算</w:t>
      </w:r>
    </w:p>
    <w:tbl>
      <w:tblPr>
        <w:tblStyle w:val="8"/>
        <w:tblW w:w="151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308"/>
        <w:gridCol w:w="855"/>
        <w:gridCol w:w="1140"/>
        <w:gridCol w:w="855"/>
        <w:gridCol w:w="570"/>
        <w:gridCol w:w="652"/>
        <w:gridCol w:w="1365"/>
        <w:gridCol w:w="1238"/>
        <w:gridCol w:w="1185"/>
        <w:gridCol w:w="1335"/>
        <w:gridCol w:w="1252"/>
        <w:gridCol w:w="758"/>
        <w:gridCol w:w="6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8745"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hAnsi="方正小标宋_GBK" w:eastAsia="方正小标宋_GBK" w:cs="方正小标宋_GBK"/>
                <w:b/>
                <w:sz w:val="24"/>
              </w:rPr>
            </w:pPr>
            <w:r>
              <w:rPr>
                <w:rFonts w:hint="eastAsia" w:ascii="方正小标宋_GBK" w:hAnsi="方正小标宋_GBK" w:eastAsia="方正小标宋_GBK" w:cs="方正小标宋_GBK"/>
                <w:b/>
                <w:sz w:val="24"/>
              </w:rPr>
              <w:t>438开发区管委会</w:t>
            </w:r>
          </w:p>
        </w:tc>
        <w:tc>
          <w:tcPr>
            <w:tcW w:w="6420"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hAnsi="方正书宋_GBK" w:eastAsia="方正书宋_GBK" w:cs="方正书宋_GBK"/>
                <w:b/>
                <w:sz w:val="24"/>
              </w:rPr>
            </w:pPr>
            <w:r>
              <w:rPr>
                <w:rFonts w:hint="eastAsia" w:ascii="方正书宋_GBK" w:hAnsi="方正书宋_GBK" w:eastAsia="方正书宋_GBK" w:cs="方正书宋_GBK"/>
                <w:b/>
                <w:sz w:val="24"/>
              </w:rPr>
              <w:t>单位：元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4163" w:type="dxa"/>
            <w:gridSpan w:val="2"/>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政府采购项目来源</w:t>
            </w:r>
          </w:p>
        </w:tc>
        <w:tc>
          <w:tcPr>
            <w:tcW w:w="1140" w:type="dxa"/>
            <w:vMerge w:val="restart"/>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采购物品名称</w:t>
            </w:r>
          </w:p>
        </w:tc>
        <w:tc>
          <w:tcPr>
            <w:tcW w:w="855" w:type="dxa"/>
            <w:vMerge w:val="restart"/>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政府采购目录序号</w:t>
            </w:r>
          </w:p>
        </w:tc>
        <w:tc>
          <w:tcPr>
            <w:tcW w:w="570" w:type="dxa"/>
            <w:vMerge w:val="restart"/>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计量  单位</w:t>
            </w:r>
          </w:p>
        </w:tc>
        <w:tc>
          <w:tcPr>
            <w:tcW w:w="652" w:type="dxa"/>
            <w:vMerge w:val="restart"/>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数量</w:t>
            </w:r>
          </w:p>
        </w:tc>
        <w:tc>
          <w:tcPr>
            <w:tcW w:w="1365" w:type="dxa"/>
            <w:vMerge w:val="restart"/>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单价</w:t>
            </w:r>
          </w:p>
        </w:tc>
        <w:tc>
          <w:tcPr>
            <w:tcW w:w="6420" w:type="dxa"/>
            <w:gridSpan w:val="6"/>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3308"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项目名称</w:t>
            </w:r>
          </w:p>
        </w:tc>
        <w:tc>
          <w:tcPr>
            <w:tcW w:w="855"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预算资金</w:t>
            </w:r>
          </w:p>
        </w:tc>
        <w:tc>
          <w:tcPr>
            <w:tcW w:w="1140" w:type="dxa"/>
            <w:vMerge w:val="continue"/>
          </w:tcPr>
          <w:p>
            <w:pPr>
              <w:spacing w:line="300" w:lineRule="exact"/>
              <w:jc w:val="left"/>
              <w:outlineLvl w:val="0"/>
              <w:rPr>
                <w:rFonts w:ascii="方正小标宋_GBK" w:hAnsi="方正小标宋_GBK" w:eastAsia="方正小标宋_GBK" w:cs="方正小标宋_GBK"/>
                <w:bCs/>
                <w:szCs w:val="21"/>
              </w:rPr>
            </w:pPr>
          </w:p>
        </w:tc>
        <w:tc>
          <w:tcPr>
            <w:tcW w:w="855" w:type="dxa"/>
            <w:vMerge w:val="continue"/>
          </w:tcPr>
          <w:p>
            <w:pPr>
              <w:spacing w:line="300" w:lineRule="exact"/>
              <w:jc w:val="left"/>
              <w:outlineLvl w:val="0"/>
              <w:rPr>
                <w:rFonts w:ascii="方正小标宋_GBK" w:hAnsi="方正小标宋_GBK" w:eastAsia="方正小标宋_GBK" w:cs="方正小标宋_GBK"/>
                <w:bCs/>
                <w:szCs w:val="21"/>
              </w:rPr>
            </w:pPr>
          </w:p>
        </w:tc>
        <w:tc>
          <w:tcPr>
            <w:tcW w:w="570" w:type="dxa"/>
            <w:vMerge w:val="continue"/>
          </w:tcPr>
          <w:p>
            <w:pPr>
              <w:spacing w:line="300" w:lineRule="exact"/>
              <w:jc w:val="left"/>
              <w:outlineLvl w:val="0"/>
              <w:rPr>
                <w:rFonts w:ascii="方正小标宋_GBK" w:hAnsi="方正小标宋_GBK" w:eastAsia="方正小标宋_GBK" w:cs="方正小标宋_GBK"/>
                <w:bCs/>
                <w:szCs w:val="21"/>
              </w:rPr>
            </w:pPr>
          </w:p>
        </w:tc>
        <w:tc>
          <w:tcPr>
            <w:tcW w:w="652" w:type="dxa"/>
            <w:vMerge w:val="continue"/>
          </w:tcPr>
          <w:p>
            <w:pPr>
              <w:spacing w:line="300" w:lineRule="exact"/>
              <w:jc w:val="left"/>
              <w:outlineLvl w:val="0"/>
              <w:rPr>
                <w:rFonts w:ascii="方正小标宋_GBK" w:hAnsi="方正小标宋_GBK" w:eastAsia="方正小标宋_GBK" w:cs="方正小标宋_GBK"/>
                <w:bCs/>
                <w:szCs w:val="21"/>
              </w:rPr>
            </w:pPr>
          </w:p>
        </w:tc>
        <w:tc>
          <w:tcPr>
            <w:tcW w:w="1365" w:type="dxa"/>
            <w:vMerge w:val="continue"/>
          </w:tcPr>
          <w:p>
            <w:pPr>
              <w:spacing w:line="300" w:lineRule="exact"/>
              <w:jc w:val="left"/>
              <w:outlineLvl w:val="0"/>
              <w:rPr>
                <w:rFonts w:ascii="方正小标宋_GBK" w:hAnsi="方正小标宋_GBK" w:eastAsia="方正小标宋_GBK" w:cs="方正小标宋_GBK"/>
                <w:bCs/>
                <w:szCs w:val="21"/>
              </w:rPr>
            </w:pPr>
          </w:p>
        </w:tc>
        <w:tc>
          <w:tcPr>
            <w:tcW w:w="1238"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合计</w:t>
            </w:r>
          </w:p>
        </w:tc>
        <w:tc>
          <w:tcPr>
            <w:tcW w:w="1185"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一般公共预算拨款</w:t>
            </w:r>
          </w:p>
        </w:tc>
        <w:tc>
          <w:tcPr>
            <w:tcW w:w="1335"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基金预算拨款</w:t>
            </w:r>
          </w:p>
        </w:tc>
        <w:tc>
          <w:tcPr>
            <w:tcW w:w="1252"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国有资本经营预算拨款</w:t>
            </w:r>
          </w:p>
        </w:tc>
        <w:tc>
          <w:tcPr>
            <w:tcW w:w="758"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财政专户核拨</w:t>
            </w:r>
          </w:p>
        </w:tc>
        <w:tc>
          <w:tcPr>
            <w:tcW w:w="652" w:type="dxa"/>
            <w:vAlign w:val="center"/>
          </w:tcPr>
          <w:p>
            <w:pPr>
              <w:spacing w:line="300" w:lineRule="exact"/>
              <w:jc w:val="center"/>
              <w:rPr>
                <w:rFonts w:ascii="方正书宋_GBK" w:hAnsi="方正书宋_GBK" w:eastAsia="方正书宋_GBK" w:cs="方正书宋_GBK"/>
                <w:b/>
              </w:rPr>
            </w:pPr>
            <w:r>
              <w:rPr>
                <w:rFonts w:hint="eastAsia" w:ascii="方正书宋_GBK" w:hAnsi="方正书宋_GBK" w:eastAsia="方正书宋_GBK" w:cs="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河北隆尧经济开发区管理委员会小计</w:t>
            </w:r>
          </w:p>
        </w:tc>
        <w:tc>
          <w:tcPr>
            <w:tcW w:w="855" w:type="dxa"/>
            <w:vAlign w:val="center"/>
          </w:tcPr>
          <w:p>
            <w:pPr>
              <w:spacing w:line="300" w:lineRule="exact"/>
              <w:jc w:val="right"/>
              <w:rPr>
                <w:rFonts w:ascii="方正书宋_GBK" w:hAnsi="方正书宋_GBK" w:eastAsia="方正书宋_GBK" w:cs="方正书宋_GBK"/>
                <w:bCs/>
                <w:szCs w:val="21"/>
              </w:rPr>
            </w:pPr>
          </w:p>
        </w:tc>
        <w:tc>
          <w:tcPr>
            <w:tcW w:w="1140" w:type="dxa"/>
            <w:vAlign w:val="center"/>
          </w:tcPr>
          <w:p>
            <w:pPr>
              <w:spacing w:line="300" w:lineRule="exact"/>
              <w:jc w:val="left"/>
              <w:rPr>
                <w:rFonts w:ascii="方正书宋_GBK" w:hAnsi="方正书宋_GBK" w:eastAsia="方正书宋_GBK" w:cs="方正书宋_GBK"/>
                <w:bCs/>
                <w:szCs w:val="21"/>
              </w:rPr>
            </w:pPr>
          </w:p>
        </w:tc>
        <w:tc>
          <w:tcPr>
            <w:tcW w:w="855" w:type="dxa"/>
            <w:vAlign w:val="center"/>
          </w:tcPr>
          <w:p>
            <w:pPr>
              <w:spacing w:line="300" w:lineRule="exact"/>
              <w:jc w:val="left"/>
              <w:rPr>
                <w:rFonts w:ascii="方正书宋_GBK" w:hAnsi="方正书宋_GBK" w:eastAsia="方正书宋_GBK" w:cs="方正书宋_GBK"/>
                <w:bCs/>
                <w:szCs w:val="21"/>
              </w:rPr>
            </w:pPr>
          </w:p>
        </w:tc>
        <w:tc>
          <w:tcPr>
            <w:tcW w:w="570" w:type="dxa"/>
            <w:vAlign w:val="center"/>
          </w:tcPr>
          <w:p>
            <w:pPr>
              <w:spacing w:line="300" w:lineRule="exact"/>
              <w:jc w:val="center"/>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Cs/>
                <w:szCs w:val="21"/>
              </w:rPr>
            </w:pPr>
          </w:p>
        </w:tc>
        <w:tc>
          <w:tcPr>
            <w:tcW w:w="1365" w:type="dxa"/>
            <w:vAlign w:val="center"/>
          </w:tcPr>
          <w:p>
            <w:pPr>
              <w:spacing w:line="300" w:lineRule="exact"/>
              <w:jc w:val="right"/>
              <w:rPr>
                <w:rFonts w:ascii="方正书宋_GBK" w:hAnsi="方正书宋_GBK" w:eastAsia="方正书宋_GBK" w:cs="方正书宋_GBK"/>
                <w:bCs/>
                <w:szCs w:val="21"/>
              </w:rPr>
            </w:pP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1759000.00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1266000.00</w:t>
            </w:r>
          </w:p>
        </w:tc>
        <w:tc>
          <w:tcPr>
            <w:tcW w:w="133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土地出让金/开发区城乡环卫一体化</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园林绿化管理服务</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C1303</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185" w:type="dxa"/>
            <w:vAlign w:val="center"/>
          </w:tcPr>
          <w:p>
            <w:pPr>
              <w:spacing w:line="300" w:lineRule="exact"/>
              <w:jc w:val="right"/>
              <w:rPr>
                <w:rFonts w:ascii="方正书宋_GBK" w:hAnsi="方正书宋_GBK" w:eastAsia="方正书宋_GBK" w:cs="方正书宋_GBK"/>
                <w:bCs/>
                <w:szCs w:val="21"/>
              </w:rPr>
            </w:pPr>
          </w:p>
        </w:tc>
        <w:tc>
          <w:tcPr>
            <w:tcW w:w="133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493000.00</w:t>
            </w: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2020年绿化养护经费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市政公共设施管理服务</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C1302</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800000.00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编制装备制造产业发展规划</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其他服务</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300000.00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其他办公消耗用品及类似物品</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A0999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45000.00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其他印刷品</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A080299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邮政服务</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C081901</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51000.00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招商经费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600000.00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其他计算机设备及软件</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A020199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日常公用经费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140200.00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其他办公消耗用品及类似物品</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A0999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3308"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日常公用经费</w:t>
            </w:r>
          </w:p>
        </w:tc>
        <w:tc>
          <w:tcPr>
            <w:tcW w:w="85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140200.00</w:t>
            </w:r>
          </w:p>
        </w:tc>
        <w:tc>
          <w:tcPr>
            <w:tcW w:w="1140"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其他印刷品</w:t>
            </w:r>
          </w:p>
        </w:tc>
        <w:tc>
          <w:tcPr>
            <w:tcW w:w="855" w:type="dxa"/>
            <w:vAlign w:val="center"/>
          </w:tcPr>
          <w:p>
            <w:pPr>
              <w:spacing w:line="300" w:lineRule="exact"/>
              <w:jc w:val="lef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A080299</w:t>
            </w:r>
          </w:p>
        </w:tc>
        <w:tc>
          <w:tcPr>
            <w:tcW w:w="570" w:type="dxa"/>
            <w:vAlign w:val="center"/>
          </w:tcPr>
          <w:p>
            <w:pPr>
              <w:spacing w:line="300" w:lineRule="exact"/>
              <w:jc w:val="center"/>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w:t>
            </w:r>
          </w:p>
        </w:tc>
        <w:tc>
          <w:tcPr>
            <w:tcW w:w="652"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1.00</w:t>
            </w:r>
          </w:p>
        </w:tc>
        <w:tc>
          <w:tcPr>
            <w:tcW w:w="136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238"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185" w:type="dxa"/>
            <w:vAlign w:val="center"/>
          </w:tcPr>
          <w:p>
            <w:pPr>
              <w:spacing w:line="300" w:lineRule="exact"/>
              <w:jc w:val="right"/>
              <w:rPr>
                <w:rFonts w:ascii="方正书宋_GBK" w:hAnsi="方正书宋_GBK" w:eastAsia="方正书宋_GBK" w:cs="方正书宋_GBK"/>
                <w:bCs/>
                <w:szCs w:val="21"/>
              </w:rPr>
            </w:pPr>
            <w:r>
              <w:rPr>
                <w:rFonts w:hint="eastAsia" w:ascii="方正书宋_GBK" w:hAnsi="方正书宋_GBK" w:eastAsia="方正书宋_GBK" w:cs="方正书宋_GBK"/>
                <w:bCs/>
                <w:szCs w:val="21"/>
              </w:rPr>
              <w:t>5000.00</w:t>
            </w:r>
          </w:p>
        </w:tc>
        <w:tc>
          <w:tcPr>
            <w:tcW w:w="1335" w:type="dxa"/>
            <w:vAlign w:val="center"/>
          </w:tcPr>
          <w:p>
            <w:pPr>
              <w:spacing w:line="300" w:lineRule="exact"/>
              <w:jc w:val="right"/>
              <w:rPr>
                <w:rFonts w:ascii="方正书宋_GBK" w:hAnsi="方正书宋_GBK" w:eastAsia="方正书宋_GBK" w:cs="方正书宋_GBK"/>
                <w:bCs/>
                <w:szCs w:val="21"/>
              </w:rPr>
            </w:pPr>
          </w:p>
        </w:tc>
        <w:tc>
          <w:tcPr>
            <w:tcW w:w="1252" w:type="dxa"/>
            <w:vAlign w:val="center"/>
          </w:tcPr>
          <w:p>
            <w:pPr>
              <w:spacing w:line="300" w:lineRule="exact"/>
              <w:jc w:val="right"/>
              <w:rPr>
                <w:rFonts w:ascii="方正书宋_GBK" w:hAnsi="方正书宋_GBK" w:eastAsia="方正书宋_GBK" w:cs="方正书宋_GBK"/>
                <w:bCs/>
                <w:szCs w:val="21"/>
              </w:rPr>
            </w:pPr>
          </w:p>
        </w:tc>
        <w:tc>
          <w:tcPr>
            <w:tcW w:w="758" w:type="dxa"/>
            <w:vAlign w:val="center"/>
          </w:tcPr>
          <w:p>
            <w:pPr>
              <w:spacing w:line="300" w:lineRule="exact"/>
              <w:jc w:val="right"/>
              <w:rPr>
                <w:rFonts w:ascii="方正书宋_GBK" w:hAnsi="方正书宋_GBK" w:eastAsia="方正书宋_GBK" w:cs="方正书宋_GBK"/>
                <w:bCs/>
                <w:szCs w:val="21"/>
              </w:rPr>
            </w:pPr>
          </w:p>
        </w:tc>
        <w:tc>
          <w:tcPr>
            <w:tcW w:w="652" w:type="dxa"/>
            <w:vAlign w:val="center"/>
          </w:tcPr>
          <w:p>
            <w:pPr>
              <w:spacing w:line="300" w:lineRule="exact"/>
              <w:jc w:val="right"/>
              <w:rPr>
                <w:rFonts w:ascii="方正书宋_GBK" w:hAnsi="方正书宋_GBK" w:eastAsia="方正书宋_GBK" w:cs="方正书宋_GBK"/>
                <w:b/>
              </w:rPr>
            </w:pPr>
          </w:p>
        </w:tc>
      </w:tr>
    </w:tbl>
    <w:p>
      <w:pPr>
        <w:ind w:firstLine="420" w:firstLineChars="200"/>
        <w:jc w:val="center"/>
        <w:outlineLvl w:val="0"/>
        <w:rPr>
          <w:rFonts w:ascii="Times New Roman" w:hAnsi="宋体"/>
          <w:sz w:val="32"/>
        </w:rPr>
      </w:pPr>
      <w:r>
        <w:fldChar w:fldCharType="begin"/>
      </w:r>
      <w:r>
        <w:rPr>
          <w:rFonts w:hint="eastAsia" w:ascii="方正小标宋_GBK" w:eastAsia="方正小标宋_GBK"/>
          <w:sz w:val="32"/>
        </w:rPr>
        <w:instrText xml:space="preserve">TC </w:instrText>
      </w:r>
      <w:bookmarkStart w:id="19" w:name="_Toc28848395"/>
      <w:r>
        <w:rPr>
          <w:rFonts w:hint="eastAsia" w:ascii="方正小标宋_GBK" w:eastAsia="方正小标宋_GBK"/>
          <w:sz w:val="32"/>
        </w:rPr>
        <w:instrText xml:space="preserve">部门政府采购预算</w:instrText>
      </w:r>
      <w:bookmarkEnd w:id="19"/>
      <w:r>
        <w:rPr>
          <w:rFonts w:hint="eastAsia" w:ascii="方正小标宋_GBK" w:eastAsia="方正小标宋_GBK"/>
          <w:sz w:val="32"/>
        </w:rPr>
        <w:instrText xml:space="preserve"> \f A \l 1</w:instrText>
      </w:r>
      <w:r>
        <w:rPr>
          <w:rFonts w:ascii="方正小标宋_GBK" w:eastAsia="方正小标宋_GBK"/>
          <w:sz w:val="32"/>
        </w:rPr>
        <w:fldChar w:fldCharType="end"/>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Times New Roman"/>
          <w:color w:val="000000"/>
          <w:sz w:val="32"/>
          <w:szCs w:val="32"/>
        </w:rPr>
        <w:t>河北省人大常委会办厅2019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172.18</w:t>
      </w:r>
      <w:r>
        <w:rPr>
          <w:rFonts w:ascii="Times New Roman" w:hAnsi="Times New Roman" w:eastAsia="仿宋" w:cs="Times New Roman"/>
          <w:color w:val="000000"/>
          <w:sz w:val="32"/>
          <w:szCs w:val="32"/>
        </w:rPr>
        <w:t>万元（详见下表），本年度各单位</w:t>
      </w:r>
      <w:r>
        <w:rPr>
          <w:rFonts w:hint="eastAsia" w:ascii="Times New Roman" w:hAnsi="Times New Roman" w:eastAsia="仿宋" w:cs="Times New Roman"/>
          <w:color w:val="000000"/>
          <w:sz w:val="32"/>
          <w:szCs w:val="32"/>
        </w:rPr>
        <w:t>（处室）</w:t>
      </w:r>
      <w:r>
        <w:rPr>
          <w:rFonts w:ascii="Times New Roman" w:hAnsi="Times New Roman" w:eastAsia="仿宋" w:cs="Times New Roman"/>
          <w:color w:val="000000"/>
          <w:sz w:val="32"/>
          <w:szCs w:val="32"/>
        </w:rPr>
        <w:t>拟购置固定资产</w:t>
      </w:r>
      <w:r>
        <w:rPr>
          <w:rFonts w:hint="eastAsia" w:ascii="Times New Roman" w:hAnsi="Times New Roman" w:eastAsia="仿宋" w:cs="Times New Roman"/>
          <w:color w:val="000000"/>
          <w:sz w:val="32"/>
          <w:szCs w:val="32"/>
        </w:rPr>
        <w:t>总额为0.5</w:t>
      </w:r>
      <w:r>
        <w:rPr>
          <w:rFonts w:ascii="Times New Roman" w:hAnsi="Times New Roman" w:eastAsia="仿宋" w:cs="Times New Roman"/>
          <w:color w:val="000000"/>
          <w:sz w:val="32"/>
          <w:szCs w:val="32"/>
        </w:rPr>
        <w:t>万元，主要为</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等，已列入政府采购预算表</w:t>
      </w:r>
      <w:r>
        <w:rPr>
          <w:rFonts w:hint="eastAsia" w:ascii="Times New Roman" w:hAnsi="Times New Roman" w:eastAsia="仿宋" w:cs="Times New Roman"/>
          <w:color w:val="000000"/>
          <w:sz w:val="32"/>
          <w:szCs w:val="32"/>
        </w:rPr>
        <w:t>，详见政府采购预算表。</w:t>
      </w:r>
    </w:p>
    <w:tbl>
      <w:tblPr>
        <w:tblStyle w:val="7"/>
        <w:tblW w:w="13482" w:type="dxa"/>
        <w:tblInd w:w="93"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河北省省直部门固定资产占用情况表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河北隆尧经济开发区管理委员会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rPr>
            </w:pPr>
            <w:r>
              <w:rPr>
                <w:rFonts w:hint="eastAsia" w:ascii="Times New Roman" w:hAnsi="Times New Roman" w:eastAsia="仿宋" w:cs="Times New Roman"/>
                <w:kern w:val="0"/>
                <w:sz w:val="22"/>
              </w:rPr>
              <w:t>172.18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172.18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1、一般公共预算拨款收入：指省级财政当年拨付的资金。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微软雅黑"/>
    <w:panose1 w:val="02000000000000000000"/>
    <w:charset w:val="86"/>
    <w:family w:val="script"/>
    <w:pitch w:val="default"/>
    <w:sig w:usb0="00000000" w:usb1="00000000" w:usb2="00082016" w:usb3="00000000" w:csb0="00040001"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2000000000000000000"/>
    <w:charset w:val="86"/>
    <w:family w:val="script"/>
    <w:pitch w:val="default"/>
    <w:sig w:usb0="00000000" w:usb1="00000000" w:usb2="00000000" w:usb3="00000000" w:csb0="00040000" w:csb1="00000000"/>
  </w:font>
  <w:font w:name="宋体-方正超大字符集">
    <w:altName w:val="宋体"/>
    <w:panose1 w:val="00000000000000000000"/>
    <w:charset w:val="86"/>
    <w:family w:val="auto"/>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2"/>
      </w:rPr>
    </w:pPr>
    <w:r>
      <w:fldChar w:fldCharType="begin"/>
    </w:r>
    <w:r>
      <w:rPr>
        <w:rStyle w:val="12"/>
      </w:rPr>
      <w:instrText xml:space="preserve">PAGE  </w:instrText>
    </w:r>
    <w:r>
      <w:fldChar w:fldCharType="separate"/>
    </w:r>
    <w:r>
      <w:rPr>
        <w:rStyle w:val="12"/>
      </w:rPr>
      <w:t>32</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E3C2644"/>
    <w:multiLevelType w:val="singleLevel"/>
    <w:tmpl w:val="5E3C2644"/>
    <w:lvl w:ilvl="0" w:tentative="0">
      <w:start w:val="2"/>
      <w:numFmt w:val="chineseCounting"/>
      <w:suff w:val="nothing"/>
      <w:lvlText w:val="（%1）"/>
      <w:lvlJc w:val="left"/>
    </w:lvl>
  </w:abstractNum>
  <w:abstractNum w:abstractNumId="1">
    <w:nsid w:val="5E3E3055"/>
    <w:multiLevelType w:val="singleLevel"/>
    <w:tmpl w:val="5E3E3055"/>
    <w:lvl w:ilvl="0" w:tentative="0">
      <w:start w:val="2"/>
      <w:numFmt w:val="chineseCounting"/>
      <w:suff w:val="nothing"/>
      <w:lvlText w:val="第%1部"/>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1"/>
  <w:bordersDoNotSurroundFooter w:val="1"/>
  <w:doNotTrackMoves/>
  <w:documentProtection w:enforcement="0"/>
  <w:defaultTabStop w:val="420"/>
  <w:drawingGridHorizontalSpacing w:val="105"/>
  <w:drawingGridVerticalSpacing w:val="156"/>
  <w:noPunctuationKerning w:val="1"/>
  <w:characterSpacingControl w:val="compressPunctuation"/>
  <w:compat>
    <w:spaceForUL/>
    <w:balanceSingleByteDoubleByteWidth/>
    <w:doNotLeaveBackslashAlone/>
    <w:ulTrailSpace/>
    <w:doNotExpandShiftReturn/>
    <w:adjustLineHeightInTable/>
    <w:useFELayout/>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DYxZjVlOTNhMWRmMWE1MDQxOTBjOTdhYTI1ZmNhZjIifQ=="/>
  </w:docVars>
  <w:rsids>
    <w:rsidRoot w:val="00EE71BA"/>
    <w:rsid w:val="000C7140"/>
    <w:rsid w:val="00323B29"/>
    <w:rsid w:val="0032715F"/>
    <w:rsid w:val="0039059E"/>
    <w:rsid w:val="0044192C"/>
    <w:rsid w:val="0049453D"/>
    <w:rsid w:val="006508E7"/>
    <w:rsid w:val="006C2A1E"/>
    <w:rsid w:val="007F0341"/>
    <w:rsid w:val="00823B4F"/>
    <w:rsid w:val="008920AA"/>
    <w:rsid w:val="00941154"/>
    <w:rsid w:val="009A521C"/>
    <w:rsid w:val="00B174DB"/>
    <w:rsid w:val="00CB2B21"/>
    <w:rsid w:val="00D607DA"/>
    <w:rsid w:val="00DC6EE5"/>
    <w:rsid w:val="00EE71BA"/>
    <w:rsid w:val="00F867E4"/>
    <w:rsid w:val="02C7788B"/>
    <w:rsid w:val="03725405"/>
    <w:rsid w:val="037465E3"/>
    <w:rsid w:val="044C0FF7"/>
    <w:rsid w:val="05BE27C1"/>
    <w:rsid w:val="061A1151"/>
    <w:rsid w:val="08D803B6"/>
    <w:rsid w:val="09101A23"/>
    <w:rsid w:val="0DC61189"/>
    <w:rsid w:val="0F913B00"/>
    <w:rsid w:val="127D4334"/>
    <w:rsid w:val="15474A97"/>
    <w:rsid w:val="174E01CD"/>
    <w:rsid w:val="18A61B30"/>
    <w:rsid w:val="19834FD8"/>
    <w:rsid w:val="1C2B78F7"/>
    <w:rsid w:val="1DE638A1"/>
    <w:rsid w:val="235B4F07"/>
    <w:rsid w:val="268674DA"/>
    <w:rsid w:val="2713395C"/>
    <w:rsid w:val="27CF053D"/>
    <w:rsid w:val="287102AC"/>
    <w:rsid w:val="2A393517"/>
    <w:rsid w:val="2B2427A9"/>
    <w:rsid w:val="2B63258C"/>
    <w:rsid w:val="2CAE033E"/>
    <w:rsid w:val="3458646A"/>
    <w:rsid w:val="345D2D10"/>
    <w:rsid w:val="34887175"/>
    <w:rsid w:val="34DC7576"/>
    <w:rsid w:val="359672EB"/>
    <w:rsid w:val="36111E57"/>
    <w:rsid w:val="36DD7FAF"/>
    <w:rsid w:val="3B6B7445"/>
    <w:rsid w:val="3C6004D2"/>
    <w:rsid w:val="3EE42511"/>
    <w:rsid w:val="41805F23"/>
    <w:rsid w:val="43123F5F"/>
    <w:rsid w:val="4345579B"/>
    <w:rsid w:val="456C44CE"/>
    <w:rsid w:val="477F7A0B"/>
    <w:rsid w:val="48575E58"/>
    <w:rsid w:val="48E45A48"/>
    <w:rsid w:val="4B3F2FCA"/>
    <w:rsid w:val="4C0E4D16"/>
    <w:rsid w:val="4FDD0D1C"/>
    <w:rsid w:val="52756085"/>
    <w:rsid w:val="57550469"/>
    <w:rsid w:val="5A326E90"/>
    <w:rsid w:val="5AB13F42"/>
    <w:rsid w:val="5C51250F"/>
    <w:rsid w:val="5EDB2641"/>
    <w:rsid w:val="5F6E4999"/>
    <w:rsid w:val="606606AF"/>
    <w:rsid w:val="60BD13F4"/>
    <w:rsid w:val="612404AE"/>
    <w:rsid w:val="62735DD7"/>
    <w:rsid w:val="64213662"/>
    <w:rsid w:val="64235FFC"/>
    <w:rsid w:val="64BC37F1"/>
    <w:rsid w:val="64C44D1C"/>
    <w:rsid w:val="65022BD0"/>
    <w:rsid w:val="6690052B"/>
    <w:rsid w:val="674216E2"/>
    <w:rsid w:val="681D1E62"/>
    <w:rsid w:val="69B235D4"/>
    <w:rsid w:val="6A9914AD"/>
    <w:rsid w:val="6E37397B"/>
    <w:rsid w:val="6FA3379F"/>
    <w:rsid w:val="72FE5E71"/>
    <w:rsid w:val="732C4855"/>
    <w:rsid w:val="73615011"/>
    <w:rsid w:val="73DC1A13"/>
    <w:rsid w:val="76F31E6B"/>
    <w:rsid w:val="77625338"/>
    <w:rsid w:val="79037DBE"/>
    <w:rsid w:val="7A8679FB"/>
    <w:rsid w:val="7A982171"/>
    <w:rsid w:val="7B9E2584"/>
    <w:rsid w:val="7CA7A08C"/>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3"/>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4"/>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table" w:styleId="8">
    <w:name w:val="Table Grid"/>
    <w:basedOn w:val="7"/>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styleId="10">
    <w:name w:val="footnote reference"/>
    <w:qFormat/>
    <w:uiPriority w:val="0"/>
    <w:rPr>
      <w:vertAlign w:val="superscript"/>
    </w:rPr>
  </w:style>
  <w:style w:type="paragraph" w:customStyle="1" w:styleId="11">
    <w:name w:val="Char"/>
    <w:basedOn w:val="1"/>
    <w:qFormat/>
    <w:uiPriority w:val="0"/>
    <w:rPr>
      <w:rFonts w:ascii="Times New Roman" w:hAnsi="Times New Roman" w:cs="Times New Roman"/>
      <w:szCs w:val="24"/>
    </w:rPr>
  </w:style>
  <w:style w:type="character" w:customStyle="1" w:styleId="12">
    <w:name w:val="页码1"/>
    <w:qFormat/>
    <w:uiPriority w:val="0"/>
  </w:style>
  <w:style w:type="character" w:customStyle="1" w:styleId="13">
    <w:name w:val="页脚 Char"/>
    <w:link w:val="2"/>
    <w:semiHidden/>
    <w:qFormat/>
    <w:uiPriority w:val="0"/>
    <w:rPr>
      <w:rFonts w:ascii="Times New Roman" w:hAnsi="Times New Roman" w:eastAsia="宋体" w:cs="Times New Roman"/>
      <w:sz w:val="18"/>
      <w:szCs w:val="18"/>
    </w:rPr>
  </w:style>
  <w:style w:type="character" w:customStyle="1" w:styleId="14">
    <w:name w:val="页眉 Char"/>
    <w:link w:val="3"/>
    <w:semiHidden/>
    <w:qFormat/>
    <w:uiPriority w:val="0"/>
    <w:rPr>
      <w:rFonts w:ascii="Times New Roman" w:hAnsi="Times New Roman" w:eastAsia="宋体" w:cs="Times New Roman"/>
      <w:sz w:val="18"/>
      <w:szCs w:val="18"/>
    </w:rPr>
  </w:style>
  <w:style w:type="paragraph" w:customStyle="1" w:styleId="15">
    <w:name w:val="正文1"/>
    <w:basedOn w:val="16"/>
    <w:qFormat/>
    <w:uiPriority w:val="7"/>
    <w:pPr>
      <w:jc w:val="both"/>
    </w:pPr>
    <w:rPr>
      <w:rFonts w:ascii="Calibri" w:hAnsi="Calibri" w:eastAsia="Calibri"/>
      <w:sz w:val="21"/>
    </w:rPr>
  </w:style>
  <w:style w:type="paragraph" w:customStyle="1" w:styleId="16">
    <w:name w:val="[Normal]"/>
    <w:qFormat/>
    <w:uiPriority w:val="6"/>
    <w:rPr>
      <w:rFonts w:ascii="宋体" w:hAnsi="宋体" w:eastAsia="宋体" w:cs="Times New Roman"/>
      <w:sz w:val="24"/>
      <w:szCs w:val="22"/>
      <w:lang w:val="en-US" w:eastAsia="en-US" w:bidi="ar-SA"/>
    </w:rPr>
  </w:style>
  <w:style w:type="paragraph" w:customStyle="1" w:styleId="17">
    <w:name w:val="页脚1"/>
    <w:basedOn w:val="15"/>
    <w:qFormat/>
    <w:uiPriority w:val="6"/>
    <w:pPr>
      <w:tabs>
        <w:tab w:val="center" w:pos="4153"/>
        <w:tab w:val="right" w:pos="8306"/>
      </w:tabs>
      <w:jc w:val="left"/>
    </w:pPr>
    <w:rPr>
      <w:sz w:val="18"/>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numbering.xml" Type="http://schemas.openxmlformats.org/officeDocument/2006/relationships/numbering"/><Relationship Id="rId6"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Microsoft</Company>
  <Pages>32</Pages>
  <Words>2601</Words>
  <Characters>14831</Characters>
  <Lines>123</Lines>
  <Paragraphs>34</Paragraphs>
  <TotalTime>61</TotalTime>
  <ScaleCrop>false</ScaleCrop>
  <LinksUpToDate>false</LinksUpToDate>
  <CharactersWithSpaces>17398</CharactersWithSpaces>
  <Application>WPS Office_12.1.0.15374_F1E327BC-269C-435d-A152-05C5408002CA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2020-02-22T15:45:00Z</dcterms:created>
  <dc:creator>guest</dc:creator>
  <cp:lastModifiedBy>～青春飞翔的泡沫～</cp:lastModifiedBy>
  <cp:lastPrinted>2020-01-10T23:53:00Z</cp:lastPrinted>
  <dcterms:modified xsi:type="dcterms:W3CDTF">2023-09-21T02:35:28Z</dcterms:modified>
  <cp:revision>9</cp:revision>
  <dc:title>o</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2052-12.1.0.15374</vt:lpwstr>
  </property>
  <property fmtid="{D5CDD505-2E9C-101B-9397-08002B2CF9AE}" pid="3" name="ICV">
    <vt:lpwstr>251AB339D4774DAF8D43313AEC373BA2_13</vt:lpwstr>
  </property>
</Properties>
</file>