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Times New Roman" w:hAnsi="Times New Roman" w:eastAsia="方正小标宋_GBK" w:cs="Times New Roman"/>
          <w:color w:val="auto"/>
          <w:sz w:val="44"/>
          <w:szCs w:val="44"/>
          <w:highlight w:val="none"/>
          <w:lang w:eastAsia="zh-CN"/>
        </w:rPr>
        <w:t>隆尧县人大</w:t>
      </w: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隆尧县人大</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30" w:firstLineChars="196"/>
        <w:rPr>
          <w:rFonts w:ascii="仿宋" w:hAnsi="仿宋" w:eastAsia="仿宋" w:cs="Times New Roman"/>
          <w:b/>
          <w:color w:val="auto"/>
          <w:sz w:val="32"/>
          <w:szCs w:val="32"/>
          <w:highlight w:val="none"/>
        </w:rPr>
      </w:pPr>
      <w:r>
        <w:rPr>
          <w:rFonts w:hint="eastAsia" w:ascii="仿宋" w:hAnsi="仿宋" w:eastAsia="仿宋" w:cs="Times New Roman"/>
          <w:b/>
          <w:color w:val="auto"/>
          <w:sz w:val="32"/>
          <w:szCs w:val="32"/>
          <w:highlight w:val="none"/>
        </w:rPr>
        <w:t>部门</w:t>
      </w:r>
      <w:r>
        <w:rPr>
          <w:rFonts w:ascii="仿宋" w:hAnsi="仿宋" w:eastAsia="仿宋" w:cs="Times New Roman"/>
          <w:b/>
          <w:color w:val="auto"/>
          <w:sz w:val="32"/>
          <w:szCs w:val="32"/>
          <w:highlight w:val="none"/>
        </w:rPr>
        <w:t>职责：</w:t>
      </w:r>
    </w:p>
    <w:p>
      <w:pPr>
        <w:ind w:firstLine="640" w:firstLineChars="200"/>
        <w:rPr>
          <w:rFonts w:hint="eastAsia" w:ascii="仿宋" w:hAnsi="仿宋" w:eastAsia="仿宋" w:cs="仿宋"/>
          <w:b w:val="0"/>
          <w:bCs/>
          <w:color w:val="auto"/>
          <w:sz w:val="32"/>
          <w:szCs w:val="32"/>
          <w:highlight w:val="none"/>
        </w:rPr>
      </w:pPr>
      <w:r>
        <w:rPr>
          <w:rFonts w:hint="eastAsia" w:ascii="仿宋" w:hAnsi="仿宋" w:eastAsia="仿宋" w:cs="仿宋"/>
          <w:b w:val="0"/>
          <w:bCs/>
          <w:color w:val="auto"/>
          <w:sz w:val="32"/>
          <w:szCs w:val="32"/>
          <w:highlight w:val="none"/>
        </w:rPr>
        <w:t>人大监督：进行执法调研和执法检查；围绕政府工作报告和“一府</w:t>
      </w:r>
      <w:r>
        <w:rPr>
          <w:rFonts w:hint="eastAsia" w:ascii="仿宋" w:hAnsi="仿宋" w:eastAsia="仿宋" w:cs="仿宋"/>
          <w:b w:val="0"/>
          <w:bCs/>
          <w:color w:val="auto"/>
          <w:sz w:val="32"/>
          <w:szCs w:val="32"/>
          <w:highlight w:val="none"/>
          <w:lang w:eastAsia="zh-CN"/>
        </w:rPr>
        <w:t>一委</w:t>
      </w:r>
      <w:r>
        <w:rPr>
          <w:rFonts w:hint="eastAsia" w:ascii="仿宋" w:hAnsi="仿宋" w:eastAsia="仿宋" w:cs="仿宋"/>
          <w:b w:val="0"/>
          <w:bCs/>
          <w:color w:val="auto"/>
          <w:sz w:val="32"/>
          <w:szCs w:val="32"/>
          <w:highlight w:val="none"/>
        </w:rPr>
        <w:t>两院”专项工作报告涉及内容开展调查研究，开展专题询问和工作评议；对“一府</w:t>
      </w:r>
      <w:r>
        <w:rPr>
          <w:rFonts w:hint="eastAsia" w:ascii="仿宋" w:hAnsi="仿宋" w:eastAsia="仿宋" w:cs="仿宋"/>
          <w:b w:val="0"/>
          <w:bCs/>
          <w:color w:val="auto"/>
          <w:sz w:val="32"/>
          <w:szCs w:val="32"/>
          <w:highlight w:val="none"/>
          <w:lang w:eastAsia="zh-CN"/>
        </w:rPr>
        <w:t>一委</w:t>
      </w:r>
      <w:r>
        <w:rPr>
          <w:rFonts w:hint="eastAsia" w:ascii="仿宋" w:hAnsi="仿宋" w:eastAsia="仿宋" w:cs="仿宋"/>
          <w:b w:val="0"/>
          <w:bCs/>
          <w:color w:val="auto"/>
          <w:sz w:val="32"/>
          <w:szCs w:val="32"/>
          <w:highlight w:val="none"/>
        </w:rPr>
        <w:t>两院”进行监督；组织开展专题询问和工作评议。</w:t>
      </w:r>
    </w:p>
    <w:p>
      <w:pPr>
        <w:ind w:firstLine="640" w:firstLineChars="200"/>
        <w:rPr>
          <w:rFonts w:hint="eastAsia" w:ascii="仿宋" w:hAnsi="仿宋" w:eastAsia="仿宋" w:cs="仿宋"/>
          <w:b w:val="0"/>
          <w:bCs/>
          <w:color w:val="auto"/>
          <w:sz w:val="32"/>
          <w:szCs w:val="32"/>
          <w:highlight w:val="none"/>
        </w:rPr>
      </w:pPr>
      <w:r>
        <w:rPr>
          <w:rFonts w:hint="eastAsia" w:ascii="仿宋" w:hAnsi="仿宋" w:eastAsia="仿宋" w:cs="仿宋"/>
          <w:b w:val="0"/>
          <w:bCs/>
          <w:color w:val="auto"/>
          <w:sz w:val="32"/>
          <w:szCs w:val="32"/>
          <w:highlight w:val="none"/>
        </w:rPr>
        <w:t>人大会议：县人民代表大会和常务委员会各种会议的筹备、会务工作，负责常委会文件起草、审核把关，常委会会议、主任会议及常委会党组会议决定事项、工作部署、重要文件及领导批示的传达和督办。</w:t>
      </w:r>
    </w:p>
    <w:p>
      <w:pPr>
        <w:ind w:firstLine="640" w:firstLineChars="200"/>
        <w:rPr>
          <w:rFonts w:hint="eastAsia" w:ascii="仿宋" w:hAnsi="仿宋" w:eastAsia="仿宋" w:cs="仿宋"/>
          <w:b w:val="0"/>
          <w:bCs/>
          <w:color w:val="auto"/>
          <w:sz w:val="32"/>
          <w:szCs w:val="32"/>
          <w:highlight w:val="none"/>
        </w:rPr>
      </w:pPr>
      <w:r>
        <w:rPr>
          <w:rFonts w:hint="eastAsia" w:ascii="仿宋" w:hAnsi="仿宋" w:eastAsia="仿宋" w:cs="仿宋"/>
          <w:b w:val="0"/>
          <w:bCs/>
          <w:color w:val="auto"/>
          <w:sz w:val="32"/>
          <w:szCs w:val="32"/>
          <w:highlight w:val="none"/>
        </w:rPr>
        <w:t>选举和任免：检查监督代表法、选举法及其实施办法的贯彻实施；承担人大换届选举及人事任免服务工作；负责对县政府组成人员和县级人民法院、县人民检察院主要负责人的目标责任书、述职报告的督办工作。</w:t>
      </w:r>
    </w:p>
    <w:p>
      <w:pPr>
        <w:ind w:firstLine="640" w:firstLineChars="200"/>
        <w:rPr>
          <w:rFonts w:hint="eastAsia" w:ascii="仿宋" w:hAnsi="仿宋" w:eastAsia="仿宋" w:cs="仿宋"/>
          <w:b w:val="0"/>
          <w:bCs/>
          <w:color w:val="auto"/>
          <w:sz w:val="32"/>
          <w:szCs w:val="32"/>
          <w:highlight w:val="none"/>
        </w:rPr>
      </w:pPr>
      <w:r>
        <w:rPr>
          <w:rFonts w:hint="eastAsia" w:ascii="仿宋" w:hAnsi="仿宋" w:eastAsia="仿宋" w:cs="仿宋"/>
          <w:b w:val="0"/>
          <w:bCs/>
          <w:color w:val="auto"/>
          <w:sz w:val="32"/>
          <w:szCs w:val="32"/>
          <w:highlight w:val="none"/>
        </w:rPr>
        <w:t>人大事务管理：新闻宣传和机关信息化建设与维护；人代会及常委会会议表决系统、机关基础设施建设与维护；县人大机关日常管理事务；信访工作。</w:t>
      </w:r>
    </w:p>
    <w:p>
      <w:pPr>
        <w:ind w:firstLine="643" w:firstLineChars="200"/>
        <w:rPr>
          <w:rFonts w:ascii="仿宋" w:hAnsi="仿宋" w:eastAsia="仿宋" w:cs="Times New Roman"/>
          <w:b/>
          <w:color w:val="auto"/>
          <w:sz w:val="32"/>
          <w:szCs w:val="32"/>
          <w:highlight w:val="none"/>
        </w:rPr>
      </w:pPr>
      <w:r>
        <w:rPr>
          <w:rFonts w:hint="eastAsia" w:ascii="仿宋" w:hAnsi="仿宋" w:eastAsia="仿宋" w:cs="Times New Roman"/>
          <w:b/>
          <w:color w:val="auto"/>
          <w:sz w:val="32"/>
          <w:szCs w:val="32"/>
          <w:highlight w:val="none"/>
        </w:rPr>
        <w:t>机构设置：</w:t>
      </w:r>
    </w:p>
    <w:p>
      <w:pPr>
        <w:jc w:val="center"/>
        <w:outlineLvl w:val="0"/>
        <w:rPr>
          <w:rFonts w:ascii="Times New Roman" w:hAnsi="Times New Roman" w:eastAsia="方正小标宋_GBK" w:cs="Times New Roman"/>
          <w:color w:val="auto"/>
          <w:sz w:val="32"/>
          <w:szCs w:val="24"/>
          <w:highlight w:val="none"/>
        </w:rPr>
      </w:pPr>
      <w:r>
        <w:rPr>
          <w:rFonts w:ascii="Times New Roman" w:hAnsi="Times New Roman" w:eastAsia="方正小标宋_GBK" w:cs="Times New Roman"/>
          <w:color w:val="auto"/>
          <w:sz w:val="32"/>
          <w:szCs w:val="24"/>
          <w:highlight w:val="none"/>
        </w:rPr>
        <w:t>部门</w:t>
      </w:r>
      <w:r>
        <w:rPr>
          <w:rFonts w:hint="eastAsia" w:ascii="Times New Roman" w:hAnsi="Times New Roman" w:eastAsia="方正小标宋_GBK" w:cs="Times New Roman"/>
          <w:color w:val="auto"/>
          <w:sz w:val="32"/>
          <w:szCs w:val="24"/>
          <w:highlight w:val="none"/>
        </w:rPr>
        <w:t>机构设置情况</w:t>
      </w:r>
    </w:p>
    <w:tbl>
      <w:tblPr>
        <w:tblStyle w:val="7"/>
        <w:tblW w:w="9220" w:type="dxa"/>
        <w:tblInd w:w="8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96"/>
        <w:gridCol w:w="2510"/>
        <w:gridCol w:w="1754"/>
        <w:gridCol w:w="19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4" w:hRule="atLeast"/>
        </w:trPr>
        <w:tc>
          <w:tcPr>
            <w:tcW w:w="2996"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Times New Roman" w:hAnsi="Times New Roman" w:eastAsia="方正书宋_GBK"/>
                <w:bCs/>
                <w:color w:val="auto"/>
                <w:sz w:val="24"/>
                <w:szCs w:val="24"/>
                <w:highlight w:val="none"/>
              </w:rPr>
              <w:t>单位名称</w:t>
            </w:r>
          </w:p>
        </w:tc>
        <w:tc>
          <w:tcPr>
            <w:tcW w:w="2510"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Times New Roman" w:hAnsi="Times New Roman" w:eastAsia="方正书宋_GBK"/>
                <w:bCs/>
                <w:color w:val="auto"/>
                <w:sz w:val="24"/>
                <w:szCs w:val="24"/>
                <w:highlight w:val="none"/>
              </w:rPr>
              <w:t>单位性质</w:t>
            </w:r>
          </w:p>
        </w:tc>
        <w:tc>
          <w:tcPr>
            <w:tcW w:w="1754"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Times New Roman" w:hAnsi="Times New Roman" w:eastAsia="方正书宋_GBK"/>
                <w:bCs/>
                <w:color w:val="auto"/>
                <w:sz w:val="24"/>
                <w:szCs w:val="24"/>
                <w:highlight w:val="none"/>
              </w:rPr>
              <w:t>单位规格</w:t>
            </w:r>
          </w:p>
        </w:tc>
        <w:tc>
          <w:tcPr>
            <w:tcW w:w="1960"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Times New Roman" w:hAnsi="Times New Roman" w:eastAsia="方正书宋_GBK"/>
                <w:bCs/>
                <w:color w:val="auto"/>
                <w:sz w:val="24"/>
                <w:szCs w:val="24"/>
                <w:highlight w:val="none"/>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2" w:hRule="atLeast"/>
        </w:trPr>
        <w:tc>
          <w:tcPr>
            <w:tcW w:w="2996"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hint="eastAsia" w:ascii="仿宋_GB2312" w:hAnsi="仿宋_GB2312" w:eastAsia="仿宋_GB2312"/>
                <w:bCs/>
                <w:color w:val="auto"/>
                <w:kern w:val="0"/>
                <w:sz w:val="24"/>
                <w:szCs w:val="24"/>
                <w:highlight w:val="none"/>
              </w:rPr>
              <w:t>隆尧县人大（机关）</w:t>
            </w:r>
          </w:p>
        </w:tc>
        <w:tc>
          <w:tcPr>
            <w:tcW w:w="2510"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hint="eastAsia" w:ascii="仿宋_GB2312" w:hAnsi="仿宋_GB2312" w:eastAsia="仿宋_GB2312"/>
                <w:bCs/>
                <w:color w:val="auto"/>
                <w:kern w:val="0"/>
                <w:sz w:val="24"/>
                <w:szCs w:val="24"/>
                <w:highlight w:val="none"/>
              </w:rPr>
              <w:t>行政</w:t>
            </w:r>
          </w:p>
        </w:tc>
        <w:tc>
          <w:tcPr>
            <w:tcW w:w="1754"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hint="eastAsia" w:ascii="仿宋_GB2312" w:hAnsi="仿宋_GB2312" w:eastAsia="仿宋_GB2312"/>
                <w:bCs/>
                <w:color w:val="auto"/>
                <w:kern w:val="0"/>
                <w:sz w:val="24"/>
                <w:szCs w:val="24"/>
                <w:highlight w:val="none"/>
              </w:rPr>
              <w:t>正处级</w:t>
            </w:r>
          </w:p>
        </w:tc>
        <w:tc>
          <w:tcPr>
            <w:tcW w:w="1960"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hint="eastAsia" w:ascii="仿宋_GB2312" w:hAnsi="仿宋_GB2312" w:eastAsia="仿宋_GB2312"/>
                <w:bCs/>
                <w:color w:val="auto"/>
                <w:kern w:val="0"/>
                <w:sz w:val="24"/>
                <w:szCs w:val="24"/>
                <w:highlight w:val="none"/>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2" w:hRule="atLeast"/>
        </w:trPr>
        <w:tc>
          <w:tcPr>
            <w:tcW w:w="2996"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仿宋_GB2312" w:hAnsi="仿宋_GB2312" w:eastAsia="仿宋_GB2312"/>
                <w:bCs/>
                <w:color w:val="auto"/>
                <w:kern w:val="0"/>
                <w:sz w:val="24"/>
                <w:szCs w:val="24"/>
                <w:highlight w:val="none"/>
              </w:rPr>
              <w:t>…</w:t>
            </w:r>
          </w:p>
        </w:tc>
        <w:tc>
          <w:tcPr>
            <w:tcW w:w="2510"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仿宋_GB2312" w:hAnsi="仿宋_GB2312" w:eastAsia="仿宋_GB2312"/>
                <w:bCs/>
                <w:color w:val="auto"/>
                <w:kern w:val="0"/>
                <w:sz w:val="24"/>
                <w:szCs w:val="24"/>
                <w:highlight w:val="none"/>
              </w:rPr>
              <w:t>…</w:t>
            </w:r>
          </w:p>
        </w:tc>
        <w:tc>
          <w:tcPr>
            <w:tcW w:w="1754"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仿宋_GB2312" w:hAnsi="仿宋_GB2312" w:eastAsia="仿宋_GB2312"/>
                <w:bCs/>
                <w:color w:val="auto"/>
                <w:kern w:val="0"/>
                <w:sz w:val="24"/>
                <w:szCs w:val="24"/>
                <w:highlight w:val="none"/>
              </w:rPr>
              <w:t>…</w:t>
            </w:r>
          </w:p>
        </w:tc>
        <w:tc>
          <w:tcPr>
            <w:tcW w:w="1960"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仿宋_GB2312" w:hAnsi="仿宋_GB2312" w:eastAsia="仿宋_GB2312"/>
                <w:bCs/>
                <w:color w:val="auto"/>
                <w:kern w:val="0"/>
                <w:sz w:val="24"/>
                <w:szCs w:val="24"/>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2" w:hRule="atLeast"/>
        </w:trPr>
        <w:tc>
          <w:tcPr>
            <w:tcW w:w="2996"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仿宋_GB2312" w:hAnsi="仿宋_GB2312" w:eastAsia="仿宋_GB2312"/>
                <w:bCs/>
                <w:color w:val="auto"/>
                <w:kern w:val="0"/>
                <w:sz w:val="24"/>
                <w:szCs w:val="24"/>
                <w:highlight w:val="none"/>
              </w:rPr>
              <w:t>…</w:t>
            </w:r>
          </w:p>
        </w:tc>
        <w:tc>
          <w:tcPr>
            <w:tcW w:w="2510"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仿宋_GB2312" w:hAnsi="仿宋_GB2312" w:eastAsia="仿宋_GB2312"/>
                <w:bCs/>
                <w:color w:val="auto"/>
                <w:kern w:val="0"/>
                <w:sz w:val="24"/>
                <w:szCs w:val="24"/>
                <w:highlight w:val="none"/>
              </w:rPr>
              <w:t>…</w:t>
            </w:r>
          </w:p>
        </w:tc>
        <w:tc>
          <w:tcPr>
            <w:tcW w:w="1754"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仿宋_GB2312" w:hAnsi="仿宋_GB2312" w:eastAsia="仿宋_GB2312"/>
                <w:bCs/>
                <w:color w:val="auto"/>
                <w:kern w:val="0"/>
                <w:sz w:val="24"/>
                <w:szCs w:val="24"/>
                <w:highlight w:val="none"/>
              </w:rPr>
              <w:t>…</w:t>
            </w:r>
          </w:p>
        </w:tc>
        <w:tc>
          <w:tcPr>
            <w:tcW w:w="1960" w:type="dxa"/>
            <w:noWrap w:val="0"/>
            <w:vAlign w:val="top"/>
          </w:tcPr>
          <w:p>
            <w:pPr>
              <w:autoSpaceDE w:val="0"/>
              <w:autoSpaceDN w:val="0"/>
              <w:adjustRightInd w:val="0"/>
              <w:jc w:val="left"/>
              <w:rPr>
                <w:rFonts w:hint="eastAsia" w:ascii="仿宋_GB2312" w:hAnsi="仿宋_GB2312" w:eastAsia="仿宋_GB2312"/>
                <w:bCs/>
                <w:color w:val="auto"/>
                <w:kern w:val="0"/>
                <w:sz w:val="24"/>
                <w:szCs w:val="24"/>
                <w:highlight w:val="none"/>
              </w:rPr>
            </w:pPr>
            <w:r>
              <w:rPr>
                <w:rFonts w:ascii="仿宋_GB2312" w:hAnsi="仿宋_GB2312" w:eastAsia="仿宋_GB2312"/>
                <w:bCs/>
                <w:color w:val="auto"/>
                <w:kern w:val="0"/>
                <w:sz w:val="24"/>
                <w:szCs w:val="24"/>
                <w:highlight w:val="none"/>
              </w:rPr>
              <w:t>…</w:t>
            </w:r>
          </w:p>
        </w:tc>
      </w:tr>
    </w:tbl>
    <w:p>
      <w:pPr>
        <w:rPr>
          <w:color w:val="auto"/>
          <w:highlight w:val="none"/>
        </w:rPr>
      </w:pPr>
    </w:p>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color w:val="auto"/>
          <w:sz w:val="32"/>
          <w:szCs w:val="32"/>
          <w:highlight w:val="none"/>
        </w:rPr>
      </w:pPr>
      <w:r>
        <w:rPr>
          <w:rFonts w:ascii="Times New Roman" w:hAnsi="Times New Roman" w:eastAsia="仿宋" w:cs="Times New Roman"/>
          <w:color w:val="auto"/>
          <w:sz w:val="32"/>
          <w:szCs w:val="32"/>
          <w:highlight w:val="none"/>
        </w:rPr>
        <w:t>按照预算管理有关规定，目前</w:t>
      </w:r>
      <w:r>
        <w:rPr>
          <w:rFonts w:hint="eastAsia" w:ascii="Times New Roman" w:hAnsi="Times New Roman" w:eastAsia="仿宋" w:cs="Times New Roman"/>
          <w:color w:val="auto"/>
          <w:sz w:val="32"/>
          <w:szCs w:val="32"/>
          <w:highlight w:val="none"/>
          <w:lang w:eastAsia="zh-CN"/>
        </w:rPr>
        <w:t>我单位</w:t>
      </w:r>
      <w:r>
        <w:rPr>
          <w:rFonts w:ascii="Times New Roman" w:hAnsi="Times New Roman" w:eastAsia="仿宋" w:cs="Times New Roman"/>
          <w:color w:val="auto"/>
          <w:sz w:val="32"/>
          <w:szCs w:val="32"/>
          <w:highlight w:val="none"/>
        </w:rPr>
        <w:t>预算的编制实行综合预算</w:t>
      </w:r>
      <w:r>
        <w:rPr>
          <w:rFonts w:hint="eastAsia" w:ascii="Times New Roman" w:hAnsi="Times New Roman" w:eastAsia="仿宋" w:cs="Times New Roman"/>
          <w:color w:val="auto"/>
          <w:sz w:val="32"/>
          <w:szCs w:val="32"/>
          <w:highlight w:val="none"/>
        </w:rPr>
        <w:t>管理</w:t>
      </w:r>
      <w:r>
        <w:rPr>
          <w:rFonts w:ascii="Times New Roman" w:hAnsi="Times New Roman" w:eastAsia="仿宋" w:cs="Times New Roman"/>
          <w:color w:val="auto"/>
          <w:sz w:val="32"/>
          <w:szCs w:val="32"/>
          <w:highlight w:val="none"/>
        </w:rPr>
        <w:t>，即全部收入和支出都反映的预算中。</w:t>
      </w:r>
      <w:r>
        <w:rPr>
          <w:rFonts w:hint="eastAsia" w:ascii="Times New Roman" w:hAnsi="Times New Roman" w:eastAsia="仿宋" w:cs="Times New Roman"/>
          <w:color w:val="auto"/>
          <w:sz w:val="32"/>
          <w:szCs w:val="32"/>
          <w:highlight w:val="none"/>
          <w:lang w:eastAsia="zh-CN"/>
        </w:rPr>
        <w:t>隆尧县人大机关的</w:t>
      </w:r>
      <w:r>
        <w:rPr>
          <w:rFonts w:ascii="Times New Roman" w:hAnsi="Times New Roman" w:eastAsia="仿宋" w:cs="Times New Roman"/>
          <w:color w:val="auto"/>
          <w:sz w:val="32"/>
          <w:szCs w:val="32"/>
          <w:highlight w:val="none"/>
        </w:rPr>
        <w:t>收支包含在部门预算中。</w:t>
      </w:r>
    </w:p>
    <w:p>
      <w:pPr>
        <w:ind w:firstLine="640"/>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1、</w:t>
      </w:r>
      <w:r>
        <w:rPr>
          <w:rFonts w:ascii="Times New Roman" w:hAnsi="Times New Roman" w:eastAsia="仿宋" w:cs="Times New Roman"/>
          <w:color w:val="auto"/>
          <w:sz w:val="32"/>
          <w:szCs w:val="32"/>
          <w:highlight w:val="none"/>
        </w:rPr>
        <w:t>收入说明</w:t>
      </w:r>
    </w:p>
    <w:p>
      <w:pPr>
        <w:ind w:firstLine="640"/>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反映本部门当年全部收入。20</w:t>
      </w:r>
      <w:r>
        <w:rPr>
          <w:rFonts w:hint="eastAsia" w:ascii="Times New Roman" w:hAnsi="Times New Roman" w:eastAsia="仿宋" w:cs="Times New Roman"/>
          <w:color w:val="auto"/>
          <w:sz w:val="32"/>
          <w:szCs w:val="32"/>
          <w:highlight w:val="none"/>
          <w:lang w:val="en-US" w:eastAsia="zh-CN"/>
        </w:rPr>
        <w:t>20</w:t>
      </w:r>
      <w:r>
        <w:rPr>
          <w:rFonts w:hint="eastAsia" w:ascii="Times New Roman" w:hAnsi="Times New Roman" w:eastAsia="仿宋" w:cs="Times New Roman"/>
          <w:color w:val="auto"/>
          <w:sz w:val="32"/>
          <w:szCs w:val="32"/>
          <w:highlight w:val="none"/>
        </w:rPr>
        <w:t>年预算收入</w:t>
      </w:r>
      <w:r>
        <w:rPr>
          <w:rFonts w:hint="eastAsia" w:ascii="Times New Roman" w:hAnsi="Times New Roman" w:eastAsia="仿宋" w:cs="Times New Roman"/>
          <w:color w:val="auto"/>
          <w:sz w:val="32"/>
          <w:szCs w:val="32"/>
          <w:highlight w:val="none"/>
          <w:lang w:val="en-US" w:eastAsia="zh-CN"/>
        </w:rPr>
        <w:t>324.90</w:t>
      </w:r>
      <w:r>
        <w:rPr>
          <w:rFonts w:hint="eastAsia" w:ascii="Times New Roman" w:hAnsi="Times New Roman" w:eastAsia="仿宋" w:cs="Times New Roman"/>
          <w:color w:val="auto"/>
          <w:sz w:val="32"/>
          <w:szCs w:val="32"/>
          <w:highlight w:val="none"/>
        </w:rPr>
        <w:t>万元，其中：一般公共预算收入</w:t>
      </w:r>
      <w:r>
        <w:rPr>
          <w:rFonts w:hint="eastAsia" w:ascii="Times New Roman" w:hAnsi="Times New Roman" w:eastAsia="仿宋" w:cs="Times New Roman"/>
          <w:color w:val="auto"/>
          <w:sz w:val="32"/>
          <w:szCs w:val="32"/>
          <w:highlight w:val="none"/>
          <w:lang w:val="en-US" w:eastAsia="zh-CN"/>
        </w:rPr>
        <w:t>324.90</w:t>
      </w:r>
      <w:r>
        <w:rPr>
          <w:rFonts w:hint="eastAsia" w:ascii="Times New Roman" w:hAnsi="Times New Roman" w:eastAsia="仿宋" w:cs="Times New Roman"/>
          <w:color w:val="auto"/>
          <w:sz w:val="32"/>
          <w:szCs w:val="32"/>
          <w:highlight w:val="none"/>
        </w:rPr>
        <w:t>万元，基金预算收入0万元，财政专户核拨收入0万元，其他来源收入0万元。</w:t>
      </w:r>
    </w:p>
    <w:p>
      <w:pPr>
        <w:ind w:firstLine="640"/>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2、</w:t>
      </w:r>
      <w:r>
        <w:rPr>
          <w:rFonts w:ascii="Times New Roman" w:hAnsi="Times New Roman" w:eastAsia="仿宋" w:cs="Times New Roman"/>
          <w:color w:val="auto"/>
          <w:sz w:val="32"/>
          <w:szCs w:val="32"/>
          <w:highlight w:val="none"/>
        </w:rPr>
        <w:t>支出说明</w:t>
      </w:r>
    </w:p>
    <w:p>
      <w:pPr>
        <w:ind w:firstLine="640"/>
        <w:rPr>
          <w:rFonts w:hint="eastAsia"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收支预算总表支出栏、基本支出表、项目支出表按经济分类和支出功能分类科目编制，反映</w:t>
      </w:r>
      <w:r>
        <w:rPr>
          <w:rFonts w:hint="eastAsia" w:ascii="Times New Roman" w:hAnsi="Times New Roman" w:eastAsia="仿宋" w:cs="Times New Roman"/>
          <w:color w:val="auto"/>
          <w:sz w:val="32"/>
          <w:szCs w:val="32"/>
          <w:highlight w:val="none"/>
          <w:lang w:eastAsia="zh-CN"/>
        </w:rPr>
        <w:t>隆尧县人大</w:t>
      </w:r>
      <w:r>
        <w:rPr>
          <w:rFonts w:hint="eastAsia" w:ascii="Times New Roman" w:hAnsi="Times New Roman" w:eastAsia="仿宋" w:cs="Times New Roman"/>
          <w:color w:val="auto"/>
          <w:sz w:val="32"/>
          <w:szCs w:val="32"/>
          <w:highlight w:val="none"/>
        </w:rPr>
        <w:t>年度部门预算中支出预算的总体情况。20</w:t>
      </w:r>
      <w:r>
        <w:rPr>
          <w:rFonts w:hint="eastAsia" w:ascii="Times New Roman" w:hAnsi="Times New Roman" w:eastAsia="仿宋" w:cs="Times New Roman"/>
          <w:color w:val="auto"/>
          <w:sz w:val="32"/>
          <w:szCs w:val="32"/>
          <w:highlight w:val="none"/>
          <w:lang w:val="en-US" w:eastAsia="zh-CN"/>
        </w:rPr>
        <w:t>20</w:t>
      </w:r>
      <w:r>
        <w:rPr>
          <w:rFonts w:hint="eastAsia" w:ascii="Times New Roman" w:hAnsi="Times New Roman" w:eastAsia="仿宋" w:cs="Times New Roman"/>
          <w:color w:val="auto"/>
          <w:sz w:val="32"/>
          <w:szCs w:val="32"/>
          <w:highlight w:val="none"/>
        </w:rPr>
        <w:t>年部门支出预算为</w:t>
      </w:r>
      <w:r>
        <w:rPr>
          <w:rFonts w:hint="eastAsia" w:ascii="Times New Roman" w:hAnsi="Times New Roman" w:eastAsia="仿宋" w:cs="Times New Roman"/>
          <w:color w:val="auto"/>
          <w:sz w:val="32"/>
          <w:szCs w:val="32"/>
          <w:highlight w:val="none"/>
          <w:lang w:val="en-US" w:eastAsia="zh-CN"/>
        </w:rPr>
        <w:t>324.90</w:t>
      </w:r>
      <w:r>
        <w:rPr>
          <w:rFonts w:hint="eastAsia" w:ascii="Times New Roman" w:hAnsi="Times New Roman" w:eastAsia="仿宋" w:cs="Times New Roman"/>
          <w:color w:val="auto"/>
          <w:sz w:val="32"/>
          <w:szCs w:val="32"/>
          <w:highlight w:val="none"/>
        </w:rPr>
        <w:t>万元，其中基本支出</w:t>
      </w:r>
      <w:r>
        <w:rPr>
          <w:rFonts w:hint="eastAsia" w:ascii="Times New Roman" w:hAnsi="Times New Roman" w:eastAsia="仿宋" w:cs="Times New Roman"/>
          <w:color w:val="auto"/>
          <w:sz w:val="32"/>
          <w:szCs w:val="32"/>
          <w:highlight w:val="none"/>
          <w:lang w:val="en-US" w:eastAsia="zh-CN"/>
        </w:rPr>
        <w:t>247.99</w:t>
      </w:r>
      <w:r>
        <w:rPr>
          <w:rFonts w:hint="eastAsia" w:ascii="Times New Roman" w:hAnsi="Times New Roman" w:eastAsia="仿宋" w:cs="Times New Roman"/>
          <w:color w:val="auto"/>
          <w:sz w:val="32"/>
          <w:szCs w:val="32"/>
          <w:highlight w:val="none"/>
        </w:rPr>
        <w:t>万元，包括人员经费和日常公用经费；项目支出</w:t>
      </w:r>
      <w:r>
        <w:rPr>
          <w:rFonts w:hint="eastAsia" w:ascii="Times New Roman" w:hAnsi="Times New Roman" w:eastAsia="仿宋" w:cs="Times New Roman"/>
          <w:color w:val="auto"/>
          <w:sz w:val="32"/>
          <w:szCs w:val="32"/>
          <w:highlight w:val="none"/>
          <w:lang w:val="en-US" w:eastAsia="zh-CN"/>
        </w:rPr>
        <w:t>76.90</w:t>
      </w:r>
      <w:r>
        <w:rPr>
          <w:rFonts w:hint="eastAsia" w:ascii="Times New Roman" w:hAnsi="Times New Roman" w:eastAsia="仿宋" w:cs="Times New Roman"/>
          <w:color w:val="auto"/>
          <w:sz w:val="32"/>
          <w:szCs w:val="32"/>
          <w:highlight w:val="none"/>
        </w:rPr>
        <w:t>万元，主要为人大会议支出</w:t>
      </w:r>
      <w:r>
        <w:rPr>
          <w:rFonts w:hint="eastAsia" w:ascii="Times New Roman" w:hAnsi="Times New Roman" w:eastAsia="仿宋" w:cs="Times New Roman"/>
          <w:color w:val="auto"/>
          <w:sz w:val="32"/>
          <w:szCs w:val="32"/>
          <w:highlight w:val="none"/>
          <w:lang w:val="en-US" w:eastAsia="zh-CN"/>
        </w:rPr>
        <w:t>21.51</w:t>
      </w:r>
      <w:r>
        <w:rPr>
          <w:rFonts w:hint="eastAsia" w:ascii="Times New Roman" w:hAnsi="Times New Roman" w:eastAsia="仿宋" w:cs="Times New Roman"/>
          <w:color w:val="auto"/>
          <w:sz w:val="32"/>
          <w:szCs w:val="32"/>
          <w:highlight w:val="none"/>
        </w:rPr>
        <w:t>万元，人大监督支出</w:t>
      </w:r>
      <w:r>
        <w:rPr>
          <w:rFonts w:hint="eastAsia" w:ascii="Times New Roman" w:hAnsi="Times New Roman" w:eastAsia="仿宋" w:cs="Times New Roman"/>
          <w:color w:val="auto"/>
          <w:sz w:val="32"/>
          <w:szCs w:val="32"/>
          <w:highlight w:val="none"/>
          <w:lang w:val="en-US" w:eastAsia="zh-CN"/>
        </w:rPr>
        <w:t>28.98</w:t>
      </w:r>
      <w:r>
        <w:rPr>
          <w:rFonts w:hint="eastAsia" w:ascii="Times New Roman" w:hAnsi="Times New Roman" w:eastAsia="仿宋" w:cs="Times New Roman"/>
          <w:color w:val="auto"/>
          <w:sz w:val="32"/>
          <w:szCs w:val="32"/>
          <w:highlight w:val="none"/>
        </w:rPr>
        <w:t>万元，</w:t>
      </w:r>
      <w:r>
        <w:rPr>
          <w:rFonts w:hint="eastAsia" w:ascii="Times New Roman" w:hAnsi="Times New Roman" w:eastAsia="仿宋" w:cs="Times New Roman"/>
          <w:color w:val="auto"/>
          <w:sz w:val="32"/>
          <w:szCs w:val="32"/>
          <w:highlight w:val="none"/>
          <w:lang w:eastAsia="zh-CN"/>
        </w:rPr>
        <w:t>行政运行</w:t>
      </w:r>
      <w:r>
        <w:rPr>
          <w:rFonts w:hint="eastAsia" w:ascii="Times New Roman" w:hAnsi="Times New Roman" w:eastAsia="仿宋" w:cs="Times New Roman"/>
          <w:color w:val="auto"/>
          <w:sz w:val="32"/>
          <w:szCs w:val="32"/>
          <w:highlight w:val="none"/>
          <w:lang w:val="en-US" w:eastAsia="zh-CN"/>
        </w:rPr>
        <w:t>26.41</w:t>
      </w:r>
      <w:r>
        <w:rPr>
          <w:rFonts w:hint="eastAsia" w:ascii="Times New Roman" w:hAnsi="Times New Roman" w:eastAsia="仿宋" w:cs="Times New Roman"/>
          <w:color w:val="auto"/>
          <w:sz w:val="32"/>
          <w:szCs w:val="32"/>
          <w:highlight w:val="none"/>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auto"/>
          <w:sz w:val="32"/>
          <w:szCs w:val="32"/>
          <w:highlight w:val="none"/>
        </w:rPr>
        <w:t>20</w:t>
      </w:r>
      <w:r>
        <w:rPr>
          <w:rFonts w:hint="eastAsia" w:ascii="Times New Roman" w:hAnsi="Times New Roman" w:eastAsia="仿宋" w:cs="Times New Roman"/>
          <w:color w:val="auto"/>
          <w:sz w:val="32"/>
          <w:szCs w:val="32"/>
          <w:highlight w:val="none"/>
          <w:lang w:val="en-US" w:eastAsia="zh-CN"/>
        </w:rPr>
        <w:t>20</w:t>
      </w:r>
      <w:r>
        <w:rPr>
          <w:rFonts w:hint="eastAsia" w:ascii="Times New Roman" w:hAnsi="Times New Roman" w:eastAsia="仿宋" w:cs="Times New Roman"/>
          <w:color w:val="auto"/>
          <w:sz w:val="32"/>
          <w:szCs w:val="32"/>
          <w:highlight w:val="none"/>
        </w:rPr>
        <w:t>年部门预算收支安排</w:t>
      </w:r>
      <w:r>
        <w:rPr>
          <w:rFonts w:hint="eastAsia" w:ascii="Times New Roman" w:hAnsi="Times New Roman" w:eastAsia="仿宋" w:cs="Times New Roman"/>
          <w:color w:val="auto"/>
          <w:sz w:val="32"/>
          <w:szCs w:val="32"/>
          <w:highlight w:val="none"/>
          <w:lang w:val="en-US" w:eastAsia="zh-CN"/>
        </w:rPr>
        <w:t>324.90</w:t>
      </w:r>
      <w:r>
        <w:rPr>
          <w:rFonts w:hint="eastAsia" w:ascii="Times New Roman" w:hAnsi="Times New Roman" w:eastAsia="仿宋" w:cs="Times New Roman"/>
          <w:color w:val="auto"/>
          <w:sz w:val="32"/>
          <w:szCs w:val="32"/>
          <w:highlight w:val="none"/>
        </w:rPr>
        <w:t>万元，较201</w:t>
      </w:r>
      <w:r>
        <w:rPr>
          <w:rFonts w:hint="eastAsia" w:ascii="Times New Roman" w:hAnsi="Times New Roman" w:eastAsia="仿宋" w:cs="Times New Roman"/>
          <w:color w:val="auto"/>
          <w:sz w:val="32"/>
          <w:szCs w:val="32"/>
          <w:highlight w:val="none"/>
          <w:lang w:val="en-US" w:eastAsia="zh-CN"/>
        </w:rPr>
        <w:t>9</w:t>
      </w:r>
      <w:r>
        <w:rPr>
          <w:rFonts w:hint="eastAsia" w:ascii="Times New Roman" w:hAnsi="Times New Roman" w:eastAsia="仿宋" w:cs="Times New Roman"/>
          <w:color w:val="auto"/>
          <w:sz w:val="32"/>
          <w:szCs w:val="32"/>
          <w:highlight w:val="none"/>
        </w:rPr>
        <w:t>年</w:t>
      </w:r>
      <w:r>
        <w:rPr>
          <w:rFonts w:hint="eastAsia" w:ascii="Times New Roman" w:hAnsi="Times New Roman" w:eastAsia="仿宋" w:cs="Times New Roman"/>
          <w:color w:val="auto"/>
          <w:sz w:val="32"/>
          <w:szCs w:val="32"/>
          <w:highlight w:val="none"/>
          <w:lang w:eastAsia="zh-CN"/>
        </w:rPr>
        <w:t>减少</w:t>
      </w:r>
      <w:r>
        <w:rPr>
          <w:rFonts w:hint="eastAsia" w:ascii="Times New Roman" w:hAnsi="Times New Roman" w:eastAsia="仿宋" w:cs="Times New Roman"/>
          <w:color w:val="auto"/>
          <w:sz w:val="32"/>
          <w:szCs w:val="32"/>
          <w:highlight w:val="none"/>
          <w:lang w:val="en-US" w:eastAsia="zh-CN"/>
        </w:rPr>
        <w:t>11.46</w:t>
      </w:r>
      <w:r>
        <w:rPr>
          <w:rFonts w:hint="eastAsia" w:ascii="Times New Roman" w:hAnsi="Times New Roman" w:eastAsia="仿宋" w:cs="Times New Roman"/>
          <w:color w:val="auto"/>
          <w:sz w:val="32"/>
          <w:szCs w:val="32"/>
          <w:highlight w:val="none"/>
        </w:rPr>
        <w:t>万元，其中：基本支出增长</w:t>
      </w:r>
      <w:r>
        <w:rPr>
          <w:rFonts w:hint="eastAsia" w:ascii="Times New Roman" w:hAnsi="Times New Roman" w:eastAsia="仿宋" w:cs="Times New Roman"/>
          <w:color w:val="auto"/>
          <w:sz w:val="32"/>
          <w:szCs w:val="32"/>
          <w:highlight w:val="none"/>
          <w:lang w:val="en-US" w:eastAsia="zh-CN"/>
        </w:rPr>
        <w:t>2.10</w:t>
      </w:r>
      <w:r>
        <w:rPr>
          <w:rFonts w:hint="eastAsia" w:ascii="Times New Roman" w:hAnsi="Times New Roman" w:eastAsia="仿宋" w:cs="Times New Roman"/>
          <w:color w:val="auto"/>
          <w:sz w:val="32"/>
          <w:szCs w:val="32"/>
          <w:highlight w:val="none"/>
        </w:rPr>
        <w:t>万元，主要是</w:t>
      </w:r>
      <w:r>
        <w:rPr>
          <w:rFonts w:hint="eastAsia" w:ascii="Times New Roman" w:hAnsi="Times New Roman" w:eastAsia="仿宋" w:cs="Times New Roman"/>
          <w:color w:val="auto"/>
          <w:sz w:val="32"/>
          <w:szCs w:val="32"/>
          <w:highlight w:val="none"/>
          <w:lang w:eastAsia="zh-CN"/>
        </w:rPr>
        <w:t>人员变动</w:t>
      </w:r>
      <w:r>
        <w:rPr>
          <w:rFonts w:hint="eastAsia" w:ascii="Times New Roman" w:hAnsi="Times New Roman" w:eastAsia="仿宋" w:cs="Times New Roman"/>
          <w:color w:val="auto"/>
          <w:sz w:val="32"/>
          <w:szCs w:val="32"/>
          <w:highlight w:val="none"/>
        </w:rPr>
        <w:t>增加</w:t>
      </w:r>
      <w:r>
        <w:rPr>
          <w:rFonts w:hint="eastAsia" w:ascii="Times New Roman" w:hAnsi="Times New Roman" w:eastAsia="仿宋" w:cs="Times New Roman"/>
          <w:color w:val="auto"/>
          <w:sz w:val="32"/>
          <w:szCs w:val="32"/>
          <w:highlight w:val="none"/>
          <w:lang w:eastAsia="zh-CN"/>
        </w:rPr>
        <w:t>人员</w:t>
      </w:r>
      <w:r>
        <w:rPr>
          <w:rFonts w:hint="eastAsia" w:ascii="Times New Roman" w:hAnsi="Times New Roman" w:eastAsia="仿宋" w:cs="Times New Roman"/>
          <w:color w:val="auto"/>
          <w:sz w:val="32"/>
          <w:szCs w:val="32"/>
          <w:highlight w:val="none"/>
        </w:rPr>
        <w:t>经费；项目支出</w:t>
      </w:r>
      <w:r>
        <w:rPr>
          <w:rFonts w:hint="eastAsia" w:ascii="Times New Roman" w:hAnsi="Times New Roman" w:eastAsia="仿宋" w:cs="Times New Roman"/>
          <w:color w:val="auto"/>
          <w:sz w:val="32"/>
          <w:szCs w:val="32"/>
          <w:highlight w:val="none"/>
          <w:lang w:eastAsia="zh-CN"/>
        </w:rPr>
        <w:t>减少</w:t>
      </w:r>
      <w:r>
        <w:rPr>
          <w:rFonts w:hint="eastAsia" w:ascii="Times New Roman" w:hAnsi="Times New Roman" w:eastAsia="仿宋" w:cs="Times New Roman"/>
          <w:color w:val="auto"/>
          <w:sz w:val="32"/>
          <w:szCs w:val="32"/>
          <w:highlight w:val="none"/>
          <w:lang w:val="en-US" w:eastAsia="zh-CN"/>
        </w:rPr>
        <w:t>13.56</w:t>
      </w:r>
      <w:r>
        <w:rPr>
          <w:rFonts w:hint="eastAsia" w:ascii="Times New Roman" w:hAnsi="Times New Roman" w:eastAsia="仿宋" w:cs="Times New Roman"/>
          <w:color w:val="auto"/>
          <w:sz w:val="32"/>
          <w:szCs w:val="32"/>
          <w:highlight w:val="none"/>
        </w:rPr>
        <w:t>万元，主要</w:t>
      </w:r>
      <w:r>
        <w:rPr>
          <w:rFonts w:hint="eastAsia" w:ascii="Times New Roman" w:hAnsi="Times New Roman" w:eastAsia="仿宋" w:cs="Times New Roman"/>
          <w:color w:val="auto"/>
          <w:sz w:val="32"/>
          <w:szCs w:val="32"/>
          <w:highlight w:val="none"/>
          <w:lang w:eastAsia="zh-CN"/>
        </w:rPr>
        <w:t>是压缩</w:t>
      </w:r>
      <w:r>
        <w:rPr>
          <w:rFonts w:hint="eastAsia" w:ascii="Times New Roman" w:hAnsi="Times New Roman" w:eastAsia="仿宋" w:cs="Times New Roman"/>
          <w:color w:val="auto"/>
          <w:sz w:val="32"/>
          <w:szCs w:val="32"/>
          <w:highlight w:val="none"/>
        </w:rPr>
        <w:t>经费</w:t>
      </w:r>
      <w:r>
        <w:rPr>
          <w:rFonts w:hint="eastAsia" w:ascii="Times New Roman" w:hAnsi="Times New Roman" w:eastAsia="仿宋" w:cs="Times New Roman"/>
          <w:color w:val="auto"/>
          <w:sz w:val="32"/>
          <w:szCs w:val="32"/>
          <w:highlight w:val="none"/>
          <w:lang w:eastAsia="zh-CN"/>
        </w:rPr>
        <w:t>开支</w:t>
      </w:r>
      <w:r>
        <w:rPr>
          <w:rFonts w:hint="eastAsia" w:ascii="Times New Roman" w:hAnsi="Times New Roman" w:eastAsia="仿宋" w:cs="Times New Roman"/>
          <w:color w:val="auto"/>
          <w:sz w:val="32"/>
          <w:szCs w:val="32"/>
          <w:highlight w:val="none"/>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sz w:val="32"/>
          <w:szCs w:val="32"/>
        </w:rPr>
        <w:t>2020年，</w:t>
      </w:r>
      <w:r>
        <w:rPr>
          <w:rFonts w:hint="eastAsia" w:ascii="Times New Roman" w:hAnsi="Times New Roman" w:eastAsia="仿宋" w:cs="Times New Roman"/>
          <w:color w:val="auto"/>
          <w:sz w:val="32"/>
          <w:szCs w:val="32"/>
          <w:highlight w:val="none"/>
        </w:rPr>
        <w:t>我部门机关运行经费共计安排</w:t>
      </w:r>
      <w:r>
        <w:rPr>
          <w:rFonts w:hint="eastAsia" w:ascii="Times New Roman" w:hAnsi="Times New Roman" w:eastAsia="仿宋" w:cs="Times New Roman"/>
          <w:color w:val="auto"/>
          <w:sz w:val="32"/>
          <w:szCs w:val="32"/>
          <w:highlight w:val="none"/>
          <w:lang w:val="en-US" w:eastAsia="zh-CN"/>
        </w:rPr>
        <w:t>18.25</w:t>
      </w:r>
      <w:r>
        <w:rPr>
          <w:rFonts w:hint="eastAsia" w:ascii="Times New Roman" w:hAnsi="Times New Roman" w:eastAsia="仿宋" w:cs="Times New Roman"/>
          <w:color w:val="auto"/>
          <w:sz w:val="32"/>
          <w:szCs w:val="32"/>
          <w:highlight w:val="none"/>
        </w:rPr>
        <w:t>万元，主要用于保证机关正常运转的</w:t>
      </w:r>
      <w:r>
        <w:rPr>
          <w:rFonts w:hint="eastAsia" w:ascii="Times New Roman" w:hAnsi="Times New Roman" w:eastAsia="仿宋" w:cs="Times New Roman"/>
          <w:color w:val="auto"/>
          <w:sz w:val="32"/>
          <w:szCs w:val="32"/>
          <w:highlight w:val="none"/>
          <w:lang w:eastAsia="zh-CN"/>
        </w:rPr>
        <w:t>办公费、工会经费、福利费、党员组织活动经费、公务交通补贴</w:t>
      </w:r>
      <w:r>
        <w:rPr>
          <w:rFonts w:hint="eastAsia" w:ascii="Times New Roman" w:hAnsi="Times New Roman" w:eastAsia="仿宋" w:cs="Times New Roman"/>
          <w:color w:val="auto"/>
          <w:sz w:val="32"/>
          <w:szCs w:val="32"/>
          <w:highlight w:val="none"/>
        </w:rPr>
        <w:t>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eastAsia="zh-CN"/>
        </w:rPr>
        <w:t>共</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00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，比</w:t>
      </w:r>
      <w:r>
        <w:rPr>
          <w:rFonts w:hint="eastAsia" w:ascii="Times New Roman" w:hAnsi="Times New Roman" w:eastAsia="仿宋" w:cs="Times New Roman"/>
          <w:sz w:val="32"/>
          <w:szCs w:val="32"/>
          <w:lang w:val="en-US" w:eastAsia="zh-CN"/>
        </w:rPr>
        <w:t>2019年无变化，原因是没有安排因公出国费用</w:t>
      </w:r>
      <w:r>
        <w:rPr>
          <w:rFonts w:hint="eastAsia" w:ascii="Times New Roman" w:hAnsi="Times New Roman" w:eastAsia="仿宋" w:cs="Times New Roman"/>
          <w:sz w:val="32"/>
          <w:szCs w:val="32"/>
        </w:rPr>
        <w:t>；公务用车购置及运维费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，比</w:t>
      </w:r>
      <w:r>
        <w:rPr>
          <w:rFonts w:hint="eastAsia" w:ascii="Times New Roman" w:hAnsi="Times New Roman" w:eastAsia="仿宋" w:cs="Times New Roman"/>
          <w:sz w:val="32"/>
          <w:szCs w:val="32"/>
          <w:lang w:val="en-US" w:eastAsia="zh-CN"/>
        </w:rPr>
        <w:t>2019年无变化，原因是没有安排公务用车购置及运维费用</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00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仿宋_GB2312" w:hAnsi="仿宋_GB2312" w:eastAsia="仿宋_GB2312"/>
          <w:color w:val="auto"/>
          <w:sz w:val="32"/>
          <w:highlight w:val="none"/>
        </w:rPr>
        <w:t>比201</w:t>
      </w:r>
      <w:r>
        <w:rPr>
          <w:rFonts w:hint="eastAsia" w:ascii="仿宋_GB2312" w:hAnsi="仿宋_GB2312" w:eastAsia="仿宋_GB2312"/>
          <w:color w:val="auto"/>
          <w:sz w:val="32"/>
          <w:highlight w:val="none"/>
          <w:lang w:val="en-US" w:eastAsia="zh-CN"/>
        </w:rPr>
        <w:t>9</w:t>
      </w:r>
      <w:r>
        <w:rPr>
          <w:rFonts w:hint="eastAsia" w:ascii="仿宋_GB2312" w:hAnsi="仿宋_GB2312" w:eastAsia="仿宋_GB2312"/>
          <w:color w:val="auto"/>
          <w:sz w:val="32"/>
          <w:highlight w:val="none"/>
        </w:rPr>
        <w:t>年减少</w:t>
      </w:r>
      <w:r>
        <w:rPr>
          <w:rFonts w:hint="eastAsia" w:ascii="仿宋_GB2312" w:hAnsi="仿宋_GB2312" w:eastAsia="仿宋_GB2312"/>
          <w:color w:val="auto"/>
          <w:sz w:val="32"/>
          <w:highlight w:val="none"/>
          <w:lang w:val="en-US" w:eastAsia="zh-CN"/>
        </w:rPr>
        <w:t>6</w:t>
      </w:r>
      <w:r>
        <w:rPr>
          <w:rFonts w:hint="eastAsia" w:ascii="仿宋_GB2312" w:hAnsi="仿宋_GB2312" w:eastAsia="仿宋_GB2312"/>
          <w:color w:val="auto"/>
          <w:sz w:val="32"/>
          <w:highlight w:val="none"/>
        </w:rPr>
        <w:t>万元</w:t>
      </w:r>
      <w:r>
        <w:rPr>
          <w:rFonts w:hint="eastAsia" w:ascii="仿宋_GB2312" w:hAnsi="仿宋_GB2312" w:eastAsia="仿宋_GB2312"/>
          <w:color w:val="auto"/>
          <w:sz w:val="32"/>
          <w:highlight w:val="none"/>
          <w:lang w:eastAsia="zh-CN"/>
        </w:rPr>
        <w:t>，</w:t>
      </w:r>
      <w:r>
        <w:rPr>
          <w:rFonts w:hint="eastAsia" w:ascii="仿宋_GB2312" w:hAnsi="仿宋_GB2312" w:eastAsia="仿宋_GB2312"/>
          <w:color w:val="auto"/>
          <w:sz w:val="32"/>
          <w:highlight w:val="none"/>
        </w:rPr>
        <w:t>减少主要原因</w:t>
      </w:r>
      <w:r>
        <w:rPr>
          <w:rFonts w:hint="eastAsia" w:ascii="仿宋_GB2312" w:hAnsi="仿宋_GB2312" w:eastAsia="仿宋_GB2312"/>
          <w:color w:val="auto"/>
          <w:sz w:val="32"/>
          <w:highlight w:val="none"/>
          <w:lang w:eastAsia="zh-CN"/>
        </w:rPr>
        <w:t>是减少不必要的接待</w:t>
      </w:r>
      <w:r>
        <w:rPr>
          <w:rFonts w:hint="eastAsia" w:ascii="Times New Roman" w:hAnsi="Times New Roman" w:eastAsia="仿宋" w:cs="Times New Roman"/>
          <w:sz w:val="32"/>
          <w:szCs w:val="32"/>
        </w:rPr>
        <w:t>。</w:t>
      </w:r>
      <w:r>
        <w:rPr>
          <w:rFonts w:hint="eastAsia" w:ascii="Times New Roman" w:hAnsi="Times New Roman" w:eastAsia="仿宋" w:cs="Times New Roman"/>
          <w:color w:val="auto"/>
          <w:sz w:val="32"/>
          <w:szCs w:val="32"/>
          <w:highlight w:val="none"/>
        </w:rPr>
        <w:t>“三公”经费</w:t>
      </w:r>
      <w:r>
        <w:rPr>
          <w:rFonts w:hint="eastAsia" w:ascii="仿宋_GB2312" w:hAnsi="仿宋_GB2312" w:eastAsia="仿宋_GB2312"/>
          <w:color w:val="auto"/>
          <w:sz w:val="32"/>
          <w:highlight w:val="none"/>
        </w:rPr>
        <w:t>比20</w:t>
      </w:r>
      <w:r>
        <w:rPr>
          <w:rFonts w:hint="eastAsia" w:ascii="仿宋_GB2312" w:hAnsi="仿宋_GB2312" w:eastAsia="仿宋_GB2312"/>
          <w:color w:val="auto"/>
          <w:sz w:val="32"/>
          <w:highlight w:val="none"/>
          <w:lang w:val="en-US" w:eastAsia="zh-CN"/>
        </w:rPr>
        <w:t>19</w:t>
      </w:r>
      <w:r>
        <w:rPr>
          <w:rFonts w:hint="eastAsia" w:ascii="仿宋_GB2312" w:hAnsi="仿宋_GB2312" w:eastAsia="仿宋_GB2312"/>
          <w:color w:val="auto"/>
          <w:sz w:val="32"/>
          <w:highlight w:val="none"/>
        </w:rPr>
        <w:t>年减少</w:t>
      </w:r>
      <w:r>
        <w:rPr>
          <w:rFonts w:hint="eastAsia" w:ascii="仿宋_GB2312" w:hAnsi="仿宋_GB2312" w:eastAsia="仿宋_GB2312"/>
          <w:color w:val="auto"/>
          <w:sz w:val="32"/>
          <w:highlight w:val="none"/>
          <w:lang w:val="en-US" w:eastAsia="zh-CN"/>
        </w:rPr>
        <w:t>6</w:t>
      </w:r>
      <w:r>
        <w:rPr>
          <w:rFonts w:hint="eastAsia" w:ascii="仿宋_GB2312" w:hAnsi="仿宋_GB2312" w:eastAsia="仿宋_GB2312"/>
          <w:color w:val="auto"/>
          <w:sz w:val="32"/>
          <w:highlight w:val="none"/>
        </w:rPr>
        <w:t>万元,减少主要原因是</w:t>
      </w:r>
      <w:r>
        <w:rPr>
          <w:rFonts w:hint="eastAsia" w:ascii="仿宋_GB2312" w:hAnsi="仿宋_GB2312" w:eastAsia="仿宋_GB2312"/>
          <w:color w:val="auto"/>
          <w:sz w:val="32"/>
          <w:highlight w:val="none"/>
          <w:lang w:eastAsia="zh-CN"/>
        </w:rPr>
        <w:t>遵循相关规定，</w:t>
      </w:r>
      <w:r>
        <w:rPr>
          <w:rFonts w:hint="eastAsia" w:ascii="仿宋" w:hAnsi="仿宋" w:eastAsia="仿宋"/>
          <w:sz w:val="32"/>
          <w:szCs w:val="32"/>
        </w:rPr>
        <w:t>提倡厉行勤俭节约</w:t>
      </w:r>
      <w:r>
        <w:rPr>
          <w:rFonts w:hint="eastAsia" w:ascii="仿宋" w:hAnsi="仿宋" w:eastAsia="仿宋"/>
          <w:sz w:val="32"/>
          <w:szCs w:val="32"/>
          <w:lang w:eastAsia="zh-CN"/>
        </w:rPr>
        <w:t>，</w:t>
      </w:r>
      <w:r>
        <w:rPr>
          <w:rFonts w:hint="eastAsia" w:ascii="仿宋_GB2312" w:hAnsi="仿宋_GB2312" w:eastAsia="仿宋_GB2312"/>
          <w:color w:val="auto"/>
          <w:sz w:val="32"/>
          <w:highlight w:val="none"/>
        </w:rPr>
        <w:t>减少不必要的接待</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autoSpaceDE w:val="0"/>
        <w:autoSpaceDN w:val="0"/>
        <w:adjustRightInd w:val="0"/>
        <w:ind w:left="198" w:firstLine="643" w:firstLineChars="200"/>
        <w:jc w:val="left"/>
        <w:rPr>
          <w:rFonts w:hint="eastAsia" w:ascii="Times New Roman" w:hAnsi="Times New Roman" w:eastAsia="仿宋" w:cs="Times New Roman"/>
          <w:b/>
          <w:color w:val="auto"/>
          <w:sz w:val="32"/>
          <w:szCs w:val="32"/>
          <w:highlight w:val="none"/>
        </w:rPr>
      </w:pPr>
      <w:bookmarkStart w:id="0" w:name="_Toc471398463"/>
      <w:r>
        <w:rPr>
          <w:rFonts w:hint="eastAsia" w:ascii="Times New Roman" w:hAnsi="Times New Roman" w:eastAsia="仿宋" w:cs="Times New Roman"/>
          <w:b/>
          <w:color w:val="auto"/>
          <w:sz w:val="32"/>
          <w:szCs w:val="32"/>
          <w:highlight w:val="none"/>
        </w:rPr>
        <w:t>部门整体绩效目标</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根据</w:t>
      </w:r>
      <w:r>
        <w:rPr>
          <w:rFonts w:hint="eastAsia" w:ascii="Times New Roman" w:hAnsi="Times New Roman" w:eastAsia="仿宋" w:cs="Times New Roman"/>
          <w:color w:val="auto"/>
          <w:sz w:val="32"/>
          <w:szCs w:val="32"/>
          <w:highlight w:val="none"/>
          <w:lang w:eastAsia="zh-CN"/>
        </w:rPr>
        <w:t>隆尧县第十五届</w:t>
      </w:r>
      <w:r>
        <w:rPr>
          <w:rFonts w:hint="eastAsia" w:ascii="Times New Roman" w:hAnsi="Times New Roman" w:eastAsia="仿宋" w:cs="Times New Roman"/>
          <w:color w:val="auto"/>
          <w:sz w:val="32"/>
          <w:szCs w:val="32"/>
          <w:highlight w:val="none"/>
        </w:rPr>
        <w:t>人民代表大会第</w:t>
      </w:r>
      <w:r>
        <w:rPr>
          <w:rFonts w:hint="eastAsia" w:ascii="Times New Roman" w:hAnsi="Times New Roman" w:eastAsia="仿宋" w:cs="Times New Roman"/>
          <w:color w:val="auto"/>
          <w:sz w:val="32"/>
          <w:szCs w:val="32"/>
          <w:highlight w:val="none"/>
          <w:lang w:eastAsia="zh-CN"/>
        </w:rPr>
        <w:t>五</w:t>
      </w:r>
      <w:r>
        <w:rPr>
          <w:rFonts w:hint="eastAsia" w:ascii="Times New Roman" w:hAnsi="Times New Roman" w:eastAsia="仿宋" w:cs="Times New Roman"/>
          <w:color w:val="auto"/>
          <w:sz w:val="32"/>
          <w:szCs w:val="32"/>
          <w:highlight w:val="none"/>
        </w:rPr>
        <w:t>次会议通过的工作报告，深入贯彻依法治国方略，全面履行法定职责，努力推进</w:t>
      </w:r>
      <w:r>
        <w:rPr>
          <w:rFonts w:hint="eastAsia" w:ascii="Times New Roman" w:hAnsi="Times New Roman" w:eastAsia="仿宋" w:cs="Times New Roman"/>
          <w:color w:val="auto"/>
          <w:sz w:val="32"/>
          <w:szCs w:val="32"/>
          <w:highlight w:val="none"/>
          <w:lang w:eastAsia="zh-CN"/>
        </w:rPr>
        <w:t>幸福隆尧</w:t>
      </w:r>
      <w:r>
        <w:rPr>
          <w:rFonts w:hint="eastAsia" w:ascii="Times New Roman" w:hAnsi="Times New Roman" w:eastAsia="仿宋" w:cs="Times New Roman"/>
          <w:color w:val="auto"/>
          <w:sz w:val="32"/>
          <w:szCs w:val="32"/>
          <w:highlight w:val="none"/>
        </w:rPr>
        <w:t>建设进程。</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lang w:val="en-US" w:eastAsia="zh-CN"/>
        </w:rPr>
        <w:t>1</w:t>
      </w:r>
      <w:r>
        <w:rPr>
          <w:rFonts w:hint="eastAsia" w:ascii="Times New Roman" w:hAnsi="Times New Roman" w:eastAsia="仿宋" w:cs="Times New Roman"/>
          <w:color w:val="auto"/>
          <w:sz w:val="32"/>
          <w:szCs w:val="32"/>
          <w:highlight w:val="none"/>
        </w:rPr>
        <w:t>、加强对权力运行的制约监督，推动</w:t>
      </w:r>
      <w:r>
        <w:rPr>
          <w:rFonts w:hint="eastAsia" w:ascii="Times New Roman" w:hAnsi="Times New Roman" w:eastAsia="仿宋" w:cs="Times New Roman"/>
          <w:color w:val="auto"/>
          <w:sz w:val="32"/>
          <w:szCs w:val="32"/>
          <w:highlight w:val="none"/>
          <w:lang w:eastAsia="zh-CN"/>
        </w:rPr>
        <w:t>县委</w:t>
      </w:r>
      <w:r>
        <w:rPr>
          <w:rFonts w:hint="eastAsia" w:ascii="Times New Roman" w:hAnsi="Times New Roman" w:eastAsia="仿宋" w:cs="Times New Roman"/>
          <w:color w:val="auto"/>
          <w:sz w:val="32"/>
          <w:szCs w:val="32"/>
          <w:highlight w:val="none"/>
        </w:rPr>
        <w:t>重大决策部署的贯彻落实。围绕重大问题和人民群众关注的热点难点问题，听取审议专项工作报告，开展执法检查、视察调研。</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3、做好会议的服务保障工作，确保会议顺利进行，达到预期目标。</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4、发挥好常委会组成人员、专门委员会委员和代表的履职积极性。密切对代表的联系，组织专门委员会成员、代表列席常委会会议，坚持向代表通报常委会会议情况。</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5、改进文风会风，提高常委会议事质量。常委会会议议题要在听取群众意见的基础上依法确定，加强会前的视察调研，严格落实议事规则，完善审议程序，切实提出有针对性的意见建议。</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6、全面推进机关思想建设、组织建设、作风建设、制度建设和廉政建设，提高机关管理的科学化水平。</w:t>
      </w:r>
    </w:p>
    <w:p>
      <w:pPr>
        <w:autoSpaceDE w:val="0"/>
        <w:autoSpaceDN w:val="0"/>
        <w:adjustRightInd w:val="0"/>
        <w:ind w:left="198" w:firstLine="643" w:firstLineChars="200"/>
        <w:jc w:val="left"/>
        <w:rPr>
          <w:rFonts w:ascii="Times New Roman" w:hAnsi="Times New Roman" w:eastAsia="仿宋" w:cs="Times New Roman"/>
          <w:b/>
          <w:color w:val="auto"/>
          <w:sz w:val="32"/>
          <w:szCs w:val="32"/>
          <w:highlight w:val="none"/>
        </w:rPr>
      </w:pPr>
      <w:r>
        <w:rPr>
          <w:rFonts w:hint="eastAsia" w:ascii="Times New Roman" w:hAnsi="Times New Roman" w:eastAsia="仿宋" w:cs="Times New Roman"/>
          <w:b/>
          <w:color w:val="auto"/>
          <w:sz w:val="32"/>
          <w:szCs w:val="32"/>
          <w:highlight w:val="none"/>
        </w:rPr>
        <w:t>职责分类绩效目标：</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lang w:val="en-US" w:eastAsia="zh-CN"/>
        </w:rPr>
        <w:t>1</w:t>
      </w:r>
      <w:r>
        <w:rPr>
          <w:rFonts w:hint="eastAsia" w:ascii="Times New Roman" w:hAnsi="Times New Roman" w:eastAsia="仿宋" w:cs="Times New Roman"/>
          <w:color w:val="auto"/>
          <w:sz w:val="32"/>
          <w:szCs w:val="32"/>
          <w:highlight w:val="none"/>
        </w:rPr>
        <w:t>、监督方面。听取计划预算执行情况报告、决算报告和审计工作报告，审查批准决算，推动</w:t>
      </w:r>
      <w:r>
        <w:rPr>
          <w:rFonts w:hint="eastAsia" w:ascii="Times New Roman" w:hAnsi="Times New Roman" w:eastAsia="仿宋" w:cs="Times New Roman"/>
          <w:color w:val="auto"/>
          <w:sz w:val="32"/>
          <w:szCs w:val="32"/>
          <w:highlight w:val="none"/>
          <w:lang w:eastAsia="zh-CN"/>
        </w:rPr>
        <w:t>县</w:t>
      </w:r>
      <w:r>
        <w:rPr>
          <w:rFonts w:hint="eastAsia" w:ascii="Times New Roman" w:hAnsi="Times New Roman" w:eastAsia="仿宋" w:cs="Times New Roman"/>
          <w:color w:val="auto"/>
          <w:sz w:val="32"/>
          <w:szCs w:val="32"/>
          <w:highlight w:val="none"/>
        </w:rPr>
        <w:t>人代会计划预算决议的落实。听取</w:t>
      </w:r>
      <w:r>
        <w:rPr>
          <w:rFonts w:hint="eastAsia" w:ascii="Times New Roman" w:hAnsi="Times New Roman" w:eastAsia="仿宋" w:cs="Times New Roman"/>
          <w:color w:val="auto"/>
          <w:sz w:val="32"/>
          <w:szCs w:val="32"/>
          <w:highlight w:val="none"/>
          <w:lang w:eastAsia="zh-CN"/>
        </w:rPr>
        <w:t>县</w:t>
      </w:r>
      <w:r>
        <w:rPr>
          <w:rFonts w:hint="eastAsia" w:ascii="Times New Roman" w:hAnsi="Times New Roman" w:eastAsia="仿宋" w:cs="Times New Roman"/>
          <w:color w:val="auto"/>
          <w:sz w:val="32"/>
          <w:szCs w:val="32"/>
          <w:highlight w:val="none"/>
        </w:rPr>
        <w:t>政府专项工作报告。对社会普遍关心的问题组织开展专题询问。组织开展代表旁听评议人民法院庭审活动，督促司法机关完善内部监督制约机制，促进司法公正。提高法规质量，保障其有效实施；发挥常委及代表的桥梁纽带作用，集中反映民意，促进依法履职。</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lang w:val="en-US" w:eastAsia="zh-CN"/>
        </w:rPr>
        <w:t>2</w:t>
      </w:r>
      <w:r>
        <w:rPr>
          <w:rFonts w:hint="eastAsia" w:ascii="Times New Roman" w:hAnsi="Times New Roman" w:eastAsia="仿宋" w:cs="Times New Roman"/>
          <w:color w:val="auto"/>
          <w:sz w:val="32"/>
          <w:szCs w:val="32"/>
          <w:highlight w:val="none"/>
        </w:rPr>
        <w:t>、人大会议方面。确保会议按照议程顺利进行，达到预期目的，圆满完成各项任务。完善各项会议制度，规范会议程序，提高会议质量，提高人大代表及常委会审议水平。</w:t>
      </w:r>
    </w:p>
    <w:p>
      <w:pPr>
        <w:autoSpaceDE w:val="0"/>
        <w:autoSpaceDN w:val="0"/>
        <w:adjustRightInd w:val="0"/>
        <w:ind w:left="198" w:firstLine="640" w:firstLineChars="200"/>
        <w:jc w:val="left"/>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lang w:val="en-US" w:eastAsia="zh-CN"/>
        </w:rPr>
        <w:t>3</w:t>
      </w:r>
      <w:r>
        <w:rPr>
          <w:rFonts w:hint="eastAsia" w:ascii="Times New Roman" w:hAnsi="Times New Roman" w:eastAsia="仿宋" w:cs="Times New Roman"/>
          <w:color w:val="auto"/>
          <w:sz w:val="32"/>
          <w:szCs w:val="32"/>
          <w:highlight w:val="none"/>
        </w:rPr>
        <w:t>、人事任免方面。严格遵循法律法规规定，严格规范工作程序，做好人事任免工作。确保</w:t>
      </w:r>
      <w:r>
        <w:rPr>
          <w:rFonts w:hint="eastAsia" w:ascii="Times New Roman" w:hAnsi="Times New Roman" w:eastAsia="仿宋" w:cs="Times New Roman"/>
          <w:color w:val="auto"/>
          <w:sz w:val="32"/>
          <w:szCs w:val="32"/>
          <w:highlight w:val="none"/>
          <w:lang w:eastAsia="zh-CN"/>
        </w:rPr>
        <w:t>县</w:t>
      </w:r>
      <w:r>
        <w:rPr>
          <w:rFonts w:hint="eastAsia" w:ascii="Times New Roman" w:hAnsi="Times New Roman" w:eastAsia="仿宋" w:cs="Times New Roman"/>
          <w:color w:val="auto"/>
          <w:sz w:val="32"/>
          <w:szCs w:val="32"/>
          <w:highlight w:val="none"/>
        </w:rPr>
        <w:t>人大和乡人大换届选举工作顺利完成，提高组织换届选举工作水平；高质量完成国家机关领导人选举和常委会人事任免服务工作；高效督办有关部门负责人的目标责任书和述职报告</w:t>
      </w:r>
    </w:p>
    <w:p>
      <w:pPr>
        <w:autoSpaceDE w:val="0"/>
        <w:autoSpaceDN w:val="0"/>
        <w:adjustRightInd w:val="0"/>
        <w:ind w:left="198" w:firstLine="640" w:firstLineChars="200"/>
        <w:jc w:val="left"/>
        <w:rPr>
          <w:rFonts w:hint="eastAsia"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5、人大事务管理方面。保障新闻宣传与新闻发布工作正常开展，提高人大信息透明度和影响力，加强人大对内、对外交流。保障会议表决系统正常运转，网络与办公平台正常运行，促进社会和谐稳定。机关基础设施设备正常运转，信息化保障、老干部服务保障能力进一步提高。</w:t>
      </w:r>
    </w:p>
    <w:p>
      <w:pPr>
        <w:autoSpaceDE w:val="0"/>
        <w:autoSpaceDN w:val="0"/>
        <w:adjustRightInd w:val="0"/>
        <w:ind w:left="198" w:firstLine="640" w:firstLineChars="200"/>
        <w:jc w:val="left"/>
        <w:rPr>
          <w:rFonts w:hint="eastAsia" w:ascii="Times New Roman" w:hAnsi="Times New Roman" w:eastAsia="仿宋" w:cs="Times New Roman"/>
          <w:color w:val="auto"/>
          <w:sz w:val="32"/>
          <w:szCs w:val="32"/>
          <w:highlight w:val="none"/>
        </w:rPr>
        <w:sectPr>
          <w:footerReference r:id="rId4" w:type="default"/>
          <w:pgSz w:w="11907" w:h="16839" w:orient="landscape"/>
          <w:pgMar w:top="1984" w:right="1304" w:bottom="1134" w:left="1304" w:header="851" w:footer="992" w:gutter="0"/>
          <w:cols w:space="720" w:num="1"/>
          <w:docGrid w:type="lines" w:linePitch="312" w:charSpace="0"/>
        </w:sectPr>
      </w:pPr>
    </w:p>
    <w:p>
      <w:pPr>
        <w:autoSpaceDE w:val="0"/>
        <w:autoSpaceDN w:val="0"/>
        <w:adjustRightInd w:val="0"/>
        <w:ind w:left="198" w:firstLine="643" w:firstLineChars="200"/>
        <w:jc w:val="left"/>
        <w:rPr>
          <w:rFonts w:ascii="Times New Roman" w:hAnsi="Times New Roman" w:eastAsia="仿宋" w:cs="Times New Roman"/>
          <w:b/>
          <w:color w:val="auto"/>
          <w:sz w:val="32"/>
          <w:szCs w:val="32"/>
          <w:highlight w:val="none"/>
        </w:rPr>
      </w:pPr>
      <w:r>
        <w:rPr>
          <w:rFonts w:hint="eastAsia" w:ascii="Times New Roman" w:hAnsi="Times New Roman" w:eastAsia="仿宋" w:cs="Times New Roman"/>
          <w:b/>
          <w:color w:val="auto"/>
          <w:sz w:val="32"/>
          <w:szCs w:val="32"/>
          <w:highlight w:val="none"/>
        </w:rPr>
        <w:t>部门职责及工作活动绩效目标指标：</w:t>
      </w:r>
    </w:p>
    <w:p>
      <w:pPr>
        <w:jc w:val="center"/>
        <w:outlineLvl w:val="0"/>
        <w:rPr>
          <w:rFonts w:ascii="方正小标宋_GBK" w:hAnsi="Times New Roman" w:eastAsia="方正小标宋_GBK" w:cs="Times New Roman"/>
          <w:color w:val="auto"/>
          <w:sz w:val="32"/>
          <w:szCs w:val="24"/>
          <w:highlight w:val="none"/>
        </w:rPr>
      </w:pPr>
    </w:p>
    <w:p>
      <w:pPr>
        <w:jc w:val="center"/>
        <w:outlineLvl w:val="0"/>
        <w:rPr>
          <w:rFonts w:hint="eastAsia" w:ascii="方正小标宋_GBK" w:eastAsia="方正小标宋_GBK"/>
          <w:color w:val="auto"/>
          <w:sz w:val="32"/>
          <w:highlight w:val="none"/>
        </w:rPr>
      </w:pPr>
    </w:p>
    <w:p>
      <w:pPr>
        <w:jc w:val="center"/>
        <w:outlineLvl w:val="0"/>
        <w:rPr>
          <w:rFonts w:ascii="方正小标宋_GBK" w:eastAsia="方正小标宋_GBK"/>
          <w:color w:val="auto"/>
          <w:sz w:val="32"/>
          <w:highlight w:val="none"/>
        </w:rPr>
      </w:pPr>
      <w:r>
        <w:rPr>
          <w:rFonts w:hint="eastAsia" w:ascii="方正小标宋_GBK" w:eastAsia="方正小标宋_GBK"/>
          <w:color w:val="auto"/>
          <w:sz w:val="32"/>
          <w:highlight w:val="none"/>
        </w:rPr>
        <w:t>部门职责-工作活动绩效目标</w:t>
      </w:r>
      <w:r>
        <w:rPr>
          <w:rStyle w:val="9"/>
          <w:rFonts w:ascii="方正小标宋_GBK" w:eastAsia="方正小标宋_GBK"/>
          <w:color w:val="auto"/>
          <w:sz w:val="32"/>
          <w:highlight w:val="none"/>
        </w:rPr>
        <w:footnoteReference w:id="0" w:customMarkFollows="1"/>
        <w:sym w:font="Symbol" w:char="F020"/>
      </w:r>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color w:val="auto"/>
                <w:sz w:val="24"/>
                <w:highlight w:val="none"/>
              </w:rPr>
            </w:pPr>
            <w:r>
              <w:rPr>
                <w:rFonts w:ascii="方正小标宋_GBK" w:eastAsia="方正小标宋_GBK"/>
                <w:color w:val="auto"/>
                <w:sz w:val="24"/>
                <w:highlight w:val="none"/>
              </w:rPr>
              <w:t>101</w:t>
            </w:r>
            <w:r>
              <w:rPr>
                <w:rFonts w:hint="eastAsia" w:ascii="方正小标宋_GBK" w:eastAsia="方正小标宋_GBK"/>
                <w:color w:val="auto"/>
                <w:sz w:val="24"/>
                <w:highlight w:val="none"/>
              </w:rPr>
              <w:t>隆尧县人大</w:t>
            </w:r>
          </w:p>
        </w:tc>
        <w:tc>
          <w:tcPr>
            <w:tcW w:w="2948" w:type="dxa"/>
            <w:gridSpan w:val="4"/>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color w:val="auto"/>
                <w:sz w:val="24"/>
                <w:highlight w:val="none"/>
              </w:rPr>
            </w:pPr>
            <w:r>
              <w:rPr>
                <w:rFonts w:hint="eastAsia" w:ascii="方正书宋_GBK" w:eastAsia="方正书宋_GBK"/>
                <w:color w:val="auto"/>
                <w:sz w:val="24"/>
                <w:highlight w:val="none"/>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职责活动</w:t>
            </w:r>
          </w:p>
        </w:tc>
        <w:tc>
          <w:tcPr>
            <w:tcW w:w="1276"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年度预算数</w:t>
            </w:r>
          </w:p>
        </w:tc>
        <w:tc>
          <w:tcPr>
            <w:tcW w:w="2976"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内容描述</w:t>
            </w:r>
          </w:p>
        </w:tc>
        <w:tc>
          <w:tcPr>
            <w:tcW w:w="2976"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绩效目标</w:t>
            </w:r>
          </w:p>
        </w:tc>
        <w:tc>
          <w:tcPr>
            <w:tcW w:w="1417"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绩效指标</w:t>
            </w:r>
          </w:p>
        </w:tc>
        <w:tc>
          <w:tcPr>
            <w:tcW w:w="2948" w:type="dxa"/>
            <w:gridSpan w:val="4"/>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noWrap w:val="0"/>
            <w:vAlign w:val="center"/>
          </w:tcPr>
          <w:p>
            <w:pPr>
              <w:spacing w:line="300" w:lineRule="exact"/>
              <w:jc w:val="left"/>
              <w:outlineLvl w:val="0"/>
              <w:rPr>
                <w:color w:val="auto"/>
                <w:highlight w:val="none"/>
              </w:rPr>
            </w:pPr>
          </w:p>
        </w:tc>
        <w:tc>
          <w:tcPr>
            <w:tcW w:w="1276" w:type="dxa"/>
            <w:vMerge w:val="continue"/>
            <w:shd w:val="clear" w:color="auto" w:fill="auto"/>
            <w:noWrap w:val="0"/>
            <w:vAlign w:val="center"/>
          </w:tcPr>
          <w:p>
            <w:pPr>
              <w:spacing w:line="300" w:lineRule="exact"/>
              <w:jc w:val="left"/>
              <w:outlineLvl w:val="0"/>
              <w:rPr>
                <w:color w:val="auto"/>
                <w:highlight w:val="none"/>
              </w:rPr>
            </w:pPr>
          </w:p>
        </w:tc>
        <w:tc>
          <w:tcPr>
            <w:tcW w:w="2976" w:type="dxa"/>
            <w:vMerge w:val="continue"/>
            <w:shd w:val="clear" w:color="auto" w:fill="auto"/>
            <w:noWrap w:val="0"/>
            <w:vAlign w:val="center"/>
          </w:tcPr>
          <w:p>
            <w:pPr>
              <w:spacing w:line="300" w:lineRule="exact"/>
              <w:jc w:val="left"/>
              <w:outlineLvl w:val="0"/>
              <w:rPr>
                <w:color w:val="auto"/>
                <w:highlight w:val="none"/>
              </w:rPr>
            </w:pPr>
          </w:p>
        </w:tc>
        <w:tc>
          <w:tcPr>
            <w:tcW w:w="2976" w:type="dxa"/>
            <w:vMerge w:val="continue"/>
            <w:shd w:val="clear" w:color="auto" w:fill="auto"/>
            <w:noWrap w:val="0"/>
            <w:vAlign w:val="center"/>
          </w:tcPr>
          <w:p>
            <w:pPr>
              <w:spacing w:line="300" w:lineRule="exact"/>
              <w:jc w:val="left"/>
              <w:outlineLvl w:val="0"/>
              <w:rPr>
                <w:color w:val="auto"/>
                <w:highlight w:val="none"/>
              </w:rPr>
            </w:pPr>
          </w:p>
        </w:tc>
        <w:tc>
          <w:tcPr>
            <w:tcW w:w="1417" w:type="dxa"/>
            <w:vMerge w:val="continue"/>
            <w:shd w:val="clear" w:color="auto" w:fill="auto"/>
            <w:noWrap w:val="0"/>
            <w:vAlign w:val="center"/>
          </w:tcPr>
          <w:p>
            <w:pPr>
              <w:spacing w:line="300" w:lineRule="exact"/>
              <w:jc w:val="left"/>
              <w:outlineLvl w:val="0"/>
              <w:rPr>
                <w:color w:val="auto"/>
                <w:highlight w:val="none"/>
              </w:rPr>
            </w:pPr>
          </w:p>
        </w:tc>
        <w:tc>
          <w:tcPr>
            <w:tcW w:w="737"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优</w:t>
            </w:r>
          </w:p>
        </w:tc>
        <w:tc>
          <w:tcPr>
            <w:tcW w:w="737"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良</w:t>
            </w:r>
          </w:p>
        </w:tc>
        <w:tc>
          <w:tcPr>
            <w:tcW w:w="737"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中</w:t>
            </w:r>
          </w:p>
        </w:tc>
        <w:tc>
          <w:tcPr>
            <w:tcW w:w="737"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ascii="方正书宋_GBK" w:eastAsia="方正书宋_GBK"/>
                <w:b/>
                <w:color w:val="auto"/>
                <w:highlight w:val="none"/>
              </w:rPr>
            </w:pPr>
            <w:r>
              <w:rPr>
                <w:rFonts w:hint="eastAsia" w:ascii="方正书宋_GBK" w:eastAsia="方正书宋_GBK"/>
                <w:b/>
                <w:color w:val="auto"/>
                <w:highlight w:val="none"/>
              </w:rPr>
              <w:t>一、人大监督</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lang w:val="en-US" w:eastAsia="zh-CN"/>
              </w:rPr>
              <w:t>289850</w:t>
            </w:r>
            <w:r>
              <w:rPr>
                <w:rFonts w:ascii="方正书宋_GBK" w:eastAsia="方正书宋_GBK"/>
                <w:color w:val="auto"/>
                <w:highlight w:val="none"/>
              </w:rPr>
              <w:t>.00</w:t>
            </w:r>
          </w:p>
        </w:tc>
        <w:tc>
          <w:tcPr>
            <w:tcW w:w="2976"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rPr>
              <w:t>进行执法调研和执法检查；围绕政府工作报告和</w:t>
            </w:r>
            <w:r>
              <w:rPr>
                <w:rFonts w:hint="cs" w:ascii="方正书宋_GBK" w:eastAsia="方正书宋_GBK"/>
                <w:color w:val="auto"/>
                <w:highlight w:val="none"/>
              </w:rPr>
              <w:t>“</w:t>
            </w:r>
            <w:r>
              <w:rPr>
                <w:rFonts w:hint="eastAsia" w:ascii="方正书宋_GBK" w:eastAsia="方正书宋_GBK"/>
                <w:color w:val="auto"/>
                <w:highlight w:val="none"/>
              </w:rPr>
              <w:t>一府两院</w:t>
            </w:r>
            <w:r>
              <w:rPr>
                <w:rFonts w:hint="cs" w:ascii="方正书宋_GBK" w:eastAsia="方正书宋_GBK"/>
                <w:color w:val="auto"/>
                <w:highlight w:val="none"/>
              </w:rPr>
              <w:t>”</w:t>
            </w:r>
            <w:r>
              <w:rPr>
                <w:rFonts w:hint="eastAsia" w:ascii="方正书宋_GBK" w:eastAsia="方正书宋_GBK"/>
                <w:color w:val="auto"/>
                <w:highlight w:val="none"/>
              </w:rPr>
              <w:t>专项工作报告涉及内容开展调查研究，开展专题询问和工作评议；对</w:t>
            </w:r>
            <w:r>
              <w:rPr>
                <w:rFonts w:hint="cs" w:ascii="方正书宋_GBK" w:eastAsia="方正书宋_GBK"/>
                <w:color w:val="auto"/>
                <w:highlight w:val="none"/>
              </w:rPr>
              <w:t>“</w:t>
            </w:r>
            <w:r>
              <w:rPr>
                <w:rFonts w:hint="eastAsia" w:ascii="方正书宋_GBK" w:eastAsia="方正书宋_GBK"/>
                <w:color w:val="auto"/>
                <w:highlight w:val="none"/>
              </w:rPr>
              <w:t>一府两院</w:t>
            </w:r>
            <w:r>
              <w:rPr>
                <w:rFonts w:hint="cs" w:ascii="方正书宋_GBK" w:eastAsia="方正书宋_GBK"/>
                <w:color w:val="auto"/>
                <w:highlight w:val="none"/>
              </w:rPr>
              <w:t>”</w:t>
            </w:r>
            <w:r>
              <w:rPr>
                <w:rFonts w:hint="eastAsia" w:ascii="方正书宋_GBK" w:eastAsia="方正书宋_GBK"/>
                <w:color w:val="auto"/>
                <w:highlight w:val="none"/>
              </w:rPr>
              <w:t>进行监督。</w:t>
            </w:r>
          </w:p>
        </w:tc>
        <w:tc>
          <w:tcPr>
            <w:tcW w:w="2976"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rPr>
              <w:t>促进各项法律法规、人大决议、报告等的落实；促进</w:t>
            </w:r>
            <w:r>
              <w:rPr>
                <w:rFonts w:hint="cs" w:ascii="方正书宋_GBK" w:eastAsia="方正书宋_GBK"/>
                <w:color w:val="auto"/>
                <w:highlight w:val="none"/>
              </w:rPr>
              <w:t>“</w:t>
            </w:r>
            <w:r>
              <w:rPr>
                <w:rFonts w:hint="eastAsia" w:ascii="方正书宋_GBK" w:eastAsia="方正书宋_GBK"/>
                <w:color w:val="auto"/>
                <w:highlight w:val="none"/>
              </w:rPr>
              <w:t>一府</w:t>
            </w:r>
            <w:r>
              <w:rPr>
                <w:rFonts w:hint="eastAsia" w:ascii="方正书宋_GBK" w:eastAsia="方正书宋_GBK"/>
                <w:color w:val="auto"/>
                <w:highlight w:val="none"/>
                <w:lang w:eastAsia="zh-CN"/>
              </w:rPr>
              <w:t>一委</w:t>
            </w:r>
            <w:r>
              <w:rPr>
                <w:rFonts w:hint="eastAsia" w:ascii="方正书宋_GBK" w:eastAsia="方正书宋_GBK"/>
                <w:color w:val="auto"/>
                <w:highlight w:val="none"/>
              </w:rPr>
              <w:t>两院</w:t>
            </w:r>
            <w:r>
              <w:rPr>
                <w:rFonts w:hint="cs" w:ascii="方正书宋_GBK" w:eastAsia="方正书宋_GBK"/>
                <w:color w:val="auto"/>
                <w:highlight w:val="none"/>
              </w:rPr>
              <w:t>”</w:t>
            </w:r>
            <w:r>
              <w:rPr>
                <w:rFonts w:hint="eastAsia" w:ascii="方正书宋_GBK" w:eastAsia="方正书宋_GBK"/>
                <w:color w:val="auto"/>
                <w:highlight w:val="none"/>
              </w:rPr>
              <w:t>改进工作；提高规范性文件质量；促进社会和谐稳定。</w:t>
            </w:r>
          </w:p>
        </w:tc>
        <w:tc>
          <w:tcPr>
            <w:tcW w:w="1417"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lang w:eastAsia="zh-CN"/>
              </w:rPr>
              <w:t>监督</w:t>
            </w:r>
            <w:r>
              <w:rPr>
                <w:rFonts w:hint="eastAsia" w:ascii="方正书宋_GBK" w:eastAsia="方正书宋_GBK"/>
                <w:color w:val="auto"/>
                <w:highlight w:val="none"/>
              </w:rPr>
              <w:t>完成率</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80%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70%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　　</w:t>
            </w:r>
            <w:r>
              <w:rPr>
                <w:rFonts w:ascii="方正书宋_GBK" w:eastAsia="方正书宋_GBK"/>
                <w:b/>
                <w:color w:val="auto"/>
                <w:highlight w:val="none"/>
              </w:rPr>
              <w:t>1</w:t>
            </w:r>
            <w:r>
              <w:rPr>
                <w:rFonts w:hint="eastAsia" w:ascii="方正书宋_GBK" w:eastAsia="方正书宋_GBK"/>
                <w:b/>
                <w:color w:val="auto"/>
                <w:highlight w:val="none"/>
              </w:rPr>
              <w:t>、专门委员会、常委及代表活动</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lang w:val="en-US" w:eastAsia="zh-CN"/>
              </w:rPr>
              <w:t>289850</w:t>
            </w:r>
            <w:r>
              <w:rPr>
                <w:rFonts w:ascii="方正书宋_GBK" w:eastAsia="方正书宋_GBK"/>
                <w:color w:val="auto"/>
                <w:highlight w:val="none"/>
              </w:rPr>
              <w:t>.00</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组织专门委员会委员、各工作委员会及特聘专家进行对法律实施情况进行执法检查；组织县人大常委会委员及县人大代表进行执法检查和集中视察；开展代表建议督办；组织对常委及代表培训。</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发挥常委及代表的作用，集中反映民意，促进依法履职。</w:t>
            </w:r>
          </w:p>
        </w:tc>
        <w:tc>
          <w:tcPr>
            <w:tcW w:w="1417"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lang w:eastAsia="zh-CN"/>
              </w:rPr>
              <w:t>依法履职履</w:t>
            </w:r>
            <w:r>
              <w:rPr>
                <w:rFonts w:hint="eastAsia" w:ascii="方正书宋_GBK" w:eastAsia="方正书宋_GBK"/>
                <w:color w:val="auto"/>
                <w:highlight w:val="none"/>
              </w:rPr>
              <w:t>率</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80%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70%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二、人大会议</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lang w:val="en-US" w:eastAsia="zh-CN"/>
              </w:rPr>
              <w:t>215092</w:t>
            </w:r>
            <w:r>
              <w:rPr>
                <w:rFonts w:ascii="方正书宋_GBK" w:eastAsia="方正书宋_GBK"/>
                <w:color w:val="auto"/>
                <w:highlight w:val="none"/>
              </w:rPr>
              <w:t>.</w:t>
            </w:r>
            <w:r>
              <w:rPr>
                <w:rFonts w:hint="eastAsia" w:ascii="方正书宋_GBK" w:eastAsia="方正书宋_GBK"/>
                <w:color w:val="auto"/>
                <w:highlight w:val="none"/>
                <w:lang w:val="en-US" w:eastAsia="zh-CN"/>
              </w:rPr>
              <w:t>5</w:t>
            </w:r>
            <w:r>
              <w:rPr>
                <w:rFonts w:ascii="方正书宋_GBK" w:eastAsia="方正书宋_GBK"/>
                <w:color w:val="auto"/>
                <w:highlight w:val="none"/>
              </w:rPr>
              <w:t>0</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县人民代表大会和常务委员会各种会议的筹备、会务工作，负责常委会文件起草、审核把关，常委会会议、主任会议及常委会党组会议决定事项、工作部署、重要文件及领导批示的传达和督办。</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完善各项会议制度，规范会议程序，提高会议质量，提高人大代表及常委会审议水平。</w:t>
            </w:r>
          </w:p>
        </w:tc>
        <w:tc>
          <w:tcPr>
            <w:tcW w:w="1417"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rPr>
              <w:t>会议筹备及会务工作的完成率</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　　</w:t>
            </w:r>
            <w:r>
              <w:rPr>
                <w:rFonts w:ascii="方正书宋_GBK" w:eastAsia="方正书宋_GBK"/>
                <w:b/>
                <w:color w:val="auto"/>
                <w:highlight w:val="none"/>
              </w:rPr>
              <w:t>1</w:t>
            </w:r>
            <w:r>
              <w:rPr>
                <w:rFonts w:hint="eastAsia" w:ascii="方正书宋_GBK" w:eastAsia="方正书宋_GBK"/>
                <w:b/>
                <w:color w:val="auto"/>
                <w:highlight w:val="none"/>
              </w:rPr>
              <w:t>、人大会议</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2</w:t>
            </w:r>
            <w:r>
              <w:rPr>
                <w:rFonts w:hint="eastAsia" w:ascii="方正书宋_GBK" w:eastAsia="方正书宋_GBK"/>
                <w:color w:val="auto"/>
                <w:highlight w:val="none"/>
                <w:lang w:val="en-US" w:eastAsia="zh-CN"/>
              </w:rPr>
              <w:t>15092.50</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承担县人民代表大会和常务委员会各种会议的筹备、会务工作，负责常委会文件起草、审核把关，常委会会议、主任会议及常委会党组会议决定事项、工作部署、重要文件及领导批示的传达和督办。</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完善各项会议制度，规范会议程序，提高会议质量，提高人大代表及常委会审议水平。</w:t>
            </w:r>
          </w:p>
        </w:tc>
        <w:tc>
          <w:tcPr>
            <w:tcW w:w="1417"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rPr>
              <w:t>会议筹备及会务工作的完成率</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三、选举和任免</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检查监督代表法、选举法及其实施办法的贯彻实施；承担人大换届选举及人事任免服务工作；负责对县政府组成人员和县级人民法院、县人民检察院主要负责人的目标责任书、述职报告的督办工作。</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确保换届选举工作顺利完成，实现省市和县委人事安排部署；提高组织换届选举工作水平。</w:t>
            </w:r>
          </w:p>
        </w:tc>
        <w:tc>
          <w:tcPr>
            <w:tcW w:w="1417" w:type="dxa"/>
            <w:shd w:val="clear" w:color="auto" w:fill="auto"/>
            <w:noWrap w:val="0"/>
            <w:vAlign w:val="center"/>
          </w:tcPr>
          <w:p>
            <w:pPr>
              <w:spacing w:line="300" w:lineRule="exact"/>
              <w:jc w:val="left"/>
              <w:rPr>
                <w:rFonts w:hint="eastAsia" w:ascii="方正书宋_GBK" w:eastAsia="方正书宋_GBK"/>
                <w:color w:val="auto"/>
                <w:highlight w:val="none"/>
                <w:lang w:eastAsia="zh-CN"/>
              </w:rPr>
            </w:pPr>
            <w:r>
              <w:rPr>
                <w:rFonts w:hint="eastAsia" w:ascii="方正书宋_GBK" w:eastAsia="方正书宋_GBK"/>
                <w:color w:val="auto"/>
                <w:highlight w:val="none"/>
                <w:lang w:eastAsia="zh-CN"/>
              </w:rPr>
              <w:t>选举和任免完成率</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80%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70%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　　</w:t>
            </w:r>
            <w:r>
              <w:rPr>
                <w:rFonts w:ascii="方正书宋_GBK" w:eastAsia="方正书宋_GBK"/>
                <w:b/>
                <w:color w:val="auto"/>
                <w:highlight w:val="none"/>
              </w:rPr>
              <w:t>1</w:t>
            </w:r>
            <w:r>
              <w:rPr>
                <w:rFonts w:hint="eastAsia" w:ascii="方正书宋_GBK" w:eastAsia="方正书宋_GBK"/>
                <w:b/>
                <w:color w:val="auto"/>
                <w:highlight w:val="none"/>
              </w:rPr>
              <w:t>、换届选举及人事任免</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承担县人大换届选举、县级国家机关领导人的选举和常委会人事任免的服务工作；指导乡镇人大换届选举工作；负责对县政府组成人员和县级人民法院、县人民检察院主要负责人的目标责任书、述职报告的督办工作；对换届选举人员进行培训。</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确保换届选举工作顺利完成，实现省市和县委人事安排部署；提高组织换届选举工作水平。</w:t>
            </w:r>
          </w:p>
        </w:tc>
        <w:tc>
          <w:tcPr>
            <w:tcW w:w="1417"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lang w:eastAsia="zh-CN"/>
              </w:rPr>
              <w:t>选举和任免完成率</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80%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70%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四、人大事务管理</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lang w:val="en-US" w:eastAsia="zh-CN"/>
              </w:rPr>
              <w:t>238595</w:t>
            </w:r>
            <w:r>
              <w:rPr>
                <w:rFonts w:ascii="方正书宋_GBK" w:eastAsia="方正书宋_GBK"/>
                <w:color w:val="auto"/>
                <w:highlight w:val="none"/>
              </w:rPr>
              <w:t>.00</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新闻宣传和机关信息化建设与维护；人代会及常委会会议表决系统、机关基础设施建设与维护；县人大机关日常管理事务；公报、年检的编辑印刷；信访工作。</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促进机关自身建设、服务保障能力进一步提升。</w:t>
            </w:r>
          </w:p>
        </w:tc>
        <w:tc>
          <w:tcPr>
            <w:tcW w:w="1417"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rPr>
              <w:t>综合业务管理工作完成率</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　　</w:t>
            </w:r>
            <w:r>
              <w:rPr>
                <w:rFonts w:ascii="方正书宋_GBK" w:eastAsia="方正书宋_GBK"/>
                <w:b/>
                <w:color w:val="auto"/>
                <w:highlight w:val="none"/>
              </w:rPr>
              <w:t>1</w:t>
            </w:r>
            <w:r>
              <w:rPr>
                <w:rFonts w:hint="eastAsia" w:ascii="方正书宋_GBK" w:eastAsia="方正书宋_GBK"/>
                <w:b/>
                <w:color w:val="auto"/>
                <w:highlight w:val="none"/>
              </w:rPr>
              <w:t>、综合业务管理</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w:t>
            </w:r>
            <w:bookmarkStart w:id="3" w:name="_GoBack"/>
            <w:bookmarkEnd w:id="3"/>
            <w:r>
              <w:rPr>
                <w:rFonts w:hint="eastAsia" w:ascii="方正书宋_GBK" w:eastAsia="方正书宋_GBK"/>
                <w:color w:val="auto"/>
                <w:highlight w:val="none"/>
              </w:rPr>
              <w:t>人大常委会联系；重大课题调研。</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促进机关自身建设、服务保障能力进一步提升。</w:t>
            </w:r>
          </w:p>
        </w:tc>
        <w:tc>
          <w:tcPr>
            <w:tcW w:w="1417"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rPr>
              <w:t>综合业务管理工作完成率</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　　</w:t>
            </w:r>
            <w:r>
              <w:rPr>
                <w:rFonts w:ascii="方正书宋_GBK" w:eastAsia="方正书宋_GBK"/>
                <w:b/>
                <w:color w:val="auto"/>
                <w:highlight w:val="none"/>
              </w:rPr>
              <w:t>2</w:t>
            </w:r>
            <w:r>
              <w:rPr>
                <w:rFonts w:hint="eastAsia" w:ascii="方正书宋_GBK" w:eastAsia="方正书宋_GBK"/>
                <w:b/>
                <w:color w:val="auto"/>
                <w:highlight w:val="none"/>
              </w:rPr>
              <w:t>、综合事务管理</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lang w:val="en-US" w:eastAsia="zh-CN"/>
              </w:rPr>
              <w:t>238595</w:t>
            </w:r>
            <w:r>
              <w:rPr>
                <w:rFonts w:ascii="方正书宋_GBK" w:eastAsia="方正书宋_GBK"/>
                <w:color w:val="auto"/>
                <w:highlight w:val="none"/>
              </w:rPr>
              <w:t>.00</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促进机关自身建设、服务保障能力进一步提升。</w:t>
            </w:r>
          </w:p>
        </w:tc>
        <w:tc>
          <w:tcPr>
            <w:tcW w:w="1417"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rPr>
              <w:t>综合业务管理工作完成率</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100%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95%</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五、新农村建设</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lang w:val="en-US" w:eastAsia="zh-CN"/>
              </w:rPr>
              <w:t>25500</w:t>
            </w:r>
            <w:r>
              <w:rPr>
                <w:rFonts w:ascii="方正书宋_GBK" w:eastAsia="方正书宋_GBK"/>
                <w:color w:val="auto"/>
                <w:highlight w:val="none"/>
              </w:rPr>
              <w:t>.00</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将积极动员和组织社会力量，为新农村建设提供智力、信息、项目、资金、技术以及法律政策咨询等方面的服务；对新农村建设的理论和实践问题进行调研和论证；组织力量开展新农村建设需要的各类培训，帮助农村干部，技术人员，产业、行业管理人员提高综合素质和领导、管理水平。</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将积极动员和组织社会力量，为新农村建设提供智力、信息、项目、资金、技术以及法律政策咨询等方面的服务；对新农村建设的理论和实践问题进行调研和论证；组织力量开展新农村建设需要的各类培训，帮助农村干部，技术人员，产业、行业管理人员提高综合素质和领导、管理水平。</w:t>
            </w:r>
          </w:p>
        </w:tc>
        <w:tc>
          <w:tcPr>
            <w:tcW w:w="1417" w:type="dxa"/>
            <w:shd w:val="clear" w:color="auto" w:fill="auto"/>
            <w:noWrap w:val="0"/>
            <w:vAlign w:val="center"/>
          </w:tcPr>
          <w:p>
            <w:pPr>
              <w:spacing w:line="300" w:lineRule="exact"/>
              <w:jc w:val="left"/>
              <w:rPr>
                <w:rFonts w:hint="eastAsia" w:ascii="方正书宋_GBK" w:eastAsia="方正书宋_GBK"/>
                <w:color w:val="auto"/>
                <w:highlight w:val="none"/>
                <w:lang w:eastAsia="zh-CN"/>
              </w:rPr>
            </w:pPr>
            <w:r>
              <w:rPr>
                <w:rFonts w:hint="eastAsia" w:ascii="方正书宋_GBK" w:eastAsia="方正书宋_GBK"/>
                <w:color w:val="auto"/>
                <w:highlight w:val="none"/>
                <w:lang w:eastAsia="zh-CN"/>
              </w:rPr>
              <w:t>新农村工作完成率</w:t>
            </w:r>
          </w:p>
        </w:tc>
        <w:tc>
          <w:tcPr>
            <w:tcW w:w="737" w:type="dxa"/>
            <w:shd w:val="clear" w:color="auto" w:fill="auto"/>
            <w:noWrap w:val="0"/>
            <w:vAlign w:val="center"/>
          </w:tcPr>
          <w:p>
            <w:pPr>
              <w:spacing w:line="360" w:lineRule="auto"/>
              <w:jc w:val="center"/>
              <w:rPr>
                <w:rFonts w:ascii="方正书宋_GBK" w:eastAsia="方正书宋_GBK"/>
                <w:color w:val="auto"/>
                <w:highlight w:val="none"/>
              </w:rPr>
            </w:pPr>
            <w:r>
              <w:rPr>
                <w:rFonts w:ascii="仿宋" w:hAnsi="仿宋" w:eastAsia="仿宋"/>
                <w:sz w:val="18"/>
                <w:szCs w:val="18"/>
              </w:rPr>
              <w:t>100</w:t>
            </w:r>
            <w:r>
              <w:rPr>
                <w:rFonts w:hint="eastAsia" w:ascii="仿宋" w:hAnsi="仿宋" w:eastAsia="仿宋"/>
                <w:sz w:val="18"/>
                <w:szCs w:val="18"/>
              </w:rPr>
              <w:t>%</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r>
              <w:rPr>
                <w:rFonts w:hint="eastAsia" w:ascii="仿宋" w:hAnsi="仿宋" w:eastAsia="仿宋"/>
                <w:sz w:val="18"/>
                <w:szCs w:val="18"/>
              </w:rPr>
              <w:t>%</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80</w:t>
            </w:r>
            <w:r>
              <w:rPr>
                <w:rFonts w:hint="eastAsia" w:ascii="仿宋" w:hAnsi="仿宋" w:eastAsia="仿宋"/>
                <w:sz w:val="18"/>
                <w:szCs w:val="18"/>
              </w:rPr>
              <w:t>%</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&lt;60</w:t>
            </w:r>
            <w:r>
              <w:rPr>
                <w:rFonts w:hint="eastAsia" w:ascii="仿宋" w:hAnsi="仿宋" w:eastAsia="仿宋"/>
                <w:sz w:val="18"/>
                <w:szCs w:val="1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color w:val="auto"/>
                <w:highlight w:val="none"/>
              </w:rPr>
            </w:pPr>
            <w:r>
              <w:rPr>
                <w:rFonts w:hint="eastAsia" w:ascii="方正书宋_GBK" w:eastAsia="方正书宋_GBK"/>
                <w:b/>
                <w:color w:val="auto"/>
                <w:highlight w:val="none"/>
              </w:rPr>
              <w:t>　　</w:t>
            </w:r>
            <w:r>
              <w:rPr>
                <w:rFonts w:ascii="方正书宋_GBK" w:eastAsia="方正书宋_GBK"/>
                <w:b/>
                <w:color w:val="auto"/>
                <w:highlight w:val="none"/>
              </w:rPr>
              <w:t>1</w:t>
            </w:r>
            <w:r>
              <w:rPr>
                <w:rFonts w:hint="eastAsia" w:ascii="方正书宋_GBK" w:eastAsia="方正书宋_GBK"/>
                <w:b/>
                <w:color w:val="auto"/>
                <w:highlight w:val="none"/>
              </w:rPr>
              <w:t>、新农村建设</w:t>
            </w:r>
          </w:p>
        </w:tc>
        <w:tc>
          <w:tcPr>
            <w:tcW w:w="1276"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lang w:val="en-US" w:eastAsia="zh-CN"/>
              </w:rPr>
              <w:t>25500</w:t>
            </w:r>
            <w:r>
              <w:rPr>
                <w:rFonts w:ascii="方正书宋_GBK" w:eastAsia="方正书宋_GBK"/>
                <w:color w:val="auto"/>
                <w:highlight w:val="none"/>
              </w:rPr>
              <w:t>.00</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将积极动员和组织社会力量，为新农村建设提供智力、信息、项目、资金、技术以及法律政策咨询等方面的服务；对新农村建设的理论和实践问题进行调研和论证</w:t>
            </w:r>
          </w:p>
        </w:tc>
        <w:tc>
          <w:tcPr>
            <w:tcW w:w="297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将积极动员和组织社会力量，为新农村建设提供智力、信息、项目、资金、技术以及法律政策咨询等方面的服务；对新农村建设的理论和实践问题进行调研和论证</w:t>
            </w:r>
          </w:p>
        </w:tc>
        <w:tc>
          <w:tcPr>
            <w:tcW w:w="1417"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lang w:eastAsia="zh-CN"/>
              </w:rPr>
              <w:t>新农村工作完成率</w:t>
            </w:r>
          </w:p>
        </w:tc>
        <w:tc>
          <w:tcPr>
            <w:tcW w:w="737" w:type="dxa"/>
            <w:shd w:val="clear" w:color="auto" w:fill="auto"/>
            <w:noWrap w:val="0"/>
            <w:vAlign w:val="center"/>
          </w:tcPr>
          <w:p>
            <w:pPr>
              <w:spacing w:line="360" w:lineRule="auto"/>
              <w:jc w:val="center"/>
              <w:rPr>
                <w:rFonts w:ascii="方正书宋_GBK" w:eastAsia="方正书宋_GBK"/>
                <w:color w:val="auto"/>
                <w:highlight w:val="none"/>
              </w:rPr>
            </w:pPr>
            <w:r>
              <w:rPr>
                <w:rFonts w:ascii="仿宋" w:hAnsi="仿宋" w:eastAsia="仿宋"/>
                <w:sz w:val="18"/>
                <w:szCs w:val="18"/>
              </w:rPr>
              <w:t>100</w:t>
            </w:r>
            <w:r>
              <w:rPr>
                <w:rFonts w:hint="eastAsia" w:ascii="仿宋" w:hAnsi="仿宋" w:eastAsia="仿宋"/>
                <w:sz w:val="18"/>
                <w:szCs w:val="18"/>
              </w:rPr>
              <w:t>%</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90</w:t>
            </w:r>
            <w:r>
              <w:rPr>
                <w:rFonts w:hint="eastAsia" w:ascii="仿宋" w:hAnsi="仿宋" w:eastAsia="仿宋"/>
                <w:sz w:val="18"/>
                <w:szCs w:val="18"/>
              </w:rPr>
              <w:t>%</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hint="eastAsia" w:ascii="仿宋" w:hAnsi="仿宋" w:eastAsia="仿宋"/>
                <w:sz w:val="18"/>
                <w:szCs w:val="18"/>
              </w:rPr>
              <w:t>≥</w:t>
            </w:r>
            <w:r>
              <w:rPr>
                <w:rFonts w:ascii="仿宋" w:hAnsi="仿宋" w:eastAsia="仿宋"/>
                <w:sz w:val="18"/>
                <w:szCs w:val="18"/>
              </w:rPr>
              <w:t>80</w:t>
            </w:r>
            <w:r>
              <w:rPr>
                <w:rFonts w:hint="eastAsia" w:ascii="仿宋" w:hAnsi="仿宋" w:eastAsia="仿宋"/>
                <w:sz w:val="18"/>
                <w:szCs w:val="18"/>
              </w:rPr>
              <w:t>%</w:t>
            </w:r>
          </w:p>
        </w:tc>
        <w:tc>
          <w:tcPr>
            <w:tcW w:w="737" w:type="dxa"/>
            <w:shd w:val="clear" w:color="auto" w:fill="auto"/>
            <w:noWrap w:val="0"/>
            <w:vAlign w:val="center"/>
          </w:tcPr>
          <w:p>
            <w:pPr>
              <w:spacing w:line="300" w:lineRule="exact"/>
              <w:jc w:val="center"/>
              <w:rPr>
                <w:rFonts w:ascii="方正书宋_GBK" w:eastAsia="方正书宋_GBK"/>
                <w:color w:val="auto"/>
                <w:highlight w:val="none"/>
              </w:rPr>
            </w:pPr>
            <w:r>
              <w:rPr>
                <w:rFonts w:ascii="仿宋" w:hAnsi="仿宋" w:eastAsia="仿宋"/>
                <w:sz w:val="18"/>
                <w:szCs w:val="18"/>
              </w:rPr>
              <w:t>&lt;60</w:t>
            </w:r>
            <w:r>
              <w:rPr>
                <w:rFonts w:hint="eastAsia" w:ascii="仿宋" w:hAnsi="仿宋" w:eastAsia="仿宋"/>
                <w:sz w:val="18"/>
                <w:szCs w:val="18"/>
              </w:rPr>
              <w:t>%</w:t>
            </w:r>
          </w:p>
        </w:tc>
      </w:tr>
    </w:tbl>
    <w:p>
      <w:pPr>
        <w:spacing w:line="300" w:lineRule="exact"/>
        <w:jc w:val="left"/>
        <w:outlineLvl w:val="0"/>
        <w:rPr>
          <w:color w:val="auto"/>
          <w:highlight w:val="none"/>
        </w:rPr>
        <w:sectPr>
          <w:pgSz w:w="16839" w:h="11907" w:orient="landscape"/>
          <w:pgMar w:top="1020" w:right="1361" w:bottom="1020" w:left="1361" w:header="851" w:footer="992" w:gutter="0"/>
          <w:cols w:space="425"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23</w:t>
      </w:r>
      <w:r>
        <w:rPr>
          <w:rFonts w:ascii="Times New Roman" w:hAnsi="Times New Roman" w:eastAsia="仿宋" w:cs="Times New Roman"/>
          <w:sz w:val="32"/>
          <w:szCs w:val="24"/>
        </w:rPr>
        <w:t>万元。具体内容见下表。</w:t>
      </w:r>
      <w:bookmarkEnd w:id="1"/>
    </w:p>
    <w:p>
      <w:pPr>
        <w:jc w:val="center"/>
        <w:outlineLvl w:val="0"/>
        <w:rPr>
          <w:rFonts w:hint="eastAsia" w:ascii="方正小标宋_GBK" w:eastAsia="方正小标宋_GBK"/>
          <w:color w:val="auto"/>
          <w:sz w:val="32"/>
          <w:highlight w:val="none"/>
        </w:rPr>
      </w:pPr>
      <w:bookmarkStart w:id="2" w:name="_Toc1912535"/>
      <w:r>
        <w:rPr>
          <w:rFonts w:hint="eastAsia" w:ascii="方正小标宋_GBK" w:eastAsia="方正小标宋_GBK"/>
          <w:color w:val="auto"/>
          <w:sz w:val="32"/>
          <w:highlight w:val="none"/>
        </w:rPr>
        <w:t>部门政府采购预算</w:t>
      </w:r>
      <w:bookmarkEnd w:id="2"/>
    </w:p>
    <w:tbl>
      <w:tblPr>
        <w:tblStyle w:val="7"/>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13"/>
        <w:gridCol w:w="1161"/>
        <w:gridCol w:w="839"/>
        <w:gridCol w:w="1161"/>
        <w:gridCol w:w="626"/>
        <w:gridCol w:w="636"/>
        <w:gridCol w:w="1056"/>
        <w:gridCol w:w="1169"/>
        <w:gridCol w:w="1169"/>
        <w:gridCol w:w="1169"/>
        <w:gridCol w:w="819"/>
        <w:gridCol w:w="831"/>
        <w:gridCol w:w="831"/>
        <w:gridCol w:w="7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792" w:type="dxa"/>
            <w:gridSpan w:val="7"/>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color w:val="auto"/>
                <w:sz w:val="24"/>
                <w:highlight w:val="none"/>
              </w:rPr>
            </w:pPr>
            <w:r>
              <w:rPr>
                <w:rFonts w:ascii="方正小标宋_GBK" w:eastAsia="方正小标宋_GBK"/>
                <w:color w:val="auto"/>
                <w:sz w:val="24"/>
                <w:highlight w:val="none"/>
              </w:rPr>
              <w:t>101</w:t>
            </w:r>
            <w:r>
              <w:rPr>
                <w:rFonts w:hint="eastAsia" w:ascii="方正小标宋_GBK" w:eastAsia="方正小标宋_GBK"/>
                <w:color w:val="auto"/>
                <w:sz w:val="24"/>
                <w:highlight w:val="none"/>
              </w:rPr>
              <w:t>隆尧县人大</w:t>
            </w:r>
          </w:p>
        </w:tc>
        <w:tc>
          <w:tcPr>
            <w:tcW w:w="6776" w:type="dxa"/>
            <w:gridSpan w:val="7"/>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color w:val="auto"/>
                <w:sz w:val="24"/>
                <w:highlight w:val="none"/>
              </w:rPr>
            </w:pPr>
            <w:r>
              <w:rPr>
                <w:rFonts w:hint="eastAsia" w:ascii="方正书宋_GBK" w:eastAsia="方正书宋_GBK"/>
                <w:color w:val="auto"/>
                <w:sz w:val="24"/>
                <w:highlight w:val="none"/>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74" w:type="dxa"/>
            <w:gridSpan w:val="2"/>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政府采购项目来源</w:t>
            </w:r>
          </w:p>
        </w:tc>
        <w:tc>
          <w:tcPr>
            <w:tcW w:w="839"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采购物品名称</w:t>
            </w:r>
          </w:p>
        </w:tc>
        <w:tc>
          <w:tcPr>
            <w:tcW w:w="1161"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政府采购目录序号</w:t>
            </w:r>
          </w:p>
        </w:tc>
        <w:tc>
          <w:tcPr>
            <w:tcW w:w="626"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数量</w:t>
            </w:r>
            <w:r>
              <w:rPr>
                <w:rFonts w:ascii="方正书宋_GBK" w:eastAsia="方正书宋_GBK"/>
                <w:b/>
                <w:color w:val="auto"/>
                <w:highlight w:val="none"/>
              </w:rPr>
              <w:t xml:space="preserve">  </w:t>
            </w:r>
            <w:r>
              <w:rPr>
                <w:rFonts w:hint="eastAsia" w:ascii="方正书宋_GBK" w:eastAsia="方正书宋_GBK"/>
                <w:b/>
                <w:color w:val="auto"/>
                <w:highlight w:val="none"/>
              </w:rPr>
              <w:t>单位</w:t>
            </w:r>
          </w:p>
        </w:tc>
        <w:tc>
          <w:tcPr>
            <w:tcW w:w="636"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数量</w:t>
            </w:r>
          </w:p>
        </w:tc>
        <w:tc>
          <w:tcPr>
            <w:tcW w:w="1056"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单价</w:t>
            </w:r>
          </w:p>
        </w:tc>
        <w:tc>
          <w:tcPr>
            <w:tcW w:w="6776" w:type="dxa"/>
            <w:gridSpan w:val="7"/>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13"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项目名称</w:t>
            </w:r>
          </w:p>
        </w:tc>
        <w:tc>
          <w:tcPr>
            <w:tcW w:w="1161"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预算资金</w:t>
            </w:r>
          </w:p>
        </w:tc>
        <w:tc>
          <w:tcPr>
            <w:tcW w:w="839" w:type="dxa"/>
            <w:vMerge w:val="continue"/>
            <w:shd w:val="clear" w:color="auto" w:fill="auto"/>
            <w:noWrap w:val="0"/>
            <w:vAlign w:val="center"/>
          </w:tcPr>
          <w:p>
            <w:pPr>
              <w:spacing w:line="300" w:lineRule="exact"/>
              <w:jc w:val="left"/>
              <w:outlineLvl w:val="0"/>
              <w:rPr>
                <w:color w:val="auto"/>
                <w:highlight w:val="none"/>
              </w:rPr>
            </w:pPr>
          </w:p>
        </w:tc>
        <w:tc>
          <w:tcPr>
            <w:tcW w:w="1161" w:type="dxa"/>
            <w:vMerge w:val="continue"/>
            <w:shd w:val="clear" w:color="auto" w:fill="auto"/>
            <w:noWrap w:val="0"/>
            <w:vAlign w:val="center"/>
          </w:tcPr>
          <w:p>
            <w:pPr>
              <w:spacing w:line="300" w:lineRule="exact"/>
              <w:jc w:val="left"/>
              <w:outlineLvl w:val="0"/>
              <w:rPr>
                <w:color w:val="auto"/>
                <w:highlight w:val="none"/>
              </w:rPr>
            </w:pPr>
          </w:p>
        </w:tc>
        <w:tc>
          <w:tcPr>
            <w:tcW w:w="626" w:type="dxa"/>
            <w:vMerge w:val="continue"/>
            <w:shd w:val="clear" w:color="auto" w:fill="auto"/>
            <w:noWrap w:val="0"/>
            <w:vAlign w:val="center"/>
          </w:tcPr>
          <w:p>
            <w:pPr>
              <w:spacing w:line="300" w:lineRule="exact"/>
              <w:jc w:val="left"/>
              <w:outlineLvl w:val="0"/>
              <w:rPr>
                <w:color w:val="auto"/>
                <w:highlight w:val="none"/>
              </w:rPr>
            </w:pPr>
          </w:p>
        </w:tc>
        <w:tc>
          <w:tcPr>
            <w:tcW w:w="636" w:type="dxa"/>
            <w:vMerge w:val="continue"/>
            <w:shd w:val="clear" w:color="auto" w:fill="auto"/>
            <w:noWrap w:val="0"/>
            <w:vAlign w:val="center"/>
          </w:tcPr>
          <w:p>
            <w:pPr>
              <w:spacing w:line="300" w:lineRule="exact"/>
              <w:jc w:val="left"/>
              <w:outlineLvl w:val="0"/>
              <w:rPr>
                <w:color w:val="auto"/>
                <w:highlight w:val="none"/>
              </w:rPr>
            </w:pPr>
          </w:p>
        </w:tc>
        <w:tc>
          <w:tcPr>
            <w:tcW w:w="1056" w:type="dxa"/>
            <w:vMerge w:val="continue"/>
            <w:shd w:val="clear" w:color="auto" w:fill="auto"/>
            <w:noWrap w:val="0"/>
            <w:vAlign w:val="center"/>
          </w:tcPr>
          <w:p>
            <w:pPr>
              <w:spacing w:line="300" w:lineRule="exact"/>
              <w:jc w:val="left"/>
              <w:outlineLvl w:val="0"/>
              <w:rPr>
                <w:color w:val="auto"/>
                <w:highlight w:val="none"/>
              </w:rPr>
            </w:pPr>
          </w:p>
        </w:tc>
        <w:tc>
          <w:tcPr>
            <w:tcW w:w="1169"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总计</w:t>
            </w:r>
          </w:p>
        </w:tc>
        <w:tc>
          <w:tcPr>
            <w:tcW w:w="4819" w:type="dxa"/>
            <w:gridSpan w:val="5"/>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当年部门预算安排资金</w:t>
            </w:r>
          </w:p>
        </w:tc>
        <w:tc>
          <w:tcPr>
            <w:tcW w:w="788" w:type="dxa"/>
            <w:vMerge w:val="restart"/>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313" w:type="dxa"/>
            <w:vMerge w:val="continue"/>
            <w:shd w:val="clear" w:color="auto" w:fill="auto"/>
            <w:noWrap w:val="0"/>
            <w:vAlign w:val="center"/>
          </w:tcPr>
          <w:p>
            <w:pPr>
              <w:spacing w:line="300" w:lineRule="exact"/>
              <w:jc w:val="left"/>
              <w:outlineLvl w:val="0"/>
              <w:rPr>
                <w:color w:val="auto"/>
                <w:highlight w:val="none"/>
              </w:rPr>
            </w:pPr>
          </w:p>
        </w:tc>
        <w:tc>
          <w:tcPr>
            <w:tcW w:w="1161" w:type="dxa"/>
            <w:vMerge w:val="continue"/>
            <w:shd w:val="clear" w:color="auto" w:fill="auto"/>
            <w:noWrap w:val="0"/>
            <w:vAlign w:val="center"/>
          </w:tcPr>
          <w:p>
            <w:pPr>
              <w:spacing w:line="300" w:lineRule="exact"/>
              <w:jc w:val="left"/>
              <w:outlineLvl w:val="0"/>
              <w:rPr>
                <w:color w:val="auto"/>
                <w:highlight w:val="none"/>
              </w:rPr>
            </w:pPr>
          </w:p>
        </w:tc>
        <w:tc>
          <w:tcPr>
            <w:tcW w:w="839" w:type="dxa"/>
            <w:vMerge w:val="continue"/>
            <w:shd w:val="clear" w:color="auto" w:fill="auto"/>
            <w:noWrap w:val="0"/>
            <w:vAlign w:val="center"/>
          </w:tcPr>
          <w:p>
            <w:pPr>
              <w:spacing w:line="300" w:lineRule="exact"/>
              <w:jc w:val="left"/>
              <w:outlineLvl w:val="0"/>
              <w:rPr>
                <w:color w:val="auto"/>
                <w:highlight w:val="none"/>
              </w:rPr>
            </w:pPr>
          </w:p>
        </w:tc>
        <w:tc>
          <w:tcPr>
            <w:tcW w:w="1161" w:type="dxa"/>
            <w:vMerge w:val="continue"/>
            <w:shd w:val="clear" w:color="auto" w:fill="auto"/>
            <w:noWrap w:val="0"/>
            <w:vAlign w:val="center"/>
          </w:tcPr>
          <w:p>
            <w:pPr>
              <w:spacing w:line="300" w:lineRule="exact"/>
              <w:jc w:val="left"/>
              <w:outlineLvl w:val="0"/>
              <w:rPr>
                <w:color w:val="auto"/>
                <w:highlight w:val="none"/>
              </w:rPr>
            </w:pPr>
          </w:p>
        </w:tc>
        <w:tc>
          <w:tcPr>
            <w:tcW w:w="626" w:type="dxa"/>
            <w:vMerge w:val="continue"/>
            <w:shd w:val="clear" w:color="auto" w:fill="auto"/>
            <w:noWrap w:val="0"/>
            <w:vAlign w:val="center"/>
          </w:tcPr>
          <w:p>
            <w:pPr>
              <w:spacing w:line="300" w:lineRule="exact"/>
              <w:jc w:val="left"/>
              <w:outlineLvl w:val="0"/>
              <w:rPr>
                <w:color w:val="auto"/>
                <w:highlight w:val="none"/>
              </w:rPr>
            </w:pPr>
          </w:p>
        </w:tc>
        <w:tc>
          <w:tcPr>
            <w:tcW w:w="636" w:type="dxa"/>
            <w:vMerge w:val="continue"/>
            <w:shd w:val="clear" w:color="auto" w:fill="auto"/>
            <w:noWrap w:val="0"/>
            <w:vAlign w:val="center"/>
          </w:tcPr>
          <w:p>
            <w:pPr>
              <w:spacing w:line="300" w:lineRule="exact"/>
              <w:jc w:val="left"/>
              <w:outlineLvl w:val="0"/>
              <w:rPr>
                <w:color w:val="auto"/>
                <w:highlight w:val="none"/>
              </w:rPr>
            </w:pPr>
          </w:p>
        </w:tc>
        <w:tc>
          <w:tcPr>
            <w:tcW w:w="1056" w:type="dxa"/>
            <w:vMerge w:val="continue"/>
            <w:shd w:val="clear" w:color="auto" w:fill="auto"/>
            <w:noWrap w:val="0"/>
            <w:vAlign w:val="center"/>
          </w:tcPr>
          <w:p>
            <w:pPr>
              <w:spacing w:line="300" w:lineRule="exact"/>
              <w:jc w:val="left"/>
              <w:outlineLvl w:val="0"/>
              <w:rPr>
                <w:color w:val="auto"/>
                <w:highlight w:val="none"/>
              </w:rPr>
            </w:pPr>
          </w:p>
        </w:tc>
        <w:tc>
          <w:tcPr>
            <w:tcW w:w="1169" w:type="dxa"/>
            <w:vMerge w:val="continue"/>
            <w:shd w:val="clear" w:color="auto" w:fill="auto"/>
            <w:noWrap w:val="0"/>
            <w:vAlign w:val="center"/>
          </w:tcPr>
          <w:p>
            <w:pPr>
              <w:spacing w:line="300" w:lineRule="exact"/>
              <w:jc w:val="left"/>
              <w:outlineLvl w:val="0"/>
              <w:rPr>
                <w:color w:val="auto"/>
                <w:highlight w:val="none"/>
              </w:rPr>
            </w:pPr>
          </w:p>
        </w:tc>
        <w:tc>
          <w:tcPr>
            <w:tcW w:w="1169"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合计</w:t>
            </w:r>
          </w:p>
        </w:tc>
        <w:tc>
          <w:tcPr>
            <w:tcW w:w="1169"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一般公共预算拨款</w:t>
            </w:r>
          </w:p>
        </w:tc>
        <w:tc>
          <w:tcPr>
            <w:tcW w:w="819"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基金预算拨款</w:t>
            </w:r>
          </w:p>
        </w:tc>
        <w:tc>
          <w:tcPr>
            <w:tcW w:w="831"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财政专户核拨</w:t>
            </w:r>
          </w:p>
        </w:tc>
        <w:tc>
          <w:tcPr>
            <w:tcW w:w="831"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其他来源收入</w:t>
            </w:r>
          </w:p>
        </w:tc>
        <w:tc>
          <w:tcPr>
            <w:tcW w:w="788" w:type="dxa"/>
            <w:vMerge w:val="continue"/>
            <w:shd w:val="clear" w:color="auto" w:fill="auto"/>
            <w:noWrap w:val="0"/>
            <w:vAlign w:val="center"/>
          </w:tcPr>
          <w:p>
            <w:pPr>
              <w:spacing w:line="300" w:lineRule="exact"/>
              <w:jc w:val="left"/>
              <w:outlineLvl w:val="0"/>
              <w:rPr>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center"/>
              <w:rPr>
                <w:rFonts w:ascii="方正书宋_GBK" w:eastAsia="方正书宋_GBK"/>
                <w:b/>
                <w:color w:val="auto"/>
                <w:highlight w:val="none"/>
              </w:rPr>
            </w:pPr>
            <w:r>
              <w:rPr>
                <w:rFonts w:hint="eastAsia" w:ascii="方正书宋_GBK" w:eastAsia="方正书宋_GBK"/>
                <w:b/>
                <w:color w:val="auto"/>
                <w:highlight w:val="none"/>
              </w:rPr>
              <w:t>合　计</w:t>
            </w:r>
          </w:p>
        </w:tc>
        <w:tc>
          <w:tcPr>
            <w:tcW w:w="1161" w:type="dxa"/>
            <w:shd w:val="clear" w:color="auto" w:fill="auto"/>
            <w:noWrap w:val="0"/>
            <w:vAlign w:val="center"/>
          </w:tcPr>
          <w:p>
            <w:pPr>
              <w:spacing w:line="300" w:lineRule="exact"/>
              <w:jc w:val="right"/>
              <w:rPr>
                <w:rFonts w:ascii="方正书宋_GBK" w:eastAsia="方正书宋_GBK"/>
                <w:b/>
                <w:color w:val="auto"/>
                <w:highlight w:val="none"/>
              </w:rPr>
            </w:pPr>
          </w:p>
        </w:tc>
        <w:tc>
          <w:tcPr>
            <w:tcW w:w="839" w:type="dxa"/>
            <w:shd w:val="clear" w:color="auto" w:fill="auto"/>
            <w:noWrap w:val="0"/>
            <w:vAlign w:val="center"/>
          </w:tcPr>
          <w:p>
            <w:pPr>
              <w:spacing w:line="300" w:lineRule="exact"/>
              <w:jc w:val="left"/>
              <w:rPr>
                <w:rFonts w:ascii="方正书宋_GBK" w:eastAsia="方正书宋_GBK"/>
                <w:b/>
                <w:color w:val="auto"/>
                <w:highlight w:val="none"/>
              </w:rPr>
            </w:pPr>
          </w:p>
        </w:tc>
        <w:tc>
          <w:tcPr>
            <w:tcW w:w="1161" w:type="dxa"/>
            <w:shd w:val="clear" w:color="auto" w:fill="auto"/>
            <w:noWrap w:val="0"/>
            <w:vAlign w:val="center"/>
          </w:tcPr>
          <w:p>
            <w:pPr>
              <w:spacing w:line="300" w:lineRule="exact"/>
              <w:jc w:val="left"/>
              <w:rPr>
                <w:rFonts w:ascii="方正书宋_GBK" w:eastAsia="方正书宋_GBK"/>
                <w:b/>
                <w:color w:val="auto"/>
                <w:highlight w:val="none"/>
              </w:rPr>
            </w:pPr>
          </w:p>
        </w:tc>
        <w:tc>
          <w:tcPr>
            <w:tcW w:w="626" w:type="dxa"/>
            <w:shd w:val="clear" w:color="auto" w:fill="auto"/>
            <w:noWrap w:val="0"/>
            <w:vAlign w:val="center"/>
          </w:tcPr>
          <w:p>
            <w:pPr>
              <w:spacing w:line="300" w:lineRule="exact"/>
              <w:jc w:val="left"/>
              <w:rPr>
                <w:rFonts w:ascii="方正书宋_GBK" w:eastAsia="方正书宋_GBK"/>
                <w:b/>
                <w:color w:val="auto"/>
                <w:highlight w:val="none"/>
              </w:rPr>
            </w:pPr>
          </w:p>
        </w:tc>
        <w:tc>
          <w:tcPr>
            <w:tcW w:w="636" w:type="dxa"/>
            <w:shd w:val="clear" w:color="auto" w:fill="auto"/>
            <w:noWrap w:val="0"/>
            <w:vAlign w:val="center"/>
          </w:tcPr>
          <w:p>
            <w:pPr>
              <w:spacing w:line="300" w:lineRule="exact"/>
              <w:jc w:val="right"/>
              <w:rPr>
                <w:rFonts w:ascii="方正书宋_GBK" w:eastAsia="方正书宋_GBK"/>
                <w:b/>
                <w:color w:val="auto"/>
                <w:highlight w:val="none"/>
              </w:rPr>
            </w:pPr>
          </w:p>
        </w:tc>
        <w:tc>
          <w:tcPr>
            <w:tcW w:w="1056" w:type="dxa"/>
            <w:shd w:val="clear" w:color="auto" w:fill="auto"/>
            <w:noWrap w:val="0"/>
            <w:vAlign w:val="center"/>
          </w:tcPr>
          <w:p>
            <w:pPr>
              <w:spacing w:line="300" w:lineRule="exact"/>
              <w:jc w:val="right"/>
              <w:rPr>
                <w:rFonts w:ascii="方正书宋_GBK" w:eastAsia="方正书宋_GBK"/>
                <w:b/>
                <w:color w:val="auto"/>
                <w:highlight w:val="none"/>
              </w:rPr>
            </w:pPr>
          </w:p>
        </w:tc>
        <w:tc>
          <w:tcPr>
            <w:tcW w:w="1169" w:type="dxa"/>
            <w:shd w:val="clear" w:color="auto" w:fill="auto"/>
            <w:noWrap w:val="0"/>
            <w:vAlign w:val="center"/>
          </w:tcPr>
          <w:p>
            <w:pPr>
              <w:spacing w:line="300" w:lineRule="exact"/>
              <w:jc w:val="right"/>
              <w:rPr>
                <w:rFonts w:ascii="方正书宋_GBK" w:eastAsia="方正书宋_GBK"/>
                <w:b/>
                <w:color w:val="auto"/>
                <w:highlight w:val="none"/>
              </w:rPr>
            </w:pPr>
            <w:r>
              <w:rPr>
                <w:rFonts w:ascii="方正书宋_GBK" w:eastAsia="方正书宋_GBK"/>
                <w:b/>
                <w:color w:val="auto"/>
                <w:highlight w:val="none"/>
              </w:rPr>
              <w:t>2</w:t>
            </w:r>
            <w:r>
              <w:rPr>
                <w:rFonts w:hint="eastAsia" w:ascii="方正书宋_GBK" w:eastAsia="方正书宋_GBK"/>
                <w:b/>
                <w:color w:val="auto"/>
                <w:highlight w:val="none"/>
                <w:lang w:val="en-US" w:eastAsia="zh-CN"/>
              </w:rPr>
              <w:t>30</w:t>
            </w:r>
            <w:r>
              <w:rPr>
                <w:rFonts w:ascii="方正书宋_GBK" w:eastAsia="方正书宋_GBK"/>
                <w:b/>
                <w:color w:val="auto"/>
                <w:highlight w:val="none"/>
              </w:rPr>
              <w:t>000.00</w:t>
            </w:r>
          </w:p>
        </w:tc>
        <w:tc>
          <w:tcPr>
            <w:tcW w:w="1169" w:type="dxa"/>
            <w:shd w:val="clear" w:color="auto" w:fill="auto"/>
            <w:noWrap w:val="0"/>
            <w:vAlign w:val="center"/>
          </w:tcPr>
          <w:p>
            <w:pPr>
              <w:spacing w:line="300" w:lineRule="exact"/>
              <w:jc w:val="right"/>
              <w:rPr>
                <w:rFonts w:ascii="方正书宋_GBK" w:eastAsia="方正书宋_GBK"/>
                <w:b/>
                <w:color w:val="auto"/>
                <w:highlight w:val="none"/>
              </w:rPr>
            </w:pPr>
            <w:r>
              <w:rPr>
                <w:rFonts w:ascii="方正书宋_GBK" w:eastAsia="方正书宋_GBK"/>
                <w:b/>
                <w:color w:val="auto"/>
                <w:highlight w:val="none"/>
              </w:rPr>
              <w:t>2</w:t>
            </w:r>
            <w:r>
              <w:rPr>
                <w:rFonts w:hint="eastAsia" w:ascii="方正书宋_GBK" w:eastAsia="方正书宋_GBK"/>
                <w:b/>
                <w:color w:val="auto"/>
                <w:highlight w:val="none"/>
                <w:lang w:val="en-US" w:eastAsia="zh-CN"/>
              </w:rPr>
              <w:t>30</w:t>
            </w:r>
            <w:r>
              <w:rPr>
                <w:rFonts w:ascii="方正书宋_GBK" w:eastAsia="方正书宋_GBK"/>
                <w:b/>
                <w:color w:val="auto"/>
                <w:highlight w:val="none"/>
              </w:rPr>
              <w:t>000.00</w:t>
            </w:r>
          </w:p>
        </w:tc>
        <w:tc>
          <w:tcPr>
            <w:tcW w:w="1169" w:type="dxa"/>
            <w:shd w:val="clear" w:color="auto" w:fill="auto"/>
            <w:noWrap w:val="0"/>
            <w:vAlign w:val="center"/>
          </w:tcPr>
          <w:p>
            <w:pPr>
              <w:spacing w:line="300" w:lineRule="exact"/>
              <w:jc w:val="right"/>
              <w:rPr>
                <w:rFonts w:ascii="方正书宋_GBK" w:eastAsia="方正书宋_GBK"/>
                <w:b/>
                <w:color w:val="auto"/>
                <w:highlight w:val="none"/>
              </w:rPr>
            </w:pPr>
            <w:r>
              <w:rPr>
                <w:rFonts w:ascii="方正书宋_GBK" w:eastAsia="方正书宋_GBK"/>
                <w:b/>
                <w:color w:val="auto"/>
                <w:highlight w:val="none"/>
              </w:rPr>
              <w:t>2</w:t>
            </w:r>
            <w:r>
              <w:rPr>
                <w:rFonts w:hint="eastAsia" w:ascii="方正书宋_GBK" w:eastAsia="方正书宋_GBK"/>
                <w:b/>
                <w:color w:val="auto"/>
                <w:highlight w:val="none"/>
                <w:lang w:val="en-US" w:eastAsia="zh-CN"/>
              </w:rPr>
              <w:t>30</w:t>
            </w:r>
            <w:r>
              <w:rPr>
                <w:rFonts w:ascii="方正书宋_GBK" w:eastAsia="方正书宋_GBK"/>
                <w:b/>
                <w:color w:val="auto"/>
                <w:highlight w:val="none"/>
              </w:rPr>
              <w:t>000.00</w:t>
            </w:r>
          </w:p>
        </w:tc>
        <w:tc>
          <w:tcPr>
            <w:tcW w:w="819" w:type="dxa"/>
            <w:shd w:val="clear" w:color="auto" w:fill="auto"/>
            <w:noWrap w:val="0"/>
            <w:vAlign w:val="center"/>
          </w:tcPr>
          <w:p>
            <w:pPr>
              <w:spacing w:line="300" w:lineRule="exact"/>
              <w:jc w:val="right"/>
              <w:rPr>
                <w:rFonts w:ascii="方正书宋_GBK" w:eastAsia="方正书宋_GBK"/>
                <w:b/>
                <w:color w:val="auto"/>
                <w:highlight w:val="none"/>
              </w:rPr>
            </w:pPr>
          </w:p>
        </w:tc>
        <w:tc>
          <w:tcPr>
            <w:tcW w:w="831" w:type="dxa"/>
            <w:shd w:val="clear" w:color="auto" w:fill="auto"/>
            <w:noWrap w:val="0"/>
            <w:vAlign w:val="center"/>
          </w:tcPr>
          <w:p>
            <w:pPr>
              <w:spacing w:line="300" w:lineRule="exact"/>
              <w:jc w:val="right"/>
              <w:rPr>
                <w:rFonts w:ascii="方正书宋_GBK" w:eastAsia="方正书宋_GBK"/>
                <w:b/>
                <w:color w:val="auto"/>
                <w:highlight w:val="none"/>
              </w:rPr>
            </w:pPr>
          </w:p>
        </w:tc>
        <w:tc>
          <w:tcPr>
            <w:tcW w:w="831" w:type="dxa"/>
            <w:shd w:val="clear" w:color="auto" w:fill="auto"/>
            <w:noWrap w:val="0"/>
            <w:vAlign w:val="center"/>
          </w:tcPr>
          <w:p>
            <w:pPr>
              <w:spacing w:line="300" w:lineRule="exact"/>
              <w:jc w:val="right"/>
              <w:rPr>
                <w:rFonts w:ascii="方正书宋_GBK" w:eastAsia="方正书宋_GBK"/>
                <w:b/>
                <w:color w:val="auto"/>
                <w:highlight w:val="none"/>
              </w:rPr>
            </w:pPr>
          </w:p>
        </w:tc>
        <w:tc>
          <w:tcPr>
            <w:tcW w:w="788" w:type="dxa"/>
            <w:shd w:val="clear" w:color="auto" w:fill="auto"/>
            <w:noWrap w:val="0"/>
            <w:vAlign w:val="center"/>
          </w:tcPr>
          <w:p>
            <w:pPr>
              <w:spacing w:line="300" w:lineRule="exact"/>
              <w:jc w:val="right"/>
              <w:rPr>
                <w:rFonts w:ascii="方正书宋_GBK" w:eastAsia="方正书宋_GBK"/>
                <w:b/>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center"/>
              <w:rPr>
                <w:rFonts w:hint="eastAsia" w:ascii="方正书宋_GBK" w:eastAsia="方正书宋_GBK"/>
                <w:b/>
                <w:color w:val="auto"/>
                <w:highlight w:val="none"/>
              </w:rPr>
            </w:pPr>
            <w:r>
              <w:rPr>
                <w:rFonts w:hint="eastAsia" w:ascii="方正书宋_GBK" w:eastAsia="方正书宋_GBK"/>
                <w:b/>
                <w:color w:val="auto"/>
                <w:highlight w:val="none"/>
              </w:rPr>
              <w:t>隆尧县人民代表大会常务委员会办公室小计</w:t>
            </w:r>
          </w:p>
        </w:tc>
        <w:tc>
          <w:tcPr>
            <w:tcW w:w="1161" w:type="dxa"/>
            <w:shd w:val="clear" w:color="auto" w:fill="auto"/>
            <w:noWrap w:val="0"/>
            <w:vAlign w:val="center"/>
          </w:tcPr>
          <w:p>
            <w:pPr>
              <w:spacing w:line="300" w:lineRule="exact"/>
              <w:jc w:val="right"/>
              <w:rPr>
                <w:rFonts w:ascii="方正书宋_GBK" w:eastAsia="方正书宋_GBK"/>
                <w:b/>
                <w:color w:val="auto"/>
                <w:highlight w:val="none"/>
              </w:rPr>
            </w:pPr>
          </w:p>
        </w:tc>
        <w:tc>
          <w:tcPr>
            <w:tcW w:w="839" w:type="dxa"/>
            <w:shd w:val="clear" w:color="auto" w:fill="auto"/>
            <w:noWrap w:val="0"/>
            <w:vAlign w:val="center"/>
          </w:tcPr>
          <w:p>
            <w:pPr>
              <w:spacing w:line="300" w:lineRule="exact"/>
              <w:jc w:val="left"/>
              <w:rPr>
                <w:rFonts w:ascii="方正书宋_GBK" w:eastAsia="方正书宋_GBK"/>
                <w:b/>
                <w:color w:val="auto"/>
                <w:highlight w:val="none"/>
              </w:rPr>
            </w:pPr>
          </w:p>
        </w:tc>
        <w:tc>
          <w:tcPr>
            <w:tcW w:w="1161" w:type="dxa"/>
            <w:shd w:val="clear" w:color="auto" w:fill="auto"/>
            <w:noWrap w:val="0"/>
            <w:vAlign w:val="center"/>
          </w:tcPr>
          <w:p>
            <w:pPr>
              <w:spacing w:line="300" w:lineRule="exact"/>
              <w:jc w:val="left"/>
              <w:rPr>
                <w:rFonts w:ascii="方正书宋_GBK" w:eastAsia="方正书宋_GBK"/>
                <w:b/>
                <w:color w:val="auto"/>
                <w:highlight w:val="none"/>
              </w:rPr>
            </w:pPr>
          </w:p>
        </w:tc>
        <w:tc>
          <w:tcPr>
            <w:tcW w:w="626" w:type="dxa"/>
            <w:shd w:val="clear" w:color="auto" w:fill="auto"/>
            <w:noWrap w:val="0"/>
            <w:vAlign w:val="center"/>
          </w:tcPr>
          <w:p>
            <w:pPr>
              <w:spacing w:line="300" w:lineRule="exact"/>
              <w:jc w:val="left"/>
              <w:rPr>
                <w:rFonts w:ascii="方正书宋_GBK" w:eastAsia="方正书宋_GBK"/>
                <w:b/>
                <w:color w:val="auto"/>
                <w:highlight w:val="none"/>
              </w:rPr>
            </w:pPr>
          </w:p>
        </w:tc>
        <w:tc>
          <w:tcPr>
            <w:tcW w:w="636" w:type="dxa"/>
            <w:shd w:val="clear" w:color="auto" w:fill="auto"/>
            <w:noWrap w:val="0"/>
            <w:vAlign w:val="center"/>
          </w:tcPr>
          <w:p>
            <w:pPr>
              <w:spacing w:line="300" w:lineRule="exact"/>
              <w:jc w:val="right"/>
              <w:rPr>
                <w:rFonts w:ascii="方正书宋_GBK" w:eastAsia="方正书宋_GBK"/>
                <w:b/>
                <w:color w:val="auto"/>
                <w:highlight w:val="none"/>
              </w:rPr>
            </w:pPr>
          </w:p>
        </w:tc>
        <w:tc>
          <w:tcPr>
            <w:tcW w:w="1056" w:type="dxa"/>
            <w:shd w:val="clear" w:color="auto" w:fill="auto"/>
            <w:noWrap w:val="0"/>
            <w:vAlign w:val="center"/>
          </w:tcPr>
          <w:p>
            <w:pPr>
              <w:spacing w:line="300" w:lineRule="exact"/>
              <w:jc w:val="right"/>
              <w:rPr>
                <w:rFonts w:ascii="方正书宋_GBK" w:eastAsia="方正书宋_GBK"/>
                <w:b/>
                <w:color w:val="auto"/>
                <w:highlight w:val="none"/>
              </w:rPr>
            </w:pPr>
          </w:p>
        </w:tc>
        <w:tc>
          <w:tcPr>
            <w:tcW w:w="1169" w:type="dxa"/>
            <w:shd w:val="clear" w:color="auto" w:fill="auto"/>
            <w:noWrap w:val="0"/>
            <w:vAlign w:val="center"/>
          </w:tcPr>
          <w:p>
            <w:pPr>
              <w:spacing w:line="300" w:lineRule="exact"/>
              <w:jc w:val="right"/>
              <w:rPr>
                <w:rFonts w:ascii="方正书宋_GBK" w:eastAsia="方正书宋_GBK"/>
                <w:b/>
                <w:color w:val="auto"/>
                <w:highlight w:val="none"/>
              </w:rPr>
            </w:pPr>
            <w:r>
              <w:rPr>
                <w:rFonts w:ascii="方正书宋_GBK" w:eastAsia="方正书宋_GBK"/>
                <w:b/>
                <w:color w:val="auto"/>
                <w:highlight w:val="none"/>
              </w:rPr>
              <w:t>2</w:t>
            </w:r>
            <w:r>
              <w:rPr>
                <w:rFonts w:hint="eastAsia" w:ascii="方正书宋_GBK" w:eastAsia="方正书宋_GBK"/>
                <w:b/>
                <w:color w:val="auto"/>
                <w:highlight w:val="none"/>
                <w:lang w:val="en-US" w:eastAsia="zh-CN"/>
              </w:rPr>
              <w:t>30</w:t>
            </w:r>
            <w:r>
              <w:rPr>
                <w:rFonts w:ascii="方正书宋_GBK" w:eastAsia="方正书宋_GBK"/>
                <w:b/>
                <w:color w:val="auto"/>
                <w:highlight w:val="none"/>
              </w:rPr>
              <w:t>000.00</w:t>
            </w:r>
          </w:p>
        </w:tc>
        <w:tc>
          <w:tcPr>
            <w:tcW w:w="1169" w:type="dxa"/>
            <w:shd w:val="clear" w:color="auto" w:fill="auto"/>
            <w:noWrap w:val="0"/>
            <w:vAlign w:val="center"/>
          </w:tcPr>
          <w:p>
            <w:pPr>
              <w:spacing w:line="300" w:lineRule="exact"/>
              <w:jc w:val="right"/>
              <w:rPr>
                <w:rFonts w:ascii="方正书宋_GBK" w:eastAsia="方正书宋_GBK"/>
                <w:b/>
                <w:color w:val="auto"/>
                <w:highlight w:val="none"/>
              </w:rPr>
            </w:pPr>
            <w:r>
              <w:rPr>
                <w:rFonts w:ascii="方正书宋_GBK" w:eastAsia="方正书宋_GBK"/>
                <w:b/>
                <w:color w:val="auto"/>
                <w:highlight w:val="none"/>
              </w:rPr>
              <w:t>2</w:t>
            </w:r>
            <w:r>
              <w:rPr>
                <w:rFonts w:hint="eastAsia" w:ascii="方正书宋_GBK" w:eastAsia="方正书宋_GBK"/>
                <w:b/>
                <w:color w:val="auto"/>
                <w:highlight w:val="none"/>
                <w:lang w:val="en-US" w:eastAsia="zh-CN"/>
              </w:rPr>
              <w:t>30</w:t>
            </w:r>
            <w:r>
              <w:rPr>
                <w:rFonts w:ascii="方正书宋_GBK" w:eastAsia="方正书宋_GBK"/>
                <w:b/>
                <w:color w:val="auto"/>
                <w:highlight w:val="none"/>
              </w:rPr>
              <w:t>000.00</w:t>
            </w:r>
          </w:p>
        </w:tc>
        <w:tc>
          <w:tcPr>
            <w:tcW w:w="1169" w:type="dxa"/>
            <w:shd w:val="clear" w:color="auto" w:fill="auto"/>
            <w:noWrap w:val="0"/>
            <w:vAlign w:val="center"/>
          </w:tcPr>
          <w:p>
            <w:pPr>
              <w:spacing w:line="300" w:lineRule="exact"/>
              <w:jc w:val="right"/>
              <w:rPr>
                <w:rFonts w:ascii="方正书宋_GBK" w:eastAsia="方正书宋_GBK"/>
                <w:b/>
                <w:color w:val="auto"/>
                <w:highlight w:val="none"/>
              </w:rPr>
            </w:pPr>
            <w:r>
              <w:rPr>
                <w:rFonts w:ascii="方正书宋_GBK" w:eastAsia="方正书宋_GBK"/>
                <w:b/>
                <w:color w:val="auto"/>
                <w:highlight w:val="none"/>
              </w:rPr>
              <w:t>2</w:t>
            </w:r>
            <w:r>
              <w:rPr>
                <w:rFonts w:hint="eastAsia" w:ascii="方正书宋_GBK" w:eastAsia="方正书宋_GBK"/>
                <w:b/>
                <w:color w:val="auto"/>
                <w:highlight w:val="none"/>
                <w:lang w:val="en-US" w:eastAsia="zh-CN"/>
              </w:rPr>
              <w:t>30</w:t>
            </w:r>
            <w:r>
              <w:rPr>
                <w:rFonts w:ascii="方正书宋_GBK" w:eastAsia="方正书宋_GBK"/>
                <w:b/>
                <w:color w:val="auto"/>
                <w:highlight w:val="none"/>
              </w:rPr>
              <w:t>000.00</w:t>
            </w:r>
          </w:p>
        </w:tc>
        <w:tc>
          <w:tcPr>
            <w:tcW w:w="819" w:type="dxa"/>
            <w:shd w:val="clear" w:color="auto" w:fill="auto"/>
            <w:noWrap w:val="0"/>
            <w:vAlign w:val="center"/>
          </w:tcPr>
          <w:p>
            <w:pPr>
              <w:spacing w:line="300" w:lineRule="exact"/>
              <w:jc w:val="right"/>
              <w:rPr>
                <w:rFonts w:ascii="方正书宋_GBK" w:eastAsia="方正书宋_GBK"/>
                <w:b/>
                <w:color w:val="auto"/>
                <w:highlight w:val="none"/>
              </w:rPr>
            </w:pPr>
          </w:p>
        </w:tc>
        <w:tc>
          <w:tcPr>
            <w:tcW w:w="831" w:type="dxa"/>
            <w:shd w:val="clear" w:color="auto" w:fill="auto"/>
            <w:noWrap w:val="0"/>
            <w:vAlign w:val="center"/>
          </w:tcPr>
          <w:p>
            <w:pPr>
              <w:spacing w:line="300" w:lineRule="exact"/>
              <w:jc w:val="right"/>
              <w:rPr>
                <w:rFonts w:ascii="方正书宋_GBK" w:eastAsia="方正书宋_GBK"/>
                <w:b/>
                <w:color w:val="auto"/>
                <w:highlight w:val="none"/>
              </w:rPr>
            </w:pPr>
          </w:p>
        </w:tc>
        <w:tc>
          <w:tcPr>
            <w:tcW w:w="831" w:type="dxa"/>
            <w:shd w:val="clear" w:color="auto" w:fill="auto"/>
            <w:noWrap w:val="0"/>
            <w:vAlign w:val="center"/>
          </w:tcPr>
          <w:p>
            <w:pPr>
              <w:spacing w:line="300" w:lineRule="exact"/>
              <w:jc w:val="right"/>
              <w:rPr>
                <w:rFonts w:ascii="方正书宋_GBK" w:eastAsia="方正书宋_GBK"/>
                <w:b/>
                <w:color w:val="auto"/>
                <w:highlight w:val="none"/>
              </w:rPr>
            </w:pPr>
          </w:p>
        </w:tc>
        <w:tc>
          <w:tcPr>
            <w:tcW w:w="788" w:type="dxa"/>
            <w:shd w:val="clear" w:color="auto" w:fill="auto"/>
            <w:noWrap w:val="0"/>
            <w:vAlign w:val="center"/>
          </w:tcPr>
          <w:p>
            <w:pPr>
              <w:spacing w:line="300" w:lineRule="exact"/>
              <w:jc w:val="right"/>
              <w:rPr>
                <w:rFonts w:ascii="方正书宋_GBK" w:eastAsia="方正书宋_GBK"/>
                <w:b/>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人大专项办公经费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238595</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rPr>
              <w:t>货物</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15000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15000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15000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15000</w:t>
            </w:r>
            <w:r>
              <w:rPr>
                <w:rFonts w:ascii="方正书宋_GBK" w:eastAsia="方正书宋_GBK"/>
                <w:color w:val="auto"/>
                <w:highlight w:val="none"/>
              </w:rPr>
              <w:t>.00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人大专门委员会活动经费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42500</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货物</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人大专门委员会活动经费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42500</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印刷品</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A0802</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代表活动费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179350</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货物</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4</w:t>
            </w:r>
            <w:r>
              <w:rPr>
                <w:rFonts w:hint="eastAsia" w:ascii="方正书宋_GBK" w:eastAsia="方正书宋_GBK"/>
                <w:color w:val="auto"/>
                <w:highlight w:val="none"/>
                <w:lang w:val="en-US" w:eastAsia="zh-CN"/>
              </w:rPr>
              <w:t>0</w:t>
            </w:r>
            <w:r>
              <w:rPr>
                <w:rFonts w:ascii="方正书宋_GBK" w:eastAsia="方正书宋_GBK"/>
                <w:color w:val="auto"/>
                <w:highlight w:val="none"/>
              </w:rPr>
              <w:t>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4</w:t>
            </w:r>
            <w:r>
              <w:rPr>
                <w:rFonts w:hint="eastAsia" w:ascii="方正书宋_GBK" w:eastAsia="方正书宋_GBK"/>
                <w:color w:val="auto"/>
                <w:highlight w:val="none"/>
                <w:lang w:val="en-US" w:eastAsia="zh-CN"/>
              </w:rPr>
              <w:t>0</w:t>
            </w:r>
            <w:r>
              <w:rPr>
                <w:rFonts w:ascii="方正书宋_GBK" w:eastAsia="方正书宋_GBK"/>
                <w:color w:val="auto"/>
                <w:highlight w:val="none"/>
              </w:rPr>
              <w:t>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4</w:t>
            </w:r>
            <w:r>
              <w:rPr>
                <w:rFonts w:hint="eastAsia" w:ascii="方正书宋_GBK" w:eastAsia="方正书宋_GBK"/>
                <w:color w:val="auto"/>
                <w:highlight w:val="none"/>
                <w:lang w:val="en-US" w:eastAsia="zh-CN"/>
              </w:rPr>
              <w:t>0</w:t>
            </w:r>
            <w:r>
              <w:rPr>
                <w:rFonts w:ascii="方正书宋_GBK" w:eastAsia="方正书宋_GBK"/>
                <w:color w:val="auto"/>
                <w:highlight w:val="none"/>
              </w:rPr>
              <w:t>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4</w:t>
            </w:r>
            <w:r>
              <w:rPr>
                <w:rFonts w:hint="eastAsia" w:ascii="方正书宋_GBK" w:eastAsia="方正书宋_GBK"/>
                <w:color w:val="auto"/>
                <w:highlight w:val="none"/>
                <w:lang w:val="en-US" w:eastAsia="zh-CN"/>
              </w:rPr>
              <w:t>0</w:t>
            </w:r>
            <w:r>
              <w:rPr>
                <w:rFonts w:ascii="方正书宋_GBK" w:eastAsia="方正书宋_GBK"/>
                <w:color w:val="auto"/>
                <w:highlight w:val="none"/>
              </w:rPr>
              <w:t>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代表活动费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179350</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印刷品</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A0802</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55000.00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55000.00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55000.00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55000.00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常委会会议费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42917</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货物</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常委会会议费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42917</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印刷品</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A0802</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隆尧县十五届人民代表大会第</w:t>
            </w:r>
            <w:r>
              <w:rPr>
                <w:rFonts w:hint="eastAsia" w:ascii="方正书宋_GBK" w:eastAsia="方正书宋_GBK"/>
                <w:color w:val="auto"/>
                <w:highlight w:val="none"/>
                <w:lang w:eastAsia="zh-CN"/>
              </w:rPr>
              <w:t>五</w:t>
            </w:r>
            <w:r>
              <w:rPr>
                <w:rFonts w:hint="eastAsia" w:ascii="方正书宋_GBK" w:eastAsia="方正书宋_GBK"/>
                <w:color w:val="auto"/>
                <w:highlight w:val="none"/>
              </w:rPr>
              <w:t>次会议</w:t>
            </w:r>
          </w:p>
        </w:tc>
        <w:tc>
          <w:tcPr>
            <w:tcW w:w="1161" w:type="dxa"/>
            <w:shd w:val="clear" w:color="auto" w:fill="auto"/>
            <w:noWrap w:val="0"/>
            <w:vAlign w:val="center"/>
          </w:tcPr>
          <w:p>
            <w:pPr>
              <w:spacing w:line="300" w:lineRule="exact"/>
              <w:jc w:val="right"/>
              <w:rPr>
                <w:rFonts w:hint="eastAsia" w:ascii="方正书宋_GBK" w:eastAsia="方正书宋_GBK"/>
                <w:color w:val="auto"/>
                <w:highlight w:val="none"/>
                <w:lang w:val="en-US" w:eastAsia="zh-CN"/>
              </w:rPr>
            </w:pPr>
            <w:r>
              <w:rPr>
                <w:rFonts w:hint="eastAsia" w:ascii="方正书宋_GBK" w:eastAsia="方正书宋_GBK"/>
                <w:color w:val="auto"/>
                <w:highlight w:val="none"/>
                <w:lang w:val="en-US" w:eastAsia="zh-CN"/>
              </w:rPr>
              <w:t>172176</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货物</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隆尧县十五届人民代表大会第</w:t>
            </w:r>
            <w:r>
              <w:rPr>
                <w:rFonts w:hint="eastAsia" w:ascii="方正书宋_GBK" w:eastAsia="方正书宋_GBK"/>
                <w:color w:val="auto"/>
                <w:highlight w:val="none"/>
                <w:lang w:eastAsia="zh-CN"/>
              </w:rPr>
              <w:t>五</w:t>
            </w:r>
            <w:r>
              <w:rPr>
                <w:rFonts w:hint="eastAsia" w:ascii="方正书宋_GBK" w:eastAsia="方正书宋_GBK"/>
                <w:color w:val="auto"/>
                <w:highlight w:val="none"/>
              </w:rPr>
              <w:t>次会议</w:t>
            </w:r>
          </w:p>
        </w:tc>
        <w:tc>
          <w:tcPr>
            <w:tcW w:w="1161" w:type="dxa"/>
            <w:shd w:val="clear" w:color="auto" w:fill="auto"/>
            <w:noWrap w:val="0"/>
            <w:vAlign w:val="center"/>
          </w:tcPr>
          <w:p>
            <w:pPr>
              <w:spacing w:line="300" w:lineRule="exact"/>
              <w:jc w:val="right"/>
              <w:rPr>
                <w:rFonts w:hint="eastAsia" w:ascii="方正书宋_GBK" w:eastAsia="方正书宋_GBK"/>
                <w:color w:val="auto"/>
                <w:highlight w:val="none"/>
                <w:lang w:val="en-US" w:eastAsia="zh-CN"/>
              </w:rPr>
            </w:pPr>
            <w:r>
              <w:rPr>
                <w:rFonts w:hint="eastAsia" w:ascii="方正书宋_GBK" w:eastAsia="方正书宋_GBK"/>
                <w:color w:val="auto"/>
                <w:highlight w:val="none"/>
                <w:lang w:val="en-US" w:eastAsia="zh-CN"/>
              </w:rPr>
              <w:t>172176</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印刷品</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A0802</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20000.00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20000.00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20000.00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20000.00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代表之家运行经费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68000</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货物</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代表之家运行经费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68</w:t>
            </w:r>
            <w:r>
              <w:rPr>
                <w:rFonts w:ascii="方正书宋_GBK" w:eastAsia="方正书宋_GBK"/>
                <w:color w:val="auto"/>
                <w:highlight w:val="none"/>
              </w:rPr>
              <w:t>000.00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印刷品</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ascii="方正书宋_GBK" w:eastAsia="方正书宋_GBK"/>
                <w:color w:val="auto"/>
                <w:highlight w:val="none"/>
              </w:rPr>
              <w:t>A0802</w:t>
            </w:r>
          </w:p>
        </w:tc>
        <w:tc>
          <w:tcPr>
            <w:tcW w:w="626" w:type="dxa"/>
            <w:shd w:val="clear" w:color="auto" w:fill="auto"/>
            <w:noWrap w:val="0"/>
            <w:vAlign w:val="center"/>
          </w:tcPr>
          <w:p>
            <w:pPr>
              <w:spacing w:line="300" w:lineRule="exact"/>
              <w:jc w:val="left"/>
              <w:rPr>
                <w:rFonts w:ascii="方正书宋_GBK" w:eastAsia="方正书宋_GBK"/>
                <w:color w:val="auto"/>
                <w:highlight w:val="none"/>
              </w:rPr>
            </w:pP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10000.00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人大专项办公经费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238595</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lang w:eastAsia="zh-CN"/>
              </w:rPr>
            </w:pPr>
            <w:r>
              <w:rPr>
                <w:rFonts w:hint="eastAsia" w:ascii="方正书宋_GBK" w:eastAsia="方正书宋_GBK"/>
                <w:color w:val="auto"/>
                <w:highlight w:val="none"/>
                <w:lang w:eastAsia="zh-CN"/>
              </w:rPr>
              <w:t>桌</w:t>
            </w:r>
          </w:p>
        </w:tc>
        <w:tc>
          <w:tcPr>
            <w:tcW w:w="1161" w:type="dxa"/>
            <w:shd w:val="clear" w:color="auto" w:fill="auto"/>
            <w:noWrap w:val="0"/>
            <w:vAlign w:val="center"/>
          </w:tcPr>
          <w:p>
            <w:pPr>
              <w:spacing w:line="300" w:lineRule="exact"/>
              <w:jc w:val="left"/>
              <w:rPr>
                <w:rFonts w:ascii="方正书宋_GBK" w:eastAsia="方正书宋_GBK"/>
                <w:color w:val="auto"/>
                <w:highlight w:val="none"/>
              </w:rPr>
            </w:pPr>
            <w:r>
              <w:rPr>
                <w:rFonts w:hint="eastAsia" w:ascii="方正书宋_GBK" w:eastAsia="方正书宋_GBK"/>
                <w:color w:val="auto"/>
                <w:highlight w:val="none"/>
              </w:rPr>
              <w:t>A060205</w:t>
            </w:r>
          </w:p>
        </w:tc>
        <w:tc>
          <w:tcPr>
            <w:tcW w:w="626" w:type="dxa"/>
            <w:shd w:val="clear" w:color="auto" w:fill="auto"/>
            <w:noWrap w:val="0"/>
            <w:vAlign w:val="center"/>
          </w:tcPr>
          <w:p>
            <w:pPr>
              <w:spacing w:line="300" w:lineRule="exact"/>
              <w:jc w:val="left"/>
              <w:rPr>
                <w:rFonts w:hint="eastAsia" w:ascii="方正书宋_GBK" w:eastAsia="方正书宋_GBK"/>
                <w:color w:val="auto"/>
                <w:highlight w:val="none"/>
                <w:lang w:eastAsia="zh-CN"/>
              </w:rPr>
            </w:pPr>
            <w:r>
              <w:rPr>
                <w:rFonts w:hint="eastAsia" w:ascii="方正书宋_GBK" w:eastAsia="方正书宋_GBK"/>
                <w:color w:val="auto"/>
                <w:highlight w:val="none"/>
                <w:lang w:eastAsia="zh-CN"/>
              </w:rPr>
              <w:t>张</w:t>
            </w: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2.00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1000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2000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2000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2000</w:t>
            </w:r>
            <w:r>
              <w:rPr>
                <w:rFonts w:ascii="方正书宋_GBK" w:eastAsia="方正书宋_GBK"/>
                <w:color w:val="auto"/>
                <w:highlight w:val="none"/>
              </w:rPr>
              <w:t>.00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人大专项办公经费</w:t>
            </w:r>
          </w:p>
        </w:tc>
        <w:tc>
          <w:tcPr>
            <w:tcW w:w="1161" w:type="dxa"/>
            <w:shd w:val="clear" w:color="auto" w:fill="auto"/>
            <w:noWrap w:val="0"/>
            <w:vAlign w:val="center"/>
          </w:tcPr>
          <w:p>
            <w:pPr>
              <w:spacing w:line="300" w:lineRule="exact"/>
              <w:jc w:val="right"/>
              <w:rPr>
                <w:rFonts w:hint="eastAsia" w:ascii="方正书宋_GBK" w:eastAsia="方正书宋_GBK"/>
                <w:color w:val="auto"/>
                <w:highlight w:val="none"/>
                <w:lang w:val="en-US" w:eastAsia="zh-CN"/>
              </w:rPr>
            </w:pPr>
            <w:r>
              <w:rPr>
                <w:rFonts w:hint="eastAsia" w:ascii="方正书宋_GBK" w:eastAsia="方正书宋_GBK"/>
                <w:color w:val="auto"/>
                <w:highlight w:val="none"/>
                <w:lang w:val="en-US" w:eastAsia="zh-CN"/>
              </w:rPr>
              <w:t>238595</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lang w:eastAsia="zh-CN"/>
              </w:rPr>
            </w:pPr>
            <w:r>
              <w:rPr>
                <w:rFonts w:hint="eastAsia" w:ascii="方正书宋_GBK" w:eastAsia="方正书宋_GBK"/>
                <w:color w:val="auto"/>
                <w:highlight w:val="none"/>
                <w:lang w:eastAsia="zh-CN"/>
              </w:rPr>
              <w:t>椅</w:t>
            </w:r>
          </w:p>
        </w:tc>
        <w:tc>
          <w:tcPr>
            <w:tcW w:w="1161"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A060302</w:t>
            </w:r>
          </w:p>
        </w:tc>
        <w:tc>
          <w:tcPr>
            <w:tcW w:w="626" w:type="dxa"/>
            <w:shd w:val="clear" w:color="auto" w:fill="auto"/>
            <w:noWrap w:val="0"/>
            <w:vAlign w:val="center"/>
          </w:tcPr>
          <w:p>
            <w:pPr>
              <w:spacing w:line="300" w:lineRule="exact"/>
              <w:jc w:val="left"/>
              <w:rPr>
                <w:rFonts w:hint="eastAsia" w:ascii="方正书宋_GBK" w:eastAsia="方正书宋_GBK"/>
                <w:color w:val="auto"/>
                <w:highlight w:val="none"/>
                <w:lang w:eastAsia="zh-CN"/>
              </w:rPr>
            </w:pPr>
            <w:r>
              <w:rPr>
                <w:rFonts w:hint="eastAsia" w:ascii="方正书宋_GBK" w:eastAsia="方正书宋_GBK"/>
                <w:color w:val="auto"/>
                <w:highlight w:val="none"/>
                <w:lang w:eastAsia="zh-CN"/>
              </w:rPr>
              <w:t>把</w:t>
            </w:r>
          </w:p>
        </w:tc>
        <w:tc>
          <w:tcPr>
            <w:tcW w:w="636" w:type="dxa"/>
            <w:shd w:val="clear" w:color="auto" w:fill="auto"/>
            <w:noWrap w:val="0"/>
            <w:vAlign w:val="center"/>
          </w:tcPr>
          <w:p>
            <w:pPr>
              <w:spacing w:line="300" w:lineRule="exact"/>
              <w:jc w:val="right"/>
              <w:rPr>
                <w:rFonts w:hint="default" w:ascii="方正书宋_GBK" w:eastAsia="方正书宋_GBK"/>
                <w:color w:val="auto"/>
                <w:highlight w:val="none"/>
                <w:lang w:val="en-US" w:eastAsia="zh-CN"/>
              </w:rPr>
            </w:pPr>
            <w:r>
              <w:rPr>
                <w:rFonts w:hint="eastAsia" w:ascii="方正书宋_GBK" w:eastAsia="方正书宋_GBK"/>
                <w:color w:val="auto"/>
                <w:highlight w:val="none"/>
                <w:lang w:val="en-US" w:eastAsia="zh-CN"/>
              </w:rPr>
              <w:t>2.00</w:t>
            </w:r>
          </w:p>
        </w:tc>
        <w:tc>
          <w:tcPr>
            <w:tcW w:w="1056" w:type="dxa"/>
            <w:shd w:val="clear" w:color="auto" w:fill="auto"/>
            <w:noWrap w:val="0"/>
            <w:vAlign w:val="center"/>
          </w:tcPr>
          <w:p>
            <w:pPr>
              <w:spacing w:line="300" w:lineRule="exact"/>
              <w:jc w:val="right"/>
              <w:rPr>
                <w:rFonts w:hint="default" w:ascii="方正书宋_GBK" w:eastAsia="方正书宋_GBK"/>
                <w:color w:val="auto"/>
                <w:highlight w:val="none"/>
                <w:lang w:val="en-US" w:eastAsia="zh-CN"/>
              </w:rPr>
            </w:pPr>
            <w:r>
              <w:rPr>
                <w:rFonts w:hint="eastAsia" w:ascii="方正书宋_GBK" w:eastAsia="方正书宋_GBK"/>
                <w:color w:val="auto"/>
                <w:highlight w:val="none"/>
                <w:lang w:val="en-US" w:eastAsia="zh-CN"/>
              </w:rPr>
              <w:t>500.00</w:t>
            </w:r>
          </w:p>
        </w:tc>
        <w:tc>
          <w:tcPr>
            <w:tcW w:w="1169" w:type="dxa"/>
            <w:shd w:val="clear" w:color="auto" w:fill="auto"/>
            <w:noWrap w:val="0"/>
            <w:vAlign w:val="center"/>
          </w:tcPr>
          <w:p>
            <w:pPr>
              <w:spacing w:line="300" w:lineRule="exact"/>
              <w:jc w:val="right"/>
              <w:rPr>
                <w:rFonts w:hint="default" w:ascii="方正书宋_GBK" w:eastAsia="方正书宋_GBK"/>
                <w:color w:val="auto"/>
                <w:highlight w:val="none"/>
                <w:lang w:val="en-US" w:eastAsia="zh-CN"/>
              </w:rPr>
            </w:pPr>
            <w:r>
              <w:rPr>
                <w:rFonts w:hint="eastAsia" w:ascii="方正书宋_GBK" w:eastAsia="方正书宋_GBK"/>
                <w:color w:val="auto"/>
                <w:highlight w:val="none"/>
                <w:lang w:val="en-US" w:eastAsia="zh-CN"/>
              </w:rPr>
              <w:t>1000.00</w:t>
            </w:r>
          </w:p>
        </w:tc>
        <w:tc>
          <w:tcPr>
            <w:tcW w:w="1169" w:type="dxa"/>
            <w:shd w:val="clear" w:color="auto" w:fill="auto"/>
            <w:noWrap w:val="0"/>
            <w:vAlign w:val="center"/>
          </w:tcPr>
          <w:p>
            <w:pPr>
              <w:spacing w:line="300" w:lineRule="exact"/>
              <w:jc w:val="right"/>
              <w:rPr>
                <w:rFonts w:hint="eastAsia" w:ascii="方正书宋_GBK" w:eastAsia="方正书宋_GBK"/>
                <w:color w:val="auto"/>
                <w:highlight w:val="none"/>
                <w:lang w:val="en-US" w:eastAsia="zh-CN"/>
              </w:rPr>
            </w:pPr>
            <w:r>
              <w:rPr>
                <w:rFonts w:hint="eastAsia" w:ascii="方正书宋_GBK" w:eastAsia="方正书宋_GBK"/>
                <w:color w:val="auto"/>
                <w:highlight w:val="none"/>
                <w:lang w:val="en-US" w:eastAsia="zh-CN"/>
              </w:rPr>
              <w:t>1000.00</w:t>
            </w:r>
          </w:p>
        </w:tc>
        <w:tc>
          <w:tcPr>
            <w:tcW w:w="1169" w:type="dxa"/>
            <w:shd w:val="clear" w:color="auto" w:fill="auto"/>
            <w:noWrap w:val="0"/>
            <w:vAlign w:val="center"/>
          </w:tcPr>
          <w:p>
            <w:pPr>
              <w:spacing w:line="300" w:lineRule="exact"/>
              <w:jc w:val="right"/>
              <w:rPr>
                <w:rFonts w:hint="eastAsia" w:ascii="方正书宋_GBK" w:eastAsia="方正书宋_GBK"/>
                <w:color w:val="auto"/>
                <w:highlight w:val="none"/>
                <w:lang w:val="en-US" w:eastAsia="zh-CN"/>
              </w:rPr>
            </w:pPr>
            <w:r>
              <w:rPr>
                <w:rFonts w:hint="eastAsia" w:ascii="方正书宋_GBK" w:eastAsia="方正书宋_GBK"/>
                <w:color w:val="auto"/>
                <w:highlight w:val="none"/>
                <w:lang w:val="en-US" w:eastAsia="zh-CN"/>
              </w:rPr>
              <w:t>1000.00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人大专项办公经费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238595</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计算机设备</w:t>
            </w:r>
          </w:p>
        </w:tc>
        <w:tc>
          <w:tcPr>
            <w:tcW w:w="1161" w:type="dxa"/>
            <w:shd w:val="clear" w:color="auto" w:fill="auto"/>
            <w:noWrap w:val="0"/>
            <w:vAlign w:val="center"/>
          </w:tcPr>
          <w:p>
            <w:pPr>
              <w:spacing w:line="300" w:lineRule="exact"/>
              <w:jc w:val="left"/>
              <w:rPr>
                <w:rFonts w:hint="default" w:ascii="方正书宋_GBK" w:eastAsia="方正书宋_GBK"/>
                <w:color w:val="auto"/>
                <w:highlight w:val="none"/>
                <w:lang w:val="en-US" w:eastAsia="zh-CN"/>
              </w:rPr>
            </w:pPr>
            <w:r>
              <w:rPr>
                <w:rFonts w:ascii="方正书宋_GBK" w:eastAsia="方正书宋_GBK"/>
                <w:color w:val="auto"/>
                <w:highlight w:val="none"/>
              </w:rPr>
              <w:t>A0201</w:t>
            </w:r>
            <w:r>
              <w:rPr>
                <w:rFonts w:hint="eastAsia" w:ascii="方正书宋_GBK" w:eastAsia="方正书宋_GBK"/>
                <w:color w:val="auto"/>
                <w:highlight w:val="none"/>
                <w:lang w:val="en-US" w:eastAsia="zh-CN"/>
              </w:rPr>
              <w:t>0105</w:t>
            </w:r>
          </w:p>
        </w:tc>
        <w:tc>
          <w:tcPr>
            <w:tcW w:w="62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台</w:t>
            </w: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1</w:t>
            </w:r>
            <w:r>
              <w:rPr>
                <w:rFonts w:ascii="方正书宋_GBK" w:eastAsia="方正书宋_GBK"/>
                <w:color w:val="auto"/>
                <w:highlight w:val="none"/>
              </w:rPr>
              <w:t>.00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4500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4500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4500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4500</w:t>
            </w:r>
            <w:r>
              <w:rPr>
                <w:rFonts w:ascii="方正书宋_GBK" w:eastAsia="方正书宋_GBK"/>
                <w:color w:val="auto"/>
                <w:highlight w:val="none"/>
              </w:rPr>
              <w:t>.00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13"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人大专项办公经费</w:t>
            </w:r>
          </w:p>
        </w:tc>
        <w:tc>
          <w:tcPr>
            <w:tcW w:w="1161"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238595</w:t>
            </w:r>
            <w:r>
              <w:rPr>
                <w:rFonts w:ascii="方正书宋_GBK" w:eastAsia="方正书宋_GBK"/>
                <w:color w:val="auto"/>
                <w:highlight w:val="none"/>
              </w:rPr>
              <w:t>.00</w:t>
            </w:r>
          </w:p>
        </w:tc>
        <w:tc>
          <w:tcPr>
            <w:tcW w:w="839"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计算机设备</w:t>
            </w:r>
          </w:p>
        </w:tc>
        <w:tc>
          <w:tcPr>
            <w:tcW w:w="1161" w:type="dxa"/>
            <w:shd w:val="clear" w:color="auto" w:fill="auto"/>
            <w:noWrap w:val="0"/>
            <w:vAlign w:val="center"/>
          </w:tcPr>
          <w:p>
            <w:pPr>
              <w:spacing w:line="300" w:lineRule="exact"/>
              <w:jc w:val="left"/>
              <w:rPr>
                <w:rFonts w:hint="default" w:ascii="方正书宋_GBK" w:eastAsia="方正书宋_GBK"/>
                <w:color w:val="auto"/>
                <w:highlight w:val="none"/>
                <w:lang w:val="en-US" w:eastAsia="zh-CN"/>
              </w:rPr>
            </w:pPr>
            <w:r>
              <w:rPr>
                <w:rFonts w:ascii="方正书宋_GBK" w:eastAsia="方正书宋_GBK"/>
                <w:color w:val="auto"/>
                <w:highlight w:val="none"/>
              </w:rPr>
              <w:t>A020101</w:t>
            </w:r>
            <w:r>
              <w:rPr>
                <w:rFonts w:hint="eastAsia" w:ascii="方正书宋_GBK" w:eastAsia="方正书宋_GBK"/>
                <w:color w:val="auto"/>
                <w:highlight w:val="none"/>
                <w:lang w:val="en-US" w:eastAsia="zh-CN"/>
              </w:rPr>
              <w:t>04</w:t>
            </w:r>
          </w:p>
        </w:tc>
        <w:tc>
          <w:tcPr>
            <w:tcW w:w="626" w:type="dxa"/>
            <w:shd w:val="clear" w:color="auto" w:fill="auto"/>
            <w:noWrap w:val="0"/>
            <w:vAlign w:val="center"/>
          </w:tcPr>
          <w:p>
            <w:pPr>
              <w:spacing w:line="300" w:lineRule="exact"/>
              <w:jc w:val="left"/>
              <w:rPr>
                <w:rFonts w:hint="eastAsia" w:ascii="方正书宋_GBK" w:eastAsia="方正书宋_GBK"/>
                <w:color w:val="auto"/>
                <w:highlight w:val="none"/>
              </w:rPr>
            </w:pPr>
            <w:r>
              <w:rPr>
                <w:rFonts w:hint="eastAsia" w:ascii="方正书宋_GBK" w:eastAsia="方正书宋_GBK"/>
                <w:color w:val="auto"/>
                <w:highlight w:val="none"/>
              </w:rPr>
              <w:t>台</w:t>
            </w:r>
          </w:p>
        </w:tc>
        <w:tc>
          <w:tcPr>
            <w:tcW w:w="636"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5</w:t>
            </w:r>
            <w:r>
              <w:rPr>
                <w:rFonts w:ascii="方正书宋_GBK" w:eastAsia="方正书宋_GBK"/>
                <w:color w:val="auto"/>
                <w:highlight w:val="none"/>
              </w:rPr>
              <w:t>.00</w:t>
            </w:r>
          </w:p>
        </w:tc>
        <w:tc>
          <w:tcPr>
            <w:tcW w:w="1056" w:type="dxa"/>
            <w:shd w:val="clear" w:color="auto" w:fill="auto"/>
            <w:noWrap w:val="0"/>
            <w:vAlign w:val="center"/>
          </w:tcPr>
          <w:p>
            <w:pPr>
              <w:spacing w:line="300" w:lineRule="exact"/>
              <w:jc w:val="right"/>
              <w:rPr>
                <w:rFonts w:ascii="方正书宋_GBK" w:eastAsia="方正书宋_GBK"/>
                <w:color w:val="auto"/>
                <w:highlight w:val="none"/>
              </w:rPr>
            </w:pPr>
            <w:r>
              <w:rPr>
                <w:rFonts w:ascii="方正书宋_GBK" w:eastAsia="方正书宋_GBK"/>
                <w:color w:val="auto"/>
                <w:highlight w:val="none"/>
              </w:rPr>
              <w:t>4500.00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22500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22500</w:t>
            </w:r>
            <w:r>
              <w:rPr>
                <w:rFonts w:ascii="方正书宋_GBK" w:eastAsia="方正书宋_GBK"/>
                <w:color w:val="auto"/>
                <w:highlight w:val="none"/>
              </w:rPr>
              <w:t>.00</w:t>
            </w:r>
          </w:p>
        </w:tc>
        <w:tc>
          <w:tcPr>
            <w:tcW w:w="1169" w:type="dxa"/>
            <w:shd w:val="clear" w:color="auto" w:fill="auto"/>
            <w:noWrap w:val="0"/>
            <w:vAlign w:val="center"/>
          </w:tcPr>
          <w:p>
            <w:pPr>
              <w:spacing w:line="300" w:lineRule="exact"/>
              <w:jc w:val="right"/>
              <w:rPr>
                <w:rFonts w:ascii="方正书宋_GBK" w:eastAsia="方正书宋_GBK"/>
                <w:color w:val="auto"/>
                <w:highlight w:val="none"/>
              </w:rPr>
            </w:pPr>
            <w:r>
              <w:rPr>
                <w:rFonts w:hint="eastAsia" w:ascii="方正书宋_GBK" w:eastAsia="方正书宋_GBK"/>
                <w:color w:val="auto"/>
                <w:highlight w:val="none"/>
                <w:lang w:val="en-US" w:eastAsia="zh-CN"/>
              </w:rPr>
              <w:t>22500</w:t>
            </w:r>
            <w:r>
              <w:rPr>
                <w:rFonts w:ascii="方正书宋_GBK" w:eastAsia="方正书宋_GBK"/>
                <w:color w:val="auto"/>
                <w:highlight w:val="none"/>
              </w:rPr>
              <w:t>.00</w:t>
            </w:r>
          </w:p>
        </w:tc>
        <w:tc>
          <w:tcPr>
            <w:tcW w:w="819"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831" w:type="dxa"/>
            <w:shd w:val="clear" w:color="auto" w:fill="auto"/>
            <w:noWrap w:val="0"/>
            <w:vAlign w:val="center"/>
          </w:tcPr>
          <w:p>
            <w:pPr>
              <w:spacing w:line="300" w:lineRule="exact"/>
              <w:jc w:val="right"/>
              <w:rPr>
                <w:rFonts w:ascii="方正书宋_GBK" w:eastAsia="方正书宋_GBK"/>
                <w:color w:val="auto"/>
                <w:highlight w:val="none"/>
              </w:rPr>
            </w:pPr>
          </w:p>
        </w:tc>
        <w:tc>
          <w:tcPr>
            <w:tcW w:w="788" w:type="dxa"/>
            <w:shd w:val="clear" w:color="auto" w:fill="auto"/>
            <w:noWrap w:val="0"/>
            <w:vAlign w:val="center"/>
          </w:tcPr>
          <w:p>
            <w:pPr>
              <w:spacing w:line="300" w:lineRule="exact"/>
              <w:jc w:val="right"/>
              <w:rPr>
                <w:rFonts w:ascii="方正书宋_GBK" w:eastAsia="方正书宋_GBK"/>
                <w:color w:val="auto"/>
                <w:highlight w:val="none"/>
              </w:rPr>
            </w:pPr>
          </w:p>
        </w:tc>
      </w:tr>
    </w:tbl>
    <w:p>
      <w:pPr>
        <w:spacing w:line="300" w:lineRule="exact"/>
        <w:jc w:val="left"/>
        <w:outlineLvl w:val="0"/>
        <w:rPr>
          <w:color w:val="auto"/>
          <w:highlight w:val="none"/>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lang w:eastAsia="zh-CN"/>
        </w:rPr>
        <w:t>隆尧县人大机关</w:t>
      </w:r>
      <w:r>
        <w:rPr>
          <w:rFonts w:hint="eastAsia" w:ascii="Times New Roman" w:hAnsi="Times New Roman" w:eastAsia="仿宋" w:cs="Times New Roman"/>
          <w:color w:val="auto"/>
          <w:sz w:val="32"/>
          <w:szCs w:val="32"/>
          <w:highlight w:val="none"/>
        </w:rPr>
        <w:t>201</w:t>
      </w:r>
      <w:r>
        <w:rPr>
          <w:rFonts w:hint="eastAsia" w:ascii="Times New Roman" w:hAnsi="Times New Roman" w:eastAsia="仿宋" w:cs="Times New Roman"/>
          <w:color w:val="auto"/>
          <w:sz w:val="32"/>
          <w:szCs w:val="32"/>
          <w:highlight w:val="none"/>
          <w:lang w:val="en-US" w:eastAsia="zh-CN"/>
        </w:rPr>
        <w:t>9</w:t>
      </w:r>
      <w:r>
        <w:rPr>
          <w:rFonts w:ascii="Times New Roman" w:hAnsi="Times New Roman" w:eastAsia="仿宋" w:cs="Times New Roman"/>
          <w:color w:val="auto"/>
          <w:sz w:val="32"/>
          <w:szCs w:val="32"/>
          <w:highlight w:val="none"/>
        </w:rPr>
        <w:t>年末固定资产金额为</w:t>
      </w:r>
      <w:r>
        <w:rPr>
          <w:rFonts w:hint="eastAsia" w:ascii="Times New Roman" w:hAnsi="Times New Roman" w:eastAsia="仿宋" w:cs="Times New Roman"/>
          <w:color w:val="auto"/>
          <w:sz w:val="32"/>
          <w:szCs w:val="32"/>
          <w:highlight w:val="none"/>
          <w:lang w:val="en-US" w:eastAsia="zh-CN"/>
        </w:rPr>
        <w:t>50.38</w:t>
      </w:r>
      <w:r>
        <w:rPr>
          <w:rFonts w:ascii="Times New Roman" w:hAnsi="Times New Roman" w:eastAsia="仿宋" w:cs="Times New Roman"/>
          <w:color w:val="auto"/>
          <w:sz w:val="32"/>
          <w:szCs w:val="32"/>
          <w:highlight w:val="none"/>
        </w:rPr>
        <w:t>万元（详见下表），本年度各单位</w:t>
      </w:r>
      <w:r>
        <w:rPr>
          <w:rFonts w:hint="eastAsia" w:ascii="Times New Roman" w:hAnsi="Times New Roman" w:eastAsia="仿宋" w:cs="Times New Roman"/>
          <w:color w:val="auto"/>
          <w:sz w:val="32"/>
          <w:szCs w:val="32"/>
          <w:highlight w:val="none"/>
        </w:rPr>
        <w:t>（处室）</w:t>
      </w:r>
      <w:r>
        <w:rPr>
          <w:rFonts w:ascii="Times New Roman" w:hAnsi="Times New Roman" w:eastAsia="仿宋" w:cs="Times New Roman"/>
          <w:color w:val="auto"/>
          <w:sz w:val="32"/>
          <w:szCs w:val="32"/>
          <w:highlight w:val="none"/>
        </w:rPr>
        <w:t>拟购置固定资产</w:t>
      </w:r>
      <w:r>
        <w:rPr>
          <w:rFonts w:hint="eastAsia" w:ascii="Times New Roman" w:hAnsi="Times New Roman" w:eastAsia="仿宋" w:cs="Times New Roman"/>
          <w:color w:val="auto"/>
          <w:sz w:val="32"/>
          <w:szCs w:val="32"/>
          <w:highlight w:val="none"/>
        </w:rPr>
        <w:t>总额为</w:t>
      </w:r>
      <w:r>
        <w:rPr>
          <w:rFonts w:hint="eastAsia" w:ascii="Times New Roman" w:hAnsi="Times New Roman" w:eastAsia="仿宋" w:cs="Times New Roman"/>
          <w:color w:val="auto"/>
          <w:sz w:val="32"/>
          <w:szCs w:val="32"/>
          <w:highlight w:val="none"/>
          <w:lang w:val="en-US" w:eastAsia="zh-CN"/>
        </w:rPr>
        <w:t>3</w:t>
      </w:r>
      <w:r>
        <w:rPr>
          <w:rFonts w:ascii="Times New Roman" w:hAnsi="Times New Roman" w:eastAsia="仿宋" w:cs="Times New Roman"/>
          <w:color w:val="auto"/>
          <w:sz w:val="32"/>
          <w:szCs w:val="32"/>
          <w:highlight w:val="none"/>
        </w:rPr>
        <w:t>万元，主要为计算机、</w:t>
      </w:r>
      <w:r>
        <w:rPr>
          <w:rFonts w:hint="eastAsia" w:ascii="Times New Roman" w:hAnsi="Times New Roman" w:eastAsia="仿宋" w:cs="Times New Roman"/>
          <w:color w:val="auto"/>
          <w:sz w:val="32"/>
          <w:szCs w:val="32"/>
          <w:highlight w:val="none"/>
          <w:lang w:eastAsia="zh-CN"/>
        </w:rPr>
        <w:t>桌椅</w:t>
      </w:r>
      <w:r>
        <w:rPr>
          <w:rFonts w:ascii="Times New Roman" w:hAnsi="Times New Roman" w:eastAsia="仿宋" w:cs="Times New Roman"/>
          <w:color w:val="auto"/>
          <w:sz w:val="32"/>
          <w:szCs w:val="32"/>
          <w:highlight w:val="none"/>
        </w:rPr>
        <w:t>等，已列入政府采购预算表</w:t>
      </w:r>
      <w:r>
        <w:rPr>
          <w:rFonts w:hint="eastAsia" w:ascii="Times New Roman" w:hAnsi="Times New Roman" w:eastAsia="仿宋" w:cs="Times New Roman"/>
          <w:color w:val="auto"/>
          <w:sz w:val="32"/>
          <w:szCs w:val="32"/>
          <w:highlight w:val="none"/>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color w:val="auto"/>
                <w:kern w:val="0"/>
                <w:sz w:val="32"/>
                <w:szCs w:val="32"/>
                <w:highlight w:val="none"/>
              </w:rPr>
            </w:pPr>
            <w:r>
              <w:rPr>
                <w:rFonts w:hint="eastAsia" w:ascii="宋体" w:hAnsi="宋体" w:cs="宋体"/>
                <w:b/>
                <w:bCs/>
                <w:color w:val="auto"/>
                <w:kern w:val="0"/>
                <w:sz w:val="32"/>
                <w:szCs w:val="32"/>
                <w:highlight w:val="none"/>
                <w:lang w:eastAsia="zh-CN"/>
              </w:rPr>
              <w:t>隆尧县人大</w:t>
            </w:r>
            <w:r>
              <w:rPr>
                <w:rFonts w:hint="eastAsia" w:ascii="宋体" w:hAnsi="宋体" w:cs="宋体"/>
                <w:b/>
                <w:bCs/>
                <w:color w:val="auto"/>
                <w:kern w:val="0"/>
                <w:sz w:val="32"/>
                <w:szCs w:val="32"/>
                <w:highlight w:val="none"/>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color w:val="auto"/>
                <w:kern w:val="0"/>
                <w:sz w:val="22"/>
                <w:highlight w:val="none"/>
                <w:lang w:eastAsia="zh-CN"/>
              </w:rPr>
            </w:pPr>
            <w:r>
              <w:rPr>
                <w:rFonts w:ascii="Times New Roman" w:hAnsi="Times New Roman" w:eastAsia="仿宋" w:cs="Times New Roman"/>
                <w:color w:val="auto"/>
                <w:kern w:val="0"/>
                <w:sz w:val="22"/>
                <w:highlight w:val="none"/>
              </w:rPr>
              <w:t>编制部门：</w:t>
            </w:r>
            <w:r>
              <w:rPr>
                <w:rFonts w:hint="eastAsia" w:ascii="Times New Roman" w:hAnsi="Times New Roman" w:eastAsia="仿宋" w:cs="Times New Roman"/>
                <w:color w:val="auto"/>
                <w:kern w:val="0"/>
                <w:sz w:val="22"/>
                <w:highlight w:val="none"/>
                <w:lang w:eastAsia="zh-CN"/>
              </w:rPr>
              <w:t>隆尧县人大</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截止时间：201</w:t>
            </w:r>
            <w:r>
              <w:rPr>
                <w:rFonts w:hint="eastAsia" w:ascii="Times New Roman" w:hAnsi="Times New Roman" w:eastAsia="仿宋" w:cs="Times New Roman"/>
                <w:color w:val="auto"/>
                <w:kern w:val="0"/>
                <w:sz w:val="22"/>
                <w:highlight w:val="none"/>
                <w:lang w:val="en-US" w:eastAsia="zh-CN"/>
              </w:rPr>
              <w:t>9</w:t>
            </w:r>
            <w:r>
              <w:rPr>
                <w:rFonts w:ascii="Times New Roman" w:hAnsi="Times New Roman" w:eastAsia="仿宋" w:cs="Times New Roman"/>
                <w:color w:val="auto"/>
                <w:kern w:val="0"/>
                <w:sz w:val="22"/>
                <w:highlight w:val="none"/>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22"/>
                <w:highlight w:val="none"/>
              </w:rPr>
            </w:pPr>
            <w:r>
              <w:rPr>
                <w:rFonts w:hint="eastAsia" w:ascii="宋体" w:hAnsi="宋体" w:cs="宋体"/>
                <w:b/>
                <w:bCs/>
                <w:color w:val="auto"/>
                <w:kern w:val="0"/>
                <w:sz w:val="22"/>
                <w:highlight w:val="none"/>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2"/>
                <w:highlight w:val="none"/>
              </w:rPr>
            </w:pPr>
            <w:r>
              <w:rPr>
                <w:rFonts w:hint="eastAsia" w:ascii="宋体" w:hAnsi="宋体" w:cs="宋体"/>
                <w:b/>
                <w:bCs/>
                <w:color w:val="auto"/>
                <w:kern w:val="0"/>
                <w:sz w:val="22"/>
                <w:highlight w:val="none"/>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2"/>
                <w:highlight w:val="none"/>
              </w:rPr>
            </w:pPr>
            <w:r>
              <w:rPr>
                <w:rFonts w:hint="eastAsia" w:ascii="宋体" w:hAnsi="宋体" w:cs="宋体"/>
                <w:b/>
                <w:bCs/>
                <w:color w:val="auto"/>
                <w:kern w:val="0"/>
                <w:sz w:val="22"/>
                <w:highlight w:val="none"/>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highlight w:val="none"/>
                <w:lang w:val="en-US" w:eastAsia="zh-CN"/>
              </w:rPr>
            </w:pPr>
            <w:r>
              <w:rPr>
                <w:rFonts w:hint="eastAsia" w:ascii="Times New Roman" w:hAnsi="Times New Roman" w:eastAsia="仿宋" w:cs="Times New Roman"/>
                <w:color w:val="auto"/>
                <w:kern w:val="0"/>
                <w:sz w:val="22"/>
                <w:highlight w:val="none"/>
                <w:lang w:val="en-US" w:eastAsia="zh-CN"/>
              </w:rPr>
              <w:t>50.38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highlight w:val="none"/>
                <w:lang w:eastAsia="zh-CN"/>
              </w:rPr>
            </w:pPr>
            <w:r>
              <w:rPr>
                <w:rFonts w:hint="eastAsia" w:ascii="Times New Roman" w:hAnsi="Times New Roman" w:eastAsia="仿宋" w:cs="Times New Roman"/>
                <w:color w:val="auto"/>
                <w:kern w:val="0"/>
                <w:sz w:val="22"/>
                <w:highlight w:val="none"/>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highlight w:val="none"/>
                <w:lang w:eastAsia="zh-CN"/>
              </w:rPr>
            </w:pPr>
            <w:r>
              <w:rPr>
                <w:rFonts w:hint="eastAsia" w:ascii="Times New Roman" w:hAnsi="Times New Roman" w:eastAsia="仿宋" w:cs="Times New Roman"/>
                <w:color w:val="auto"/>
                <w:kern w:val="0"/>
                <w:sz w:val="22"/>
                <w:highlight w:val="none"/>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highlight w:val="none"/>
                <w:lang w:eastAsia="zh-CN"/>
              </w:rPr>
            </w:pPr>
            <w:r>
              <w:rPr>
                <w:rFonts w:hint="eastAsia" w:ascii="Times New Roman" w:hAnsi="Times New Roman" w:eastAsia="仿宋" w:cs="Times New Roman"/>
                <w:color w:val="auto"/>
                <w:kern w:val="0"/>
                <w:sz w:val="22"/>
                <w:highlight w:val="none"/>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highlight w:val="none"/>
                <w:lang w:eastAsia="zh-CN"/>
              </w:rPr>
            </w:pPr>
            <w:r>
              <w:rPr>
                <w:rFonts w:hint="eastAsia" w:ascii="Times New Roman" w:hAnsi="Times New Roman" w:eastAsia="仿宋" w:cs="Times New Roman"/>
                <w:color w:val="auto"/>
                <w:kern w:val="0"/>
                <w:sz w:val="22"/>
                <w:highlight w:val="none"/>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highlight w:val="none"/>
                <w:lang w:eastAsia="zh-CN"/>
              </w:rPr>
            </w:pPr>
            <w:r>
              <w:rPr>
                <w:rFonts w:hint="eastAsia" w:ascii="Times New Roman" w:hAnsi="Times New Roman" w:eastAsia="仿宋" w:cs="Times New Roman"/>
                <w:color w:val="auto"/>
                <w:kern w:val="0"/>
                <w:sz w:val="22"/>
                <w:highlight w:val="none"/>
                <w:lang w:val="en-US" w:eastAsia="zh-CN"/>
              </w:rPr>
              <w:t>2</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highlight w:val="none"/>
                <w:lang w:val="en-US" w:eastAsia="zh-CN"/>
              </w:rPr>
            </w:pPr>
            <w:r>
              <w:rPr>
                <w:rFonts w:hint="eastAsia" w:ascii="Times New Roman" w:hAnsi="Times New Roman" w:eastAsia="仿宋" w:cs="Times New Roman"/>
                <w:color w:val="auto"/>
                <w:kern w:val="0"/>
                <w:sz w:val="22"/>
                <w:highlight w:val="none"/>
                <w:lang w:val="en-US" w:eastAsia="zh-CN"/>
              </w:rPr>
              <w:t>31.98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3、</w:t>
            </w:r>
            <w:r>
              <w:rPr>
                <w:rFonts w:hint="eastAsia" w:ascii="Times New Roman" w:hAnsi="Times New Roman" w:eastAsia="仿宋" w:cs="Times New Roman"/>
                <w:color w:val="auto"/>
                <w:kern w:val="0"/>
                <w:sz w:val="22"/>
                <w:highlight w:val="none"/>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highlight w:val="none"/>
                <w:lang w:val="en-US" w:eastAsia="zh-CN"/>
              </w:rPr>
            </w:pPr>
            <w:r>
              <w:rPr>
                <w:rFonts w:hint="eastAsia" w:ascii="Times New Roman" w:hAnsi="Times New Roman" w:eastAsia="仿宋" w:cs="Times New Roman"/>
                <w:color w:val="auto"/>
                <w:kern w:val="0"/>
                <w:sz w:val="22"/>
                <w:highlight w:val="none"/>
                <w:lang w:val="en-US" w:eastAsia="zh-CN"/>
              </w:rPr>
              <w:t>18.40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highlight w:val="none"/>
                <w:lang w:eastAsia="zh-CN"/>
              </w:rPr>
            </w:pPr>
            <w:r>
              <w:rPr>
                <w:rFonts w:hint="eastAsia" w:ascii="Times New Roman" w:hAnsi="Times New Roman" w:eastAsia="仿宋" w:cs="Times New Roman"/>
                <w:color w:val="auto"/>
                <w:kern w:val="0"/>
                <w:sz w:val="22"/>
                <w:highlight w:val="none"/>
                <w:lang w:val="en-US" w:eastAsia="zh-CN"/>
              </w:rPr>
              <w:t>0</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5"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rPr>
          <w:rFonts w:hint="eastAsia"/>
        </w:rPr>
      </w:pPr>
      <w:r>
        <w:rPr>
          <w:rStyle w:val="9"/>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9059E"/>
    <w:rsid w:val="007F0341"/>
    <w:rsid w:val="009A521C"/>
    <w:rsid w:val="00D607DA"/>
    <w:rsid w:val="00DC6EE5"/>
    <w:rsid w:val="00EE71BA"/>
    <w:rsid w:val="00F867E4"/>
    <w:rsid w:val="01ED3979"/>
    <w:rsid w:val="056E6DE6"/>
    <w:rsid w:val="062D7B72"/>
    <w:rsid w:val="0662719C"/>
    <w:rsid w:val="081F235E"/>
    <w:rsid w:val="0874174D"/>
    <w:rsid w:val="0DC54D97"/>
    <w:rsid w:val="106674E4"/>
    <w:rsid w:val="11CC562F"/>
    <w:rsid w:val="13B15A1E"/>
    <w:rsid w:val="149436EB"/>
    <w:rsid w:val="1AA62313"/>
    <w:rsid w:val="20332267"/>
    <w:rsid w:val="22B858FE"/>
    <w:rsid w:val="22BE29EF"/>
    <w:rsid w:val="25EB47C6"/>
    <w:rsid w:val="25F838A4"/>
    <w:rsid w:val="26937E03"/>
    <w:rsid w:val="2C44276D"/>
    <w:rsid w:val="30D8736F"/>
    <w:rsid w:val="359B113B"/>
    <w:rsid w:val="3B4E44FF"/>
    <w:rsid w:val="3FEE66E1"/>
    <w:rsid w:val="40DD49C6"/>
    <w:rsid w:val="411D53AF"/>
    <w:rsid w:val="489F1E7D"/>
    <w:rsid w:val="4998668E"/>
    <w:rsid w:val="4B4E47EE"/>
    <w:rsid w:val="4F966706"/>
    <w:rsid w:val="53A20821"/>
    <w:rsid w:val="560710F7"/>
    <w:rsid w:val="58572687"/>
    <w:rsid w:val="5E85753E"/>
    <w:rsid w:val="67010268"/>
    <w:rsid w:val="69934BB2"/>
    <w:rsid w:val="6D62651B"/>
    <w:rsid w:val="6D700C0B"/>
    <w:rsid w:val="6FA51F9B"/>
    <w:rsid w:val="735C3BBC"/>
    <w:rsid w:val="755C1DE8"/>
    <w:rsid w:val="B74F1D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2</TotalTime>
  <ScaleCrop>false</ScaleCrop>
  <LinksUpToDate>false</LinksUpToDate>
  <CharactersWithSpaces>8841</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work</cp:lastModifiedBy>
  <cp:lastPrinted>2020-01-10T23:53:00Z</cp:lastPrinted>
  <dcterms:modified xsi:type="dcterms:W3CDTF">2023-09-20T09:41:06Z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77A4EA3CF84E6809B24D0A651EC8EC08</vt:lpwstr>
  </property>
</Properties>
</file>