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隆尧县委党校</w:t>
      </w:r>
      <w:r>
        <w:rPr>
          <w:rFonts w:ascii="Times New Roman" w:hAnsi="Times New Roman" w:eastAsia="方正小标宋_GBK" w:cs="Times New Roman"/>
          <w:sz w:val="44"/>
          <w:szCs w:val="44"/>
        </w:rPr>
        <w:t>2</w:t>
      </w:r>
      <w:r>
        <w:rPr>
          <w:rFonts w:hint="eastAsia" w:ascii="Times New Roman" w:hAnsi="Times New Roman" w:eastAsia="方正小标宋_GBK" w:cs="Times New Roman"/>
          <w:sz w:val="44"/>
          <w:szCs w:val="44"/>
          <w:lang w:val="en-US" w:eastAsia="zh-CN"/>
        </w:rPr>
        <w:t>020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按照《预算法》、《地方预决算公开操作规程》和《河北省省级预算公开办法》规定，现将隆尧县委党校</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根据党中央、省市和县委关于建设高素质干部队伍的要求，有计划地培训、轮训党员领导干部和宣传骨干；结合全县经济社会发展实际，以研讨中央重大理论和方针、政策问题为目的，举办各种专题研讨班</w:t>
      </w:r>
      <w:r>
        <w:rPr>
          <w:rFonts w:ascii="仿宋" w:hAnsi="仿宋" w:eastAsia="仿宋" w:cs="仿宋"/>
          <w:sz w:val="32"/>
          <w:szCs w:val="32"/>
        </w:rPr>
        <w:t>;</w:t>
      </w:r>
      <w:r>
        <w:rPr>
          <w:rFonts w:hint="eastAsia" w:ascii="仿宋" w:hAnsi="仿宋" w:eastAsia="仿宋" w:cs="仿宋"/>
          <w:sz w:val="32"/>
          <w:szCs w:val="32"/>
        </w:rPr>
        <w:t>利用教学资源进行干部短期培训。</w:t>
      </w:r>
    </w:p>
    <w:p>
      <w:pPr>
        <w:ind w:firstLine="640" w:firstLineChars="200"/>
        <w:rPr>
          <w:rFonts w:ascii="仿宋" w:hAnsi="仿宋" w:eastAsia="仿宋" w:cs="Times New Roman"/>
          <w:sz w:val="32"/>
          <w:szCs w:val="32"/>
        </w:rPr>
      </w:pPr>
      <w:r>
        <w:rPr>
          <w:rFonts w:hint="eastAsia" w:ascii="仿宋" w:hAnsi="仿宋" w:eastAsia="仿宋" w:cs="仿宋"/>
          <w:sz w:val="32"/>
          <w:szCs w:val="32"/>
        </w:rPr>
        <w:t>根据县委组织部的干训计划，培训、轮训领导干部和理论骨干；受县委、县政府及有关职能部门委托，结合全县经济社会发展实际，举办各种专题培训、研讨班。</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Times New Roman" w:cs="Times New Roman"/>
                <w:b/>
                <w:bCs/>
              </w:rPr>
            </w:pPr>
            <w:r>
              <w:rPr>
                <w:rFonts w:hint="eastAsia" w:ascii="宋体" w:hAnsi="宋体" w:cs="宋体"/>
                <w:b/>
                <w:bCs/>
              </w:rPr>
              <w:t>单位名称</w:t>
            </w:r>
          </w:p>
        </w:tc>
        <w:tc>
          <w:tcPr>
            <w:tcW w:w="1134" w:type="dxa"/>
            <w:vMerge w:val="restart"/>
            <w:vAlign w:val="center"/>
          </w:tcPr>
          <w:p>
            <w:pPr>
              <w:spacing w:line="300" w:lineRule="exact"/>
              <w:jc w:val="center"/>
              <w:rPr>
                <w:rFonts w:ascii="Times New Roman" w:hAnsi="Times New Roman" w:eastAsia="Times New Roman" w:cs="Times New Roman"/>
                <w:b/>
                <w:bCs/>
              </w:rPr>
            </w:pPr>
            <w:r>
              <w:rPr>
                <w:rFonts w:hint="eastAsia" w:ascii="宋体" w:hAnsi="宋体" w:cs="宋体"/>
                <w:b/>
                <w:bCs/>
              </w:rPr>
              <w:t>单位性质</w:t>
            </w:r>
          </w:p>
        </w:tc>
        <w:tc>
          <w:tcPr>
            <w:tcW w:w="1276" w:type="dxa"/>
            <w:vMerge w:val="restart"/>
            <w:vAlign w:val="center"/>
          </w:tcPr>
          <w:p>
            <w:pPr>
              <w:spacing w:line="300" w:lineRule="exact"/>
              <w:jc w:val="center"/>
              <w:rPr>
                <w:rFonts w:ascii="Times New Roman" w:hAnsi="Times New Roman" w:eastAsia="Times New Roman" w:cs="Times New Roman"/>
                <w:b/>
                <w:bCs/>
              </w:rPr>
            </w:pPr>
            <w:r>
              <w:rPr>
                <w:rFonts w:hint="eastAsia" w:ascii="宋体" w:hAnsi="宋体" w:cs="宋体"/>
                <w:b/>
                <w:bCs/>
              </w:rPr>
              <w:t>单位规格</w:t>
            </w:r>
          </w:p>
        </w:tc>
        <w:tc>
          <w:tcPr>
            <w:tcW w:w="2902" w:type="dxa"/>
            <w:vMerge w:val="restart"/>
            <w:vAlign w:val="center"/>
          </w:tcPr>
          <w:p>
            <w:pPr>
              <w:spacing w:line="300" w:lineRule="exact"/>
              <w:jc w:val="center"/>
              <w:rPr>
                <w:rFonts w:ascii="Times New Roman" w:hAnsi="Times New Roman" w:eastAsia="Times New Roman" w:cs="Times New Roman"/>
                <w:b/>
                <w:bCs/>
              </w:rPr>
            </w:pPr>
            <w:r>
              <w:rPr>
                <w:rFonts w:hint="eastAsia" w:ascii="宋体" w:hAnsi="宋体" w:cs="宋体"/>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Times New Roman" w:cs="Times New Roman"/>
              </w:rPr>
            </w:pPr>
            <w:r>
              <w:rPr>
                <w:rFonts w:hint="eastAsia" w:ascii="宋体" w:hAnsi="宋体" w:cs="宋体"/>
              </w:rPr>
              <w:t>中共隆尧县委党校</w:t>
            </w:r>
          </w:p>
        </w:tc>
        <w:tc>
          <w:tcPr>
            <w:tcW w:w="1134" w:type="dxa"/>
            <w:vAlign w:val="center"/>
          </w:tcPr>
          <w:p>
            <w:pPr>
              <w:spacing w:line="300" w:lineRule="exact"/>
              <w:jc w:val="center"/>
              <w:rPr>
                <w:rFonts w:ascii="Times New Roman" w:hAnsi="Times New Roman" w:eastAsia="Times New Roman" w:cs="Times New Roman"/>
              </w:rPr>
            </w:pPr>
            <w:r>
              <w:rPr>
                <w:rFonts w:hint="eastAsia" w:ascii="宋体" w:hAnsi="宋体" w:cs="宋体"/>
              </w:rPr>
              <w:t>事业</w:t>
            </w:r>
          </w:p>
        </w:tc>
        <w:tc>
          <w:tcPr>
            <w:tcW w:w="1276" w:type="dxa"/>
            <w:vAlign w:val="center"/>
          </w:tcPr>
          <w:p>
            <w:pPr>
              <w:spacing w:line="300" w:lineRule="exact"/>
              <w:jc w:val="center"/>
              <w:rPr>
                <w:rFonts w:ascii="Times New Roman" w:hAnsi="Times New Roman" w:eastAsia="Times New Roman" w:cs="Times New Roman"/>
              </w:rPr>
            </w:pPr>
            <w:r>
              <w:rPr>
                <w:rFonts w:ascii="????_GBK" w:eastAsia="Times New Roman" w:cs="Times New Roman"/>
              </w:rPr>
              <w:t>正科级</w:t>
            </w:r>
          </w:p>
        </w:tc>
        <w:tc>
          <w:tcPr>
            <w:tcW w:w="2902" w:type="dxa"/>
            <w:vAlign w:val="center"/>
          </w:tcPr>
          <w:p>
            <w:pPr>
              <w:spacing w:line="300" w:lineRule="exact"/>
              <w:jc w:val="center"/>
              <w:rPr>
                <w:rFonts w:ascii="Times New Roman" w:hAnsi="Times New Roman" w:eastAsia="Times New Roman" w:cs="Times New Roman"/>
              </w:rPr>
            </w:pPr>
            <w:r>
              <w:rPr>
                <w:rFonts w:ascii="????_GBK" w:eastAsia="Times New Roman" w:cs="Times New Roman"/>
              </w:rPr>
              <w:t>财政性资金基本保证</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按照预算管理有关规定，目前我省部门预算的编制实行综合预算管理，即全部收入和支出都反映的预算中。中共隆尧县委党校的收支包含在部门预算中。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年预算收入</w:t>
      </w:r>
      <w:r>
        <w:rPr>
          <w:rFonts w:hint="eastAsia" w:ascii="Times New Roman" w:hAnsi="Times New Roman" w:eastAsia="仿宋" w:cs="仿宋"/>
          <w:sz w:val="32"/>
          <w:szCs w:val="32"/>
          <w:lang w:val="en-US" w:eastAsia="zh-CN"/>
        </w:rPr>
        <w:t>479.52</w:t>
      </w:r>
      <w:r>
        <w:rPr>
          <w:rFonts w:hint="eastAsia" w:ascii="Times New Roman" w:hAnsi="Times New Roman" w:eastAsia="仿宋" w:cs="仿宋"/>
          <w:sz w:val="32"/>
          <w:szCs w:val="32"/>
        </w:rPr>
        <w:t>万元，其中：一般公共预算收入</w:t>
      </w:r>
      <w:r>
        <w:rPr>
          <w:rFonts w:hint="eastAsia" w:ascii="Times New Roman" w:hAnsi="Times New Roman" w:eastAsia="仿宋" w:cs="仿宋"/>
          <w:sz w:val="32"/>
          <w:szCs w:val="32"/>
          <w:lang w:val="en-US" w:eastAsia="zh-CN"/>
        </w:rPr>
        <w:t>179.52</w:t>
      </w:r>
      <w:r>
        <w:rPr>
          <w:rFonts w:hint="eastAsia" w:ascii="Times New Roman" w:hAnsi="Times New Roman" w:eastAsia="仿宋" w:cs="仿宋"/>
          <w:sz w:val="32"/>
          <w:szCs w:val="32"/>
        </w:rPr>
        <w:t>万元，基金预算收入</w:t>
      </w:r>
      <w:r>
        <w:rPr>
          <w:rFonts w:hint="eastAsia" w:ascii="Times New Roman" w:hAnsi="Times New Roman" w:eastAsia="仿宋" w:cs="仿宋"/>
          <w:sz w:val="32"/>
          <w:szCs w:val="32"/>
          <w:lang w:val="en-US" w:eastAsia="zh-CN"/>
        </w:rPr>
        <w:t>300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收支预算总表支出栏、基本支出表、项目支出表按经济分类和支出功能分类科目编制，反映隆尧县委党校年度部门预算中支出预算的总体情况。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年部门支出预算为</w:t>
      </w:r>
      <w:r>
        <w:rPr>
          <w:rFonts w:hint="eastAsia" w:ascii="Times New Roman" w:hAnsi="Times New Roman" w:eastAsia="仿宋" w:cs="仿宋"/>
          <w:sz w:val="32"/>
          <w:szCs w:val="32"/>
          <w:lang w:val="en-US" w:eastAsia="zh-CN"/>
        </w:rPr>
        <w:t>479.52</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val="en-US" w:eastAsia="zh-CN"/>
        </w:rPr>
        <w:t>172.52</w:t>
      </w:r>
      <w:r>
        <w:rPr>
          <w:rFonts w:hint="eastAsia" w:ascii="Times New Roman" w:hAnsi="Times New Roman" w:eastAsia="仿宋" w:cs="仿宋"/>
          <w:sz w:val="32"/>
          <w:szCs w:val="32"/>
        </w:rPr>
        <w:t>万元，包括人员经费</w:t>
      </w:r>
      <w:r>
        <w:rPr>
          <w:rFonts w:hint="eastAsia" w:ascii="Times New Roman" w:hAnsi="Times New Roman" w:eastAsia="仿宋" w:cs="仿宋"/>
          <w:sz w:val="32"/>
          <w:szCs w:val="32"/>
          <w:lang w:val="en-US" w:eastAsia="zh-CN"/>
        </w:rPr>
        <w:t>160.62</w:t>
      </w:r>
      <w:r>
        <w:rPr>
          <w:rFonts w:hint="eastAsia" w:ascii="Times New Roman" w:hAnsi="Times New Roman" w:eastAsia="仿宋" w:cs="仿宋"/>
          <w:sz w:val="32"/>
          <w:szCs w:val="32"/>
        </w:rPr>
        <w:t>万元和日常公用经费</w:t>
      </w:r>
      <w:r>
        <w:rPr>
          <w:rFonts w:hint="eastAsia" w:ascii="Times New Roman" w:hAnsi="Times New Roman" w:eastAsia="仿宋" w:cs="仿宋"/>
          <w:sz w:val="32"/>
          <w:szCs w:val="32"/>
          <w:lang w:val="en-US" w:eastAsia="zh-CN"/>
        </w:rPr>
        <w:t>11.89</w:t>
      </w:r>
      <w:r>
        <w:rPr>
          <w:rFonts w:hint="eastAsia" w:ascii="Times New Roman" w:hAnsi="Times New Roman" w:eastAsia="仿宋" w:cs="仿宋"/>
          <w:sz w:val="32"/>
          <w:szCs w:val="32"/>
        </w:rPr>
        <w:t>万元；项目支出</w:t>
      </w:r>
      <w:r>
        <w:rPr>
          <w:rFonts w:hint="eastAsia" w:ascii="Times New Roman" w:hAnsi="Times New Roman" w:eastAsia="仿宋" w:cs="仿宋"/>
          <w:sz w:val="32"/>
          <w:szCs w:val="32"/>
          <w:lang w:val="en-US" w:eastAsia="zh-CN"/>
        </w:rPr>
        <w:t>307</w:t>
      </w:r>
      <w:r>
        <w:rPr>
          <w:rFonts w:hint="eastAsia" w:ascii="Times New Roman" w:hAnsi="Times New Roman" w:eastAsia="仿宋" w:cs="仿宋"/>
          <w:sz w:val="32"/>
          <w:szCs w:val="32"/>
        </w:rPr>
        <w:t>万元，主要为组织培训班支出</w:t>
      </w:r>
      <w:r>
        <w:rPr>
          <w:rFonts w:hint="eastAsia" w:ascii="Times New Roman" w:hAnsi="Times New Roman" w:eastAsia="仿宋" w:cs="仿宋"/>
          <w:sz w:val="32"/>
          <w:szCs w:val="32"/>
          <w:lang w:val="en-US" w:eastAsia="zh-CN"/>
        </w:rPr>
        <w:t>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val="en-US" w:eastAsia="zh-CN"/>
        </w:rPr>
        <w:t>党校建设300万元。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仿宋"/>
          <w:color w:val="000000"/>
          <w:sz w:val="32"/>
          <w:szCs w:val="32"/>
          <w:lang w:val="en-US" w:eastAsia="zh-CN"/>
        </w:rPr>
        <w:t>479.52</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年增长</w:t>
      </w:r>
      <w:r>
        <w:rPr>
          <w:rFonts w:hint="eastAsia" w:ascii="Times New Roman" w:hAnsi="Times New Roman" w:eastAsia="仿宋" w:cs="仿宋"/>
          <w:sz w:val="32"/>
          <w:szCs w:val="32"/>
          <w:lang w:val="en-US" w:eastAsia="zh-CN"/>
        </w:rPr>
        <w:t>305.5</w:t>
      </w:r>
      <w:r>
        <w:rPr>
          <w:rFonts w:hint="eastAsia" w:ascii="Times New Roman" w:hAnsi="Times New Roman" w:eastAsia="仿宋" w:cs="仿宋"/>
          <w:sz w:val="32"/>
          <w:szCs w:val="32"/>
        </w:rPr>
        <w:t>万元，其中：基本支出增长</w:t>
      </w:r>
      <w:r>
        <w:rPr>
          <w:rFonts w:hint="eastAsia" w:ascii="Times New Roman" w:hAnsi="Times New Roman" w:eastAsia="仿宋" w:cs="仿宋"/>
          <w:sz w:val="32"/>
          <w:szCs w:val="32"/>
          <w:lang w:val="en-US" w:eastAsia="zh-CN"/>
        </w:rPr>
        <w:t>9.5</w:t>
      </w:r>
      <w:r>
        <w:rPr>
          <w:rFonts w:hint="eastAsia" w:ascii="Times New Roman" w:hAnsi="Times New Roman" w:eastAsia="仿宋" w:cs="仿宋"/>
          <w:sz w:val="32"/>
          <w:szCs w:val="32"/>
        </w:rPr>
        <w:t>万元，主要是增加人员经费和日常公用经费；项目支出增长</w:t>
      </w:r>
      <w:r>
        <w:rPr>
          <w:rFonts w:hint="eastAsia" w:ascii="Times New Roman" w:hAnsi="Times New Roman" w:eastAsia="仿宋" w:cs="仿宋"/>
          <w:sz w:val="32"/>
          <w:szCs w:val="32"/>
          <w:lang w:val="en-US" w:eastAsia="zh-CN"/>
        </w:rPr>
        <w:t>296</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val="en-US" w:eastAsia="zh-CN"/>
        </w:rPr>
        <w:t>党校建设（土地出让金）</w:t>
      </w:r>
      <w:r>
        <w:rPr>
          <w:rFonts w:hint="eastAsia" w:ascii="Times New Roman" w:hAnsi="Times New Roman" w:eastAsia="仿宋" w:cs="仿宋"/>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仿宋"/>
          <w:sz w:val="32"/>
          <w:szCs w:val="32"/>
          <w:lang w:val="en-US" w:eastAsia="zh-CN"/>
        </w:rPr>
        <w:t>11.89</w:t>
      </w:r>
      <w:r>
        <w:rPr>
          <w:rFonts w:hint="eastAsia" w:ascii="Times New Roman" w:hAnsi="Times New Roman" w:eastAsia="仿宋" w:cs="仿宋"/>
          <w:sz w:val="32"/>
          <w:szCs w:val="32"/>
        </w:rPr>
        <w:t>万元，主要用于保证机关正常运转的办公费、邮电费、工会经费、福利费、党组织活动经费及一般设备购置费、离休干部公用经费、公务车交通补贴等支出。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仿宋" w:cs="仿宋"/>
          <w:sz w:val="32"/>
          <w:szCs w:val="32"/>
          <w:lang w:val="en-US"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“三公”经费预算</w:t>
      </w:r>
      <w:r>
        <w:rPr>
          <w:rFonts w:hint="eastAsia" w:ascii="Times New Roman" w:hAnsi="Times New Roman" w:eastAsia="仿宋" w:cs="仿宋"/>
          <w:sz w:val="32"/>
          <w:szCs w:val="32"/>
          <w:lang w:eastAsia="zh-CN"/>
        </w:rPr>
        <w:t>安排</w:t>
      </w:r>
      <w:r>
        <w:rPr>
          <w:rFonts w:hint="eastAsia" w:ascii="Times New Roman" w:hAnsi="Times New Roman" w:eastAsia="仿宋" w:cs="仿宋"/>
          <w:sz w:val="32"/>
          <w:szCs w:val="32"/>
          <w:lang w:val="en-US" w:eastAsia="zh-CN"/>
        </w:rPr>
        <w:t>0万元，其中因公出国（境）费0万元；公务用车购置及运维费0万元（其中：公务用车购置费0万元，公务用车运行费0万元）</w:t>
      </w:r>
      <w:r>
        <w:rPr>
          <w:rFonts w:hint="eastAsia" w:ascii="Times New Roman" w:hAnsi="Times New Roman" w:eastAsia="仿宋" w:cs="仿宋"/>
          <w:sz w:val="32"/>
          <w:szCs w:val="32"/>
        </w:rPr>
        <w:t>与上年持平，无增减变化</w:t>
      </w:r>
      <w:r>
        <w:rPr>
          <w:rFonts w:hint="eastAsia" w:ascii="Times New Roman" w:hAnsi="Times New Roman" w:eastAsia="仿宋" w:cs="仿宋"/>
          <w:sz w:val="32"/>
          <w:szCs w:val="32"/>
          <w:lang w:eastAsia="zh-CN"/>
        </w:rPr>
        <w:t>，主要是未安排</w:t>
      </w:r>
      <w:r>
        <w:rPr>
          <w:rFonts w:hint="eastAsia" w:ascii="Times New Roman" w:hAnsi="Times New Roman" w:eastAsia="仿宋" w:cs="仿宋"/>
          <w:sz w:val="32"/>
          <w:szCs w:val="32"/>
        </w:rPr>
        <w:t>“三公”经费</w:t>
      </w:r>
      <w:r>
        <w:rPr>
          <w:rFonts w:hint="eastAsia" w:ascii="Times New Roman" w:hAnsi="Times New Roman" w:eastAsia="仿宋" w:cs="仿宋"/>
          <w:sz w:val="32"/>
          <w:szCs w:val="32"/>
          <w:lang w:eastAsia="zh-CN"/>
        </w:rPr>
        <w:t>；公务接待费</w:t>
      </w:r>
      <w:r>
        <w:rPr>
          <w:rFonts w:hint="eastAsia" w:ascii="Times New Roman" w:hAnsi="Times New Roman" w:eastAsia="仿宋" w:cs="仿宋"/>
          <w:sz w:val="32"/>
          <w:szCs w:val="32"/>
          <w:lang w:val="en-US" w:eastAsia="zh-CN"/>
        </w:rPr>
        <w:t>0万元，</w:t>
      </w:r>
      <w:r>
        <w:rPr>
          <w:rFonts w:hint="eastAsia" w:ascii="Times New Roman" w:hAnsi="Times New Roman" w:eastAsia="仿宋" w:cs="仿宋"/>
          <w:sz w:val="32"/>
          <w:szCs w:val="32"/>
        </w:rPr>
        <w:t>与上年持平，无增减变化</w:t>
      </w:r>
      <w:r>
        <w:rPr>
          <w:rFonts w:hint="eastAsia" w:ascii="Times New Roman" w:hAnsi="Times New Roman" w:eastAsia="仿宋" w:cs="仿宋"/>
          <w:sz w:val="32"/>
          <w:szCs w:val="32"/>
          <w:lang w:eastAsia="zh-CN"/>
        </w:rPr>
        <w:t>，主要是未安排</w:t>
      </w:r>
      <w:r>
        <w:rPr>
          <w:rFonts w:hint="eastAsia" w:ascii="Times New Roman" w:hAnsi="Times New Roman" w:eastAsia="仿宋" w:cs="仿宋"/>
          <w:sz w:val="32"/>
          <w:szCs w:val="32"/>
        </w:rPr>
        <w:t>“三公”经费</w:t>
      </w:r>
      <w:r>
        <w:rPr>
          <w:rFonts w:hint="eastAsia" w:ascii="Times New Roman" w:hAnsi="Times New Roman" w:eastAsia="仿宋" w:cs="仿宋"/>
          <w:sz w:val="32"/>
          <w:szCs w:val="32"/>
          <w:lang w:eastAsia="zh-CN"/>
        </w:rPr>
        <w:t>。</w:t>
      </w:r>
    </w:p>
    <w:p>
      <w:pPr>
        <w:autoSpaceDE w:val="0"/>
        <w:autoSpaceDN w:val="0"/>
        <w:adjustRightInd w:val="0"/>
        <w:jc w:val="left"/>
        <w:rPr>
          <w:rFonts w:ascii="黑体" w:hAnsi="黑体" w:eastAsia="黑体" w:cs="Times New Roman"/>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五、绩效预算信息</w:t>
      </w:r>
    </w:p>
    <w:p>
      <w:pPr>
        <w:autoSpaceDE w:val="0"/>
        <w:autoSpaceDN w:val="0"/>
        <w:adjustRightInd w:val="0"/>
        <w:ind w:left="198" w:firstLine="643" w:firstLineChars="200"/>
        <w:jc w:val="left"/>
        <w:rPr>
          <w:rFonts w:ascii="Times New Roman" w:hAnsi="Times New Roman" w:eastAsia="仿宋" w:cs="Times New Roman"/>
          <w:b/>
          <w:bCs/>
          <w:color w:val="000000"/>
          <w:sz w:val="32"/>
          <w:szCs w:val="32"/>
        </w:rPr>
      </w:pPr>
      <w:bookmarkStart w:id="0" w:name="_Toc471398463"/>
      <w:r>
        <w:rPr>
          <w:rFonts w:hint="eastAsia" w:ascii="Times New Roman" w:hAnsi="Times New Roman" w:eastAsia="仿宋" w:cs="仿宋"/>
          <w:b/>
          <w:bCs/>
          <w:color w:val="000000"/>
          <w:sz w:val="32"/>
          <w:szCs w:val="32"/>
        </w:rPr>
        <w:t>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方正仿宋_GBK" w:eastAsia="方正仿宋_GBK" w:cs="方正仿宋_GBK"/>
          <w:sz w:val="32"/>
          <w:szCs w:val="32"/>
        </w:rPr>
        <w:t>面对新时代、新形势、新要求，紧紧围绕</w:t>
      </w:r>
      <w:r>
        <w:rPr>
          <w:rFonts w:ascii="方正仿宋_GBK" w:eastAsia="方正仿宋_GBK"/>
          <w:sz w:val="32"/>
          <w:szCs w:val="32"/>
        </w:rPr>
        <w:t>“</w:t>
      </w:r>
      <w:r>
        <w:rPr>
          <w:rFonts w:hint="eastAsia" w:ascii="方正仿宋_GBK" w:eastAsia="方正仿宋_GBK" w:cs="方正仿宋_GBK"/>
          <w:sz w:val="32"/>
          <w:szCs w:val="32"/>
        </w:rPr>
        <w:t>深入学习宣传贯彻</w:t>
      </w:r>
      <w:r>
        <w:rPr>
          <w:rFonts w:hint="eastAsia" w:ascii="方正仿宋_GBK" w:eastAsia="方正仿宋_GBK" w:cs="方正仿宋_GBK"/>
          <w:sz w:val="32"/>
          <w:szCs w:val="32"/>
          <w:lang w:eastAsia="zh-CN"/>
        </w:rPr>
        <w:t>党的</w:t>
      </w:r>
      <w:bookmarkStart w:id="8" w:name="_GoBack"/>
      <w:bookmarkEnd w:id="8"/>
      <w:r>
        <w:rPr>
          <w:rFonts w:hint="eastAsia" w:ascii="方正仿宋_GBK" w:eastAsia="方正仿宋_GBK" w:cs="方正仿宋_GBK"/>
          <w:sz w:val="32"/>
          <w:szCs w:val="32"/>
        </w:rPr>
        <w:t>十九大精神和贯彻落实县委县政府中心工作</w:t>
      </w:r>
      <w:r>
        <w:rPr>
          <w:rFonts w:ascii="方正仿宋_GBK" w:eastAsia="方正仿宋_GBK"/>
          <w:sz w:val="32"/>
          <w:szCs w:val="32"/>
        </w:rPr>
        <w:t>”</w:t>
      </w:r>
      <w:r>
        <w:rPr>
          <w:rFonts w:hint="eastAsia" w:ascii="方正仿宋_GBK" w:eastAsia="方正仿宋_GBK" w:cs="方正仿宋_GBK"/>
          <w:sz w:val="32"/>
          <w:szCs w:val="32"/>
        </w:rPr>
        <w:t>两大主题，确定</w:t>
      </w:r>
      <w:r>
        <w:rPr>
          <w:rFonts w:ascii="方正仿宋_GBK" w:eastAsia="方正仿宋_GBK"/>
          <w:sz w:val="32"/>
          <w:szCs w:val="32"/>
        </w:rPr>
        <w:t>“</w:t>
      </w:r>
      <w:r>
        <w:rPr>
          <w:rFonts w:hint="eastAsia" w:ascii="方正仿宋_GBK" w:eastAsia="方正仿宋_GBK" w:cs="方正仿宋_GBK"/>
          <w:sz w:val="32"/>
          <w:szCs w:val="32"/>
        </w:rPr>
        <w:t>走基层、接地气、兴调研；求实效、勇创新，创精品；深挖掘、树典型、争一流</w:t>
      </w:r>
      <w:r>
        <w:rPr>
          <w:rFonts w:ascii="方正仿宋_GBK" w:eastAsia="方正仿宋_GBK"/>
          <w:sz w:val="32"/>
          <w:szCs w:val="32"/>
        </w:rPr>
        <w:t>”</w:t>
      </w:r>
      <w:r>
        <w:rPr>
          <w:rFonts w:hint="eastAsia" w:ascii="方正仿宋_GBK" w:eastAsia="方正仿宋_GBK" w:cs="方正仿宋_GBK"/>
          <w:sz w:val="32"/>
          <w:szCs w:val="32"/>
        </w:rPr>
        <w:t>工作总思路。充分发挥县委党校</w:t>
      </w:r>
      <w:r>
        <w:rPr>
          <w:rFonts w:ascii="方正仿宋_GBK" w:eastAsia="方正仿宋_GBK"/>
          <w:sz w:val="32"/>
          <w:szCs w:val="32"/>
        </w:rPr>
        <w:t>“</w:t>
      </w:r>
      <w:r>
        <w:rPr>
          <w:rFonts w:hint="eastAsia" w:ascii="方正仿宋_GBK" w:eastAsia="方正仿宋_GBK" w:cs="方正仿宋_GBK"/>
          <w:sz w:val="32"/>
          <w:szCs w:val="32"/>
        </w:rPr>
        <w:t>运用所学理论研究重大现实问题，指导工作实践为主</w:t>
      </w:r>
      <w:r>
        <w:rPr>
          <w:rFonts w:ascii="方正仿宋_GBK" w:eastAsia="方正仿宋_GBK"/>
          <w:sz w:val="32"/>
          <w:szCs w:val="32"/>
        </w:rPr>
        <w:t>”</w:t>
      </w:r>
      <w:r>
        <w:rPr>
          <w:rFonts w:hint="eastAsia" w:ascii="方正仿宋_GBK" w:eastAsia="方正仿宋_GBK" w:cs="方正仿宋_GBK"/>
          <w:sz w:val="32"/>
          <w:szCs w:val="32"/>
        </w:rPr>
        <w:t>的职能作用，精心编写特色党课教材，在全县巡回宣讲。</w:t>
      </w: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职责绩效分类目标：</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一、在制作特色党课的基础上，广开思路，敞开三条主线：</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第一条主线：开通党旗在身边飘扬微视频特色党课。</w:t>
      </w:r>
    </w:p>
    <w:p>
      <w:pPr>
        <w:spacing w:line="500" w:lineRule="exact"/>
        <w:rPr>
          <w:rFonts w:ascii="方正仿宋_GBK" w:eastAsia="方正仿宋_GBK" w:cs="Times New Roman"/>
          <w:sz w:val="28"/>
          <w:szCs w:val="28"/>
        </w:rPr>
      </w:pPr>
      <w:r>
        <w:rPr>
          <w:rFonts w:ascii="方正仿宋_GBK" w:eastAsia="方正仿宋_GBK" w:cs="方正仿宋_GBK"/>
          <w:sz w:val="28"/>
          <w:szCs w:val="28"/>
        </w:rPr>
        <w:t xml:space="preserve">    </w:t>
      </w:r>
      <w:r>
        <w:rPr>
          <w:rFonts w:hint="eastAsia" w:ascii="方正仿宋_GBK" w:eastAsia="方正仿宋_GBK" w:cs="方正仿宋_GBK"/>
          <w:sz w:val="28"/>
          <w:szCs w:val="28"/>
        </w:rPr>
        <w:t>第二条主线：以文字和照片为主，精心制作较长篇幅的特色党课专题讲座课件。</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第三条主线：制作特色党课专题片，和县广播电视台专题部强强联合，用感人的镜头和工作生活细节，制作党旗在身边飘扬特色党课专题片。</w:t>
      </w:r>
    </w:p>
    <w:p>
      <w:pPr>
        <w:jc w:val="left"/>
        <w:rPr>
          <w:rFonts w:ascii="方正黑体_GBK" w:eastAsia="方正黑体_GBK" w:cs="Times New Roman"/>
          <w:sz w:val="28"/>
          <w:szCs w:val="28"/>
        </w:rPr>
      </w:pPr>
      <w:r>
        <w:rPr>
          <w:rFonts w:ascii="方正黑体_GBK" w:eastAsia="方正黑体_GBK" w:cs="方正黑体_GBK"/>
          <w:sz w:val="28"/>
          <w:szCs w:val="28"/>
        </w:rPr>
        <w:t xml:space="preserve">    </w:t>
      </w:r>
      <w:r>
        <w:rPr>
          <w:rFonts w:hint="eastAsia" w:ascii="方正黑体_GBK" w:eastAsia="方正黑体_GBK" w:cs="方正黑体_GBK"/>
          <w:sz w:val="28"/>
          <w:szCs w:val="28"/>
        </w:rPr>
        <w:t>二、实现年度发展规划目标的保障措施</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建设特色党课展讲三大阵地</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第一阵地：建设县委党校特色党课授课主阵地。</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第二阵地：建设特色党课流动课堂。</w:t>
      </w:r>
    </w:p>
    <w:p>
      <w:pPr>
        <w:spacing w:line="500" w:lineRule="exact"/>
        <w:ind w:firstLine="560"/>
        <w:rPr>
          <w:rFonts w:ascii="方正仿宋_GBK" w:eastAsia="方正仿宋_GBK" w:cs="Times New Roman"/>
          <w:sz w:val="28"/>
          <w:szCs w:val="28"/>
        </w:rPr>
      </w:pPr>
      <w:r>
        <w:rPr>
          <w:rFonts w:hint="eastAsia" w:ascii="方正仿宋_GBK" w:eastAsia="方正仿宋_GBK" w:cs="方正仿宋_GBK"/>
          <w:sz w:val="28"/>
          <w:szCs w:val="28"/>
        </w:rPr>
        <w:t>第三阵地：建立党校风采新媒体平台。</w:t>
      </w:r>
    </w:p>
    <w:bookmarkEnd w:id="0"/>
    <w:p>
      <w:pPr>
        <w:spacing w:line="240" w:lineRule="auto"/>
        <w:ind w:firstLine="320" w:firstLineChars="100"/>
        <w:jc w:val="both"/>
        <w:outlineLvl w:val="0"/>
        <w:rPr>
          <w:rFonts w:hint="eastAsia" w:ascii="Times New Roman" w:hAnsi="宋体" w:eastAsia="宋体" w:cs="宋体"/>
          <w:sz w:val="44"/>
          <w:u w:val="none"/>
          <w:lang w:eastAsia="zh-CN"/>
        </w:rPr>
      </w:pPr>
      <w:r>
        <w:rPr>
          <w:rFonts w:hint="eastAsia" w:ascii="方正小标宋_GBK" w:hAnsi="方正小标宋_GBK" w:eastAsia="方正小标宋_GBK" w:cs="方正小标宋_GBK"/>
          <w:sz w:val="32"/>
          <w:szCs w:val="32"/>
          <w:u w:val="none"/>
          <w:lang w:eastAsia="zh-CN"/>
        </w:rPr>
        <w:t>预算项目绩效目标</w:t>
      </w:r>
    </w:p>
    <w:p>
      <w:pPr>
        <w:ind w:firstLine="643" w:firstLineChars="200"/>
        <w:jc w:val="left"/>
        <w:outlineLvl w:val="1"/>
        <w:rPr>
          <w:rFonts w:hint="eastAsia" w:ascii="Times New Roman" w:hAnsi="Times New Roman" w:eastAsia="仿宋" w:cs="仿宋"/>
          <w:b/>
          <w:bCs/>
          <w:sz w:val="32"/>
          <w:szCs w:val="32"/>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1、土地出让金/党校建设绩效目标表</w:t>
      </w:r>
      <w:bookmarkStart w:id="1" w:name="_Toc14009"/>
      <w:r>
        <w:fldChar w:fldCharType="begin"/>
      </w:r>
      <w:r>
        <w:rPr>
          <w:rFonts w:hint="eastAsia" w:ascii="方正仿宋_GBK" w:hAnsi="方正仿宋_GBK" w:eastAsia="方正仿宋_GBK" w:cs="方正仿宋_GBK"/>
          <w:b/>
          <w:sz w:val="28"/>
          <w:u w:val="none"/>
          <w:lang w:eastAsia="zh-CN"/>
        </w:rPr>
        <w:instrText xml:space="preserve"> TC 1、土地出让金/党校建设绩效目标表 \f C \l 1 </w:instrText>
      </w:r>
      <w:r>
        <w:rPr>
          <w:rFonts w:hint="eastAsia" w:ascii="方正仿宋_GBK" w:hAnsi="方正仿宋_GBK" w:eastAsia="方正仿宋_GBK" w:cs="方正仿宋_GBK"/>
          <w:b/>
          <w:sz w:val="28"/>
          <w:u w:val="none"/>
          <w:lang w:eastAsia="zh-CN"/>
        </w:rPr>
        <w:fldChar w:fldCharType="end"/>
      </w:r>
      <w:bookmarkEnd w:id="1"/>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281002中共隆尧县委党校</w:t>
            </w:r>
          </w:p>
        </w:tc>
        <w:tc>
          <w:tcPr>
            <w:tcW w:w="1701"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w:t>
            </w:r>
            <w:r>
              <w:rPr>
                <w:rFonts w:hint="eastAsia" w:ascii="方正书宋_GBK" w:hAnsi="方正书宋_GBK" w:eastAsia="方正书宋_GBK" w:cs="方正书宋_GBK"/>
                <w:b/>
                <w:sz w:val="21"/>
                <w:u w:val="none"/>
                <w:vertAlign w:val="baseline"/>
                <w:lang w:val="en-US" w:eastAsia="zh-CN"/>
              </w:rPr>
              <w:t>万</w:t>
            </w:r>
            <w:r>
              <w:rPr>
                <w:rFonts w:hint="eastAsia" w:ascii="方正书宋_GBK" w:hAnsi="方正书宋_GBK" w:eastAsia="方正书宋_GBK" w:cs="方正书宋_GBK"/>
                <w:b/>
                <w:sz w:val="21"/>
                <w:u w:val="none"/>
                <w:vertAlign w:val="baseline"/>
                <w:lang w:eastAsia="zh-CN"/>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281-0401-YXN-L0K0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土地出让金/党校建设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党校建设费用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80.00</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1、通过建设新党校，切实改善县委党校办公条件及培训条件，为培训全县党员干部提供有力保障。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2、工程按时完成</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按照要求和计划完成研究任务的项目在所有立项项目中的比例（百分比）</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能够保障党校培训任务</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房屋及建筑物建设能够满足党校培训任务，产生良好的社会效益</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培训任务圆满完成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学员及党校职工对工程质量满意</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工程质量满意指标</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2、组织培训班绩效目标表</w:t>
      </w:r>
      <w:bookmarkStart w:id="2" w:name="_Toc3905"/>
      <w:r>
        <w:fldChar w:fldCharType="begin"/>
      </w:r>
      <w:r>
        <w:rPr>
          <w:rFonts w:hint="eastAsia" w:ascii="方正仿宋_GBK" w:hAnsi="方正仿宋_GBK" w:eastAsia="方正仿宋_GBK" w:cs="方正仿宋_GBK"/>
          <w:b/>
          <w:sz w:val="28"/>
          <w:u w:val="none"/>
          <w:lang w:eastAsia="zh-CN"/>
        </w:rPr>
        <w:instrText xml:space="preserve"> TC 2、组织培训班绩效目标表 \f C \l 1 </w:instrText>
      </w:r>
      <w:r>
        <w:rPr>
          <w:rFonts w:hint="eastAsia" w:ascii="方正仿宋_GBK" w:hAnsi="方正仿宋_GBK" w:eastAsia="方正仿宋_GBK" w:cs="方正仿宋_GBK"/>
          <w:b/>
          <w:sz w:val="28"/>
          <w:u w:val="none"/>
          <w:lang w:eastAsia="zh-CN"/>
        </w:rPr>
        <w:fldChar w:fldCharType="end"/>
      </w:r>
      <w:bookmarkEnd w:id="2"/>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749"/>
        <w:gridCol w:w="1115"/>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281002中共隆尧县委党校</w:t>
            </w:r>
          </w:p>
        </w:tc>
        <w:tc>
          <w:tcPr>
            <w:tcW w:w="1701"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w:t>
            </w:r>
            <w:r>
              <w:rPr>
                <w:rFonts w:hint="eastAsia" w:ascii="方正书宋_GBK" w:hAnsi="方正书宋_GBK" w:eastAsia="方正书宋_GBK" w:cs="方正书宋_GBK"/>
                <w:b/>
                <w:sz w:val="21"/>
                <w:u w:val="none"/>
                <w:vertAlign w:val="baseline"/>
                <w:lang w:val="en-US" w:eastAsia="zh-CN"/>
              </w:rPr>
              <w:t>万</w:t>
            </w:r>
            <w:r>
              <w:rPr>
                <w:rFonts w:hint="eastAsia" w:ascii="方正书宋_GBK" w:hAnsi="方正书宋_GBK" w:eastAsia="方正书宋_GBK" w:cs="方正书宋_GBK"/>
                <w:b/>
                <w:sz w:val="21"/>
                <w:u w:val="none"/>
                <w:vertAlign w:val="baseline"/>
                <w:lang w:eastAsia="zh-CN"/>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883"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281-0401-JXN-C4AO</w:t>
            </w:r>
          </w:p>
        </w:tc>
        <w:tc>
          <w:tcPr>
            <w:tcW w:w="111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组织培训班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749"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7.00</w:t>
            </w:r>
          </w:p>
        </w:tc>
        <w:tc>
          <w:tcPr>
            <w:tcW w:w="111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党校专项业务培训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883"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11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883"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w:t>
            </w:r>
          </w:p>
        </w:tc>
        <w:tc>
          <w:tcPr>
            <w:tcW w:w="111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90.09</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1、通过开展现场教学、案例教学、特色教学，有效提高培训质量，提高学员解决实际问题的能力。</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2、通过重点培育和建设，形成有党校特色的优势学科和重点学科。</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按照要求和计划完成研究任务的项目在所有立项项目中的比例（百分比）</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党校年度目标规划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提高学员政治理论水平及素质</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通过专项业务培训，提高党员干部理论水平。</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大于95%为优；</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大于85%为良；</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大于75%为中。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学员对教师讲课内容能理解，并在实际生活中有助于解决问题。</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党校2019-2020年度规划目标</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autoSpaceDE w:val="0"/>
        <w:autoSpaceDN w:val="0"/>
        <w:adjustRightInd w:val="0"/>
        <w:jc w:val="left"/>
        <w:rPr>
          <w:rFonts w:ascii="Times New Roman" w:hAnsi="Times New Roman" w:eastAsia="仿宋" w:cs="Times New Roman"/>
          <w:b/>
          <w:bCs/>
          <w:sz w:val="32"/>
          <w:szCs w:val="32"/>
        </w:rPr>
      </w:pPr>
    </w:p>
    <w:p>
      <w:pPr>
        <w:spacing w:line="300" w:lineRule="exact"/>
        <w:jc w:val="left"/>
        <w:outlineLvl w:val="0"/>
        <w:rPr>
          <w:rFonts w:cs="Times New Roman"/>
        </w:rPr>
        <w:sectPr>
          <w:pgSz w:w="16839" w:h="11907" w:orient="landscape"/>
          <w:pgMar w:top="1020" w:right="1361" w:bottom="1020" w:left="1361" w:header="851" w:footer="992" w:gutter="0"/>
          <w:cols w:space="720" w:num="1"/>
          <w:docGrid w:type="lines" w:linePitch="312" w:charSpace="0"/>
        </w:sectPr>
      </w:pPr>
      <w:bookmarkStart w:id="3" w:name="_Toc1916805"/>
      <w:r>
        <w:rPr>
          <w:rFonts w:ascii="方正小标宋_GBK" w:eastAsia="方正小标宋_GBK" w:cs="方正小标宋_GBK"/>
          <w:sz w:val="32"/>
          <w:szCs w:val="32"/>
        </w:rPr>
        <w:t xml:space="preserve">                              </w:t>
      </w:r>
      <w:bookmarkEnd w:id="3"/>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4"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3</w:t>
      </w:r>
      <w:r>
        <w:rPr>
          <w:rFonts w:hint="eastAsia" w:ascii="Times New Roman" w:hAnsi="Times New Roman" w:eastAsia="仿宋" w:cs="Times New Roman"/>
          <w:sz w:val="32"/>
          <w:szCs w:val="32"/>
          <w:lang w:val="en-US" w:eastAsia="zh-CN"/>
        </w:rPr>
        <w:t>.5</w:t>
      </w:r>
      <w:r>
        <w:rPr>
          <w:rFonts w:hint="eastAsia" w:ascii="Times New Roman" w:hAnsi="Times New Roman" w:eastAsia="仿宋" w:cs="仿宋"/>
          <w:sz w:val="32"/>
          <w:szCs w:val="32"/>
        </w:rPr>
        <w:t>万元。具体内容见下表。</w:t>
      </w:r>
      <w:bookmarkEnd w:id="4"/>
    </w:p>
    <w:p>
      <w:pPr>
        <w:spacing w:line="240" w:lineRule="auto"/>
        <w:ind w:firstLine="643" w:firstLineChars="200"/>
        <w:jc w:val="center"/>
        <w:outlineLvl w:val="0"/>
        <w:rPr>
          <w:rFonts w:hint="eastAsia" w:ascii="Times New Roman" w:hAnsi="宋体" w:eastAsia="宋体" w:cs="宋体"/>
          <w:b/>
          <w:sz w:val="32"/>
          <w:u w:val="none"/>
          <w:lang w:eastAsia="zh-CN"/>
        </w:rPr>
      </w:pPr>
      <w:bookmarkStart w:id="5" w:name="_Toc535404684"/>
      <w:r>
        <w:rPr>
          <w:rFonts w:hint="eastAsia" w:ascii="方正小标宋_GBK" w:hAnsi="方正小标宋_GBK" w:eastAsia="方正小标宋_GBK" w:cs="方正小标宋_GBK"/>
          <w:b/>
          <w:sz w:val="32"/>
          <w:u w:val="none"/>
          <w:lang w:eastAsia="zh-CN"/>
        </w:rPr>
        <w:t>部门政府采购预算</w:t>
      </w:r>
      <w:bookmarkStart w:id="6" w:name="_Toc29748"/>
      <w:bookmarkStart w:id="7" w:name="_Toc15352"/>
      <w:r>
        <w:fldChar w:fldCharType="begin"/>
      </w:r>
      <w:r>
        <w:rPr>
          <w:rFonts w:hint="eastAsia" w:ascii="方正小标宋_GBK" w:hAnsi="方正小标宋_GBK" w:eastAsia="方正小标宋_GBK" w:cs="方正小标宋_GBK"/>
          <w:b/>
          <w:sz w:val="32"/>
          <w:u w:val="none"/>
          <w:lang w:eastAsia="zh-CN"/>
        </w:rPr>
        <w:instrText xml:space="preserve"> TC 部门政府采购预算 \f A \l 1 </w:instrText>
      </w:r>
      <w:r>
        <w:rPr>
          <w:rFonts w:hint="eastAsia" w:ascii="方正小标宋_GBK" w:hAnsi="方正小标宋_GBK" w:eastAsia="方正小标宋_GBK" w:cs="方正小标宋_GBK"/>
          <w:b/>
          <w:sz w:val="32"/>
          <w:u w:val="none"/>
          <w:lang w:eastAsia="zh-CN"/>
        </w:rPr>
        <w:fldChar w:fldCharType="end"/>
      </w:r>
      <w:bookmarkEnd w:id="6"/>
      <w:bookmarkEnd w:id="7"/>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1188"/>
        <w:gridCol w:w="1335"/>
        <w:gridCol w:w="1365"/>
        <w:gridCol w:w="421"/>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984" w:type="dxa"/>
            <w:gridSpan w:val="7"/>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小标宋_GBK" w:hAnsi="方正小标宋_GBK" w:eastAsia="方正小标宋_GBK" w:cs="方正小标宋_GBK"/>
                <w:b/>
                <w:sz w:val="24"/>
                <w:u w:val="none"/>
                <w:vertAlign w:val="baseline"/>
                <w:lang w:eastAsia="zh-CN"/>
              </w:rPr>
            </w:pPr>
            <w:r>
              <w:rPr>
                <w:rFonts w:hint="eastAsia" w:ascii="方正小标宋_GBK" w:hAnsi="方正小标宋_GBK" w:eastAsia="方正小标宋_GBK" w:cs="方正小标宋_GBK"/>
                <w:b/>
                <w:sz w:val="24"/>
                <w:u w:val="none"/>
                <w:vertAlign w:val="baseline"/>
                <w:lang w:eastAsia="zh-CN"/>
              </w:rPr>
              <w:t>281隆尧县委党校</w:t>
            </w:r>
          </w:p>
        </w:tc>
        <w:tc>
          <w:tcPr>
            <w:tcW w:w="6523" w:type="dxa"/>
            <w:gridSpan w:val="6"/>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4"/>
                <w:u w:val="none"/>
                <w:vertAlign w:val="baseline"/>
                <w:lang w:eastAsia="zh-CN"/>
              </w:rPr>
            </w:pPr>
            <w:r>
              <w:rPr>
                <w:rFonts w:hint="eastAsia" w:ascii="方正书宋_GBK" w:hAnsi="方正书宋_GBK" w:eastAsia="方正书宋_GBK" w:cs="方正书宋_GBK"/>
                <w:b/>
                <w:sz w:val="24"/>
                <w:u w:val="none"/>
                <w:vertAlign w:val="baseline"/>
                <w:lang w:eastAsia="zh-CN"/>
              </w:rPr>
              <w:t>单位：</w:t>
            </w:r>
            <w:r>
              <w:rPr>
                <w:rFonts w:hint="eastAsia" w:ascii="方正书宋_GBK" w:hAnsi="方正书宋_GBK" w:eastAsia="方正书宋_GBK" w:cs="方正书宋_GBK"/>
                <w:b/>
                <w:sz w:val="24"/>
                <w:u w:val="none"/>
                <w:vertAlign w:val="baseline"/>
                <w:lang w:val="en-US" w:eastAsia="zh-CN"/>
              </w:rPr>
              <w:t>万</w:t>
            </w:r>
            <w:r>
              <w:rPr>
                <w:rFonts w:hint="eastAsia" w:ascii="方正书宋_GBK" w:hAnsi="方正书宋_GBK" w:eastAsia="方正书宋_GBK" w:cs="方正书宋_GBK"/>
                <w:b/>
                <w:sz w:val="24"/>
                <w:u w:val="none"/>
                <w:vertAlign w:val="baseline"/>
                <w:lang w:eastAsia="zh-CN"/>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政府采购项目来源</w:t>
            </w:r>
          </w:p>
        </w:tc>
        <w:tc>
          <w:tcPr>
            <w:tcW w:w="1531"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采购物品名称</w:t>
            </w:r>
          </w:p>
        </w:tc>
        <w:tc>
          <w:tcPr>
            <w:tcW w:w="1531"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政府采购目录序号</w:t>
            </w:r>
          </w:p>
        </w:tc>
        <w:tc>
          <w:tcPr>
            <w:tcW w:w="709"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计量  单位</w:t>
            </w:r>
          </w:p>
        </w:tc>
        <w:tc>
          <w:tcPr>
            <w:tcW w:w="907"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数量</w:t>
            </w:r>
          </w:p>
        </w:tc>
        <w:tc>
          <w:tcPr>
            <w:tcW w:w="1188"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单价</w:t>
            </w:r>
          </w:p>
        </w:tc>
        <w:tc>
          <w:tcPr>
            <w:tcW w:w="6523" w:type="dxa"/>
            <w:gridSpan w:val="6"/>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预算资金</w:t>
            </w:r>
          </w:p>
        </w:tc>
        <w:tc>
          <w:tcPr>
            <w:tcW w:w="1531" w:type="dxa"/>
            <w:vMerge w:val="continue"/>
            <w:vAlign w:val="top"/>
          </w:tcPr>
          <w:p>
            <w:pPr>
              <w:spacing w:line="300" w:lineRule="exact"/>
              <w:jc w:val="left"/>
              <w:outlineLvl w:val="0"/>
              <w:rPr>
                <w:rFonts w:hint="eastAsia" w:ascii="方正小标宋_GBK" w:hAnsi="方正小标宋_GBK" w:eastAsia="方正小标宋_GBK" w:cs="方正小标宋_GBK"/>
                <w:b/>
                <w:sz w:val="32"/>
                <w:u w:val="none"/>
                <w:vertAlign w:val="baseline"/>
                <w:lang w:eastAsia="zh-CN"/>
              </w:rPr>
            </w:pPr>
          </w:p>
        </w:tc>
        <w:tc>
          <w:tcPr>
            <w:tcW w:w="1531" w:type="dxa"/>
            <w:vMerge w:val="continue"/>
            <w:vAlign w:val="top"/>
          </w:tcPr>
          <w:p>
            <w:pPr>
              <w:spacing w:line="300" w:lineRule="exact"/>
              <w:jc w:val="left"/>
              <w:outlineLvl w:val="0"/>
              <w:rPr>
                <w:rFonts w:hint="eastAsia" w:ascii="方正小标宋_GBK" w:hAnsi="方正小标宋_GBK" w:eastAsia="方正小标宋_GBK" w:cs="方正小标宋_GBK"/>
                <w:b/>
                <w:sz w:val="32"/>
                <w:u w:val="none"/>
                <w:vertAlign w:val="baseline"/>
                <w:lang w:eastAsia="zh-CN"/>
              </w:rPr>
            </w:pPr>
          </w:p>
        </w:tc>
        <w:tc>
          <w:tcPr>
            <w:tcW w:w="709" w:type="dxa"/>
            <w:vMerge w:val="continue"/>
            <w:vAlign w:val="top"/>
          </w:tcPr>
          <w:p>
            <w:pPr>
              <w:spacing w:line="300" w:lineRule="exact"/>
              <w:jc w:val="left"/>
              <w:outlineLvl w:val="0"/>
              <w:rPr>
                <w:rFonts w:hint="eastAsia" w:ascii="方正小标宋_GBK" w:hAnsi="方正小标宋_GBK" w:eastAsia="方正小标宋_GBK" w:cs="方正小标宋_GBK"/>
                <w:b/>
                <w:sz w:val="32"/>
                <w:u w:val="none"/>
                <w:vertAlign w:val="baseline"/>
                <w:lang w:eastAsia="zh-CN"/>
              </w:rPr>
            </w:pPr>
          </w:p>
        </w:tc>
        <w:tc>
          <w:tcPr>
            <w:tcW w:w="907" w:type="dxa"/>
            <w:vMerge w:val="continue"/>
            <w:vAlign w:val="top"/>
          </w:tcPr>
          <w:p>
            <w:pPr>
              <w:spacing w:line="300" w:lineRule="exact"/>
              <w:jc w:val="left"/>
              <w:outlineLvl w:val="0"/>
              <w:rPr>
                <w:rFonts w:hint="eastAsia" w:ascii="方正小标宋_GBK" w:hAnsi="方正小标宋_GBK" w:eastAsia="方正小标宋_GBK" w:cs="方正小标宋_GBK"/>
                <w:b/>
                <w:sz w:val="32"/>
                <w:u w:val="none"/>
                <w:vertAlign w:val="baseline"/>
                <w:lang w:eastAsia="zh-CN"/>
              </w:rPr>
            </w:pPr>
          </w:p>
        </w:tc>
        <w:tc>
          <w:tcPr>
            <w:tcW w:w="1188" w:type="dxa"/>
            <w:vMerge w:val="continue"/>
            <w:vAlign w:val="top"/>
          </w:tcPr>
          <w:p>
            <w:pPr>
              <w:spacing w:line="300" w:lineRule="exact"/>
              <w:jc w:val="left"/>
              <w:outlineLvl w:val="0"/>
              <w:rPr>
                <w:rFonts w:hint="eastAsia" w:ascii="方正小标宋_GBK" w:hAnsi="方正小标宋_GBK" w:eastAsia="方正小标宋_GBK" w:cs="方正小标宋_GBK"/>
                <w:b/>
                <w:sz w:val="32"/>
                <w:u w:val="none"/>
                <w:vertAlign w:val="baseline"/>
                <w:lang w:eastAsia="zh-CN"/>
              </w:rPr>
            </w:pPr>
          </w:p>
        </w:tc>
        <w:tc>
          <w:tcPr>
            <w:tcW w:w="133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合计</w:t>
            </w:r>
          </w:p>
        </w:tc>
        <w:tc>
          <w:tcPr>
            <w:tcW w:w="136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一般公共预算拨款</w:t>
            </w:r>
          </w:p>
        </w:tc>
        <w:tc>
          <w:tcPr>
            <w:tcW w:w="42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基金预算拨款</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国有资本经营预算拨款</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财政专户核拨</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中共隆尧县委党校小计</w:t>
            </w: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c>
          <w:tcPr>
            <w:tcW w:w="709"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907"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88"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335"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w:t>
            </w:r>
          </w:p>
        </w:tc>
        <w:tc>
          <w:tcPr>
            <w:tcW w:w="1365" w:type="dxa"/>
            <w:vAlign w:val="center"/>
          </w:tcPr>
          <w:p>
            <w:pPr>
              <w:spacing w:line="300" w:lineRule="exact"/>
              <w:jc w:val="righ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3.5</w:t>
            </w:r>
          </w:p>
        </w:tc>
        <w:tc>
          <w:tcPr>
            <w:tcW w:w="421"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组织培训班</w:t>
            </w: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7.00</w:t>
            </w: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便携式计算机</w:t>
            </w: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A02010105</w:t>
            </w:r>
          </w:p>
        </w:tc>
        <w:tc>
          <w:tcPr>
            <w:tcW w:w="709"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台</w:t>
            </w:r>
          </w:p>
        </w:tc>
        <w:tc>
          <w:tcPr>
            <w:tcW w:w="907"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w:t>
            </w:r>
          </w:p>
        </w:tc>
        <w:tc>
          <w:tcPr>
            <w:tcW w:w="1188"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0.5</w:t>
            </w:r>
          </w:p>
        </w:tc>
        <w:tc>
          <w:tcPr>
            <w:tcW w:w="1335"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w:t>
            </w:r>
          </w:p>
        </w:tc>
        <w:tc>
          <w:tcPr>
            <w:tcW w:w="1365" w:type="dxa"/>
            <w:vAlign w:val="center"/>
          </w:tcPr>
          <w:p>
            <w:pPr>
              <w:spacing w:line="300" w:lineRule="exact"/>
              <w:jc w:val="righ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eastAsia="zh-CN"/>
              </w:rPr>
              <w:t>3.</w:t>
            </w:r>
            <w:r>
              <w:rPr>
                <w:rFonts w:hint="eastAsia" w:ascii="方正书宋_GBK" w:hAnsi="方正书宋_GBK" w:eastAsia="方正书宋_GBK" w:cs="方正书宋_GBK"/>
                <w:b/>
                <w:sz w:val="21"/>
                <w:u w:val="none"/>
                <w:vertAlign w:val="baseline"/>
                <w:lang w:val="en-US" w:eastAsia="zh-CN"/>
              </w:rPr>
              <w:t>00</w:t>
            </w:r>
          </w:p>
        </w:tc>
        <w:tc>
          <w:tcPr>
            <w:tcW w:w="421"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日常公用经费</w:t>
            </w: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11.89.00</w:t>
            </w: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其他家具用具</w:t>
            </w:r>
          </w:p>
        </w:tc>
        <w:tc>
          <w:tcPr>
            <w:tcW w:w="153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A0699</w:t>
            </w:r>
          </w:p>
        </w:tc>
        <w:tc>
          <w:tcPr>
            <w:tcW w:w="709"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套</w:t>
            </w:r>
          </w:p>
        </w:tc>
        <w:tc>
          <w:tcPr>
            <w:tcW w:w="907"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w:t>
            </w:r>
          </w:p>
        </w:tc>
        <w:tc>
          <w:tcPr>
            <w:tcW w:w="1188"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0.</w:t>
            </w:r>
            <w:r>
              <w:rPr>
                <w:rFonts w:hint="eastAsia" w:ascii="方正书宋_GBK" w:hAnsi="方正书宋_GBK" w:eastAsia="方正书宋_GBK" w:cs="方正书宋_GBK"/>
                <w:b/>
                <w:sz w:val="21"/>
                <w:u w:val="none"/>
                <w:vertAlign w:val="baseline"/>
                <w:lang w:eastAsia="zh-CN"/>
              </w:rPr>
              <w:t>125</w:t>
            </w:r>
          </w:p>
        </w:tc>
        <w:tc>
          <w:tcPr>
            <w:tcW w:w="1335"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0.5</w:t>
            </w:r>
          </w:p>
        </w:tc>
        <w:tc>
          <w:tcPr>
            <w:tcW w:w="1365"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0.5</w:t>
            </w:r>
          </w:p>
        </w:tc>
        <w:tc>
          <w:tcPr>
            <w:tcW w:w="421"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bookmarkEnd w:id="5"/>
    </w:tbl>
    <w:p>
      <w:pPr>
        <w:spacing w:line="300" w:lineRule="exact"/>
        <w:jc w:val="left"/>
        <w:outlineLvl w:val="0"/>
        <w:rPr>
          <w:rFonts w:cs="Times New Roman"/>
        </w:rPr>
        <w:sectPr>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隆尧县委党校</w:t>
      </w:r>
      <w:r>
        <w:rPr>
          <w:rFonts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20</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val="en-US" w:eastAsia="zh-CN"/>
        </w:rPr>
        <w:t>64</w:t>
      </w:r>
      <w:r>
        <w:rPr>
          <w:rFonts w:hint="eastAsia" w:ascii="Times New Roman" w:hAnsi="Times New Roman" w:eastAsia="仿宋" w:cs="仿宋"/>
          <w:color w:val="000000"/>
          <w:sz w:val="32"/>
          <w:szCs w:val="32"/>
        </w:rPr>
        <w:t>万元（详见下表），本年度各处室拟购置固定资产总额为</w:t>
      </w:r>
      <w:r>
        <w:rPr>
          <w:rFonts w:ascii="Times New Roman" w:hAnsi="Times New Roman" w:eastAsia="仿宋" w:cs="Times New Roman"/>
          <w:color w:val="000000"/>
          <w:sz w:val="32"/>
          <w:szCs w:val="32"/>
        </w:rPr>
        <w:t>3</w:t>
      </w:r>
      <w:r>
        <w:rPr>
          <w:rFonts w:hint="eastAsia" w:ascii="Times New Roman" w:hAnsi="Times New Roman" w:eastAsia="仿宋" w:cs="Times New Roman"/>
          <w:color w:val="000000"/>
          <w:sz w:val="32"/>
          <w:szCs w:val="32"/>
          <w:lang w:val="en-US" w:eastAsia="zh-CN"/>
        </w:rPr>
        <w:t>.5</w:t>
      </w:r>
      <w:r>
        <w:rPr>
          <w:rFonts w:hint="eastAsia" w:ascii="Times New Roman" w:hAnsi="Times New Roman" w:eastAsia="仿宋" w:cs="仿宋"/>
          <w:color w:val="000000"/>
          <w:sz w:val="32"/>
          <w:szCs w:val="32"/>
        </w:rPr>
        <w:t>万元，主要为</w:t>
      </w:r>
      <w:r>
        <w:rPr>
          <w:rFonts w:hint="eastAsia" w:ascii="Times New Roman" w:hAnsi="Times New Roman" w:eastAsia="仿宋" w:cs="仿宋"/>
          <w:color w:val="000000"/>
          <w:sz w:val="32"/>
          <w:szCs w:val="32"/>
          <w:lang w:val="en-US" w:eastAsia="zh-CN"/>
        </w:rPr>
        <w:t>电脑和办公家具</w:t>
      </w:r>
      <w:r>
        <w:rPr>
          <w:rFonts w:hint="eastAsia" w:ascii="Times New Roman" w:hAnsi="Times New Roman" w:eastAsia="仿宋" w:cs="仿宋"/>
          <w:color w:val="000000"/>
          <w:sz w:val="32"/>
          <w:szCs w:val="32"/>
        </w:rPr>
        <w:t>，已列入政府采购预算表，详见政府采购预算表。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隆尧县委党校部门固定资产占用情况表</w:t>
            </w:r>
          </w:p>
        </w:tc>
      </w:tr>
      <w:tr>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编制部门：隆尧县委党校</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w:t>
            </w:r>
            <w:r>
              <w:rPr>
                <w:rFonts w:hint="eastAsia" w:ascii="Times New Roman" w:hAnsi="Times New Roman" w:eastAsia="仿宋" w:cs="Times New Roman"/>
                <w:kern w:val="0"/>
                <w:sz w:val="22"/>
                <w:szCs w:val="22"/>
                <w:lang w:val="en-US" w:eastAsia="zh-CN"/>
              </w:rPr>
              <w:t>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20.64</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20.64</w:t>
            </w:r>
          </w:p>
        </w:tc>
      </w:tr>
      <w:tr>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_GBK">
    <w:altName w:val="Arial"/>
    <w:panose1 w:val="00000000000000000000"/>
    <w:charset w:val="00"/>
    <w:family w:val="auto"/>
    <w:pitch w:val="default"/>
    <w:sig w:usb0="00000000" w:usb1="00000000" w:usb2="00000000" w:usb3="00000000" w:csb0="00000001"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roman"/>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3905AE"/>
    <w:rsid w:val="003F4292"/>
    <w:rsid w:val="0046545D"/>
    <w:rsid w:val="00676E15"/>
    <w:rsid w:val="007941F0"/>
    <w:rsid w:val="00853983"/>
    <w:rsid w:val="00A45EE2"/>
    <w:rsid w:val="00A5050A"/>
    <w:rsid w:val="00BA7E28"/>
    <w:rsid w:val="00C40AA4"/>
    <w:rsid w:val="00C67CC4"/>
    <w:rsid w:val="00DE419B"/>
    <w:rsid w:val="00EC3709"/>
    <w:rsid w:val="00F310CE"/>
    <w:rsid w:val="00F62306"/>
    <w:rsid w:val="00F73D27"/>
    <w:rsid w:val="01ED5AD5"/>
    <w:rsid w:val="02D17B65"/>
    <w:rsid w:val="0D9B05DA"/>
    <w:rsid w:val="11A81F3E"/>
    <w:rsid w:val="178A3F55"/>
    <w:rsid w:val="1E35658B"/>
    <w:rsid w:val="1FC9478A"/>
    <w:rsid w:val="218B2754"/>
    <w:rsid w:val="22575AAC"/>
    <w:rsid w:val="22B61348"/>
    <w:rsid w:val="29BC7E81"/>
    <w:rsid w:val="2A2F35BE"/>
    <w:rsid w:val="2AE013F1"/>
    <w:rsid w:val="2ED90157"/>
    <w:rsid w:val="3CBD607D"/>
    <w:rsid w:val="3D594378"/>
    <w:rsid w:val="448663C6"/>
    <w:rsid w:val="47D13FD2"/>
    <w:rsid w:val="48650E8D"/>
    <w:rsid w:val="4A2626D9"/>
    <w:rsid w:val="4B4369F5"/>
    <w:rsid w:val="4D100678"/>
    <w:rsid w:val="4F31CE71"/>
    <w:rsid w:val="52953B6D"/>
    <w:rsid w:val="52C952BB"/>
    <w:rsid w:val="52DC31F1"/>
    <w:rsid w:val="5A8D575D"/>
    <w:rsid w:val="5EB84D4A"/>
    <w:rsid w:val="620F2C7E"/>
    <w:rsid w:val="64AA77E7"/>
    <w:rsid w:val="664A4E75"/>
    <w:rsid w:val="668D176D"/>
    <w:rsid w:val="67297FAD"/>
    <w:rsid w:val="68745440"/>
    <w:rsid w:val="690D0DFE"/>
    <w:rsid w:val="6C1C2B2B"/>
    <w:rsid w:val="6EB245A0"/>
    <w:rsid w:val="70E544D3"/>
    <w:rsid w:val="72077FFE"/>
    <w:rsid w:val="74132C99"/>
    <w:rsid w:val="77627935"/>
    <w:rsid w:val="77AE6695"/>
    <w:rsid w:val="7A7D7D42"/>
    <w:rsid w:val="7E926217"/>
    <w:rsid w:val="7FFFA93E"/>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qFormat/>
    <w:uiPriority w:val="99"/>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509</Words>
  <Characters>2902</Characters>
  <Lines>24</Lines>
  <Paragraphs>6</Paragraphs>
  <TotalTime>1</TotalTime>
  <ScaleCrop>false</ScaleCrop>
  <LinksUpToDate>false</LinksUpToDate>
  <CharactersWithSpaces>3405</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work</cp:lastModifiedBy>
  <cp:lastPrinted>2017-02-10T17:57:00Z</cp:lastPrinted>
  <dcterms:modified xsi:type="dcterms:W3CDTF">2023-09-20T09:26:39Z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BFB4BD70F32928464F4A0A65A8315336</vt:lpwstr>
  </property>
</Properties>
</file>