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adjustRightInd w:val="0"/>
        <w:snapToGrid w:val="0"/>
        <w:jc w:val="center"/>
        <w:rPr>
          <w:rFonts w:ascii="方正小标宋_GBK" w:hAnsi="Times New Roman" w:eastAsia="方正小标宋_GBK" w:cs="Times New Roman"/>
          <w:bCs/>
          <w:sz w:val="44"/>
          <w:szCs w:val="44"/>
        </w:rPr>
      </w:pPr>
      <w:r>
        <w:rPr>
          <w:rFonts w:hint="eastAsia" w:ascii="Times New Roman" w:hAnsi="Times New Roman" w:eastAsia="方正小标宋_GBK" w:cs="Times New Roman"/>
          <w:sz w:val="44"/>
          <w:szCs w:val="44"/>
        </w:rPr>
        <w:t>隆尧县人大</w:t>
      </w:r>
      <w:r>
        <w:rPr>
          <w:rFonts w:hint="eastAsia" w:ascii="方正小标宋_GBK" w:hAnsi="Times New Roman" w:eastAsia="方正小标宋_GBK" w:cs="Times New Roman"/>
          <w:bCs/>
          <w:sz w:val="44"/>
          <w:szCs w:val="44"/>
        </w:rPr>
        <w:t>2021年部门预算信息公开情况说明</w:t>
      </w:r>
    </w:p>
    <w:p>
      <w:pPr>
        <w:ind w:firstLine="640"/>
        <w:rPr>
          <w:rFonts w:ascii="Times New Roman" w:hAnsi="Times New Roman" w:eastAsia="仿宋" w:cs="Times New Roman"/>
          <w:sz w:val="32"/>
          <w:szCs w:val="32"/>
        </w:rPr>
      </w:pP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按照《预算法》、《地方预决算公开操作规程》和《河北省省级预算公开办法》规定，现将隆尧县人大2021年部门预算公开如下：</w:t>
      </w:r>
    </w:p>
    <w:p>
      <w:pPr>
        <w:ind w:firstLine="640"/>
        <w:rPr>
          <w:rFonts w:ascii="黑体" w:hAnsi="黑体" w:eastAsia="黑体" w:cs="Times New Roman"/>
          <w:sz w:val="32"/>
          <w:szCs w:val="32"/>
        </w:rPr>
      </w:pPr>
      <w:r>
        <w:rPr>
          <w:rFonts w:hint="eastAsia" w:ascii="黑体" w:hAnsi="黑体" w:eastAsia="黑体" w:cs="Times New Roman"/>
          <w:sz w:val="32"/>
          <w:szCs w:val="32"/>
        </w:rPr>
        <w:t>一、部门职责及机构设置情况</w:t>
      </w:r>
    </w:p>
    <w:p>
      <w:pPr>
        <w:ind w:firstLine="630" w:firstLineChars="196"/>
        <w:rPr>
          <w:rFonts w:ascii="仿宋" w:hAnsi="仿宋" w:eastAsia="仿宋" w:cs="Times New Roman"/>
          <w:b/>
          <w:sz w:val="32"/>
          <w:szCs w:val="32"/>
        </w:rPr>
      </w:pPr>
      <w:r>
        <w:rPr>
          <w:rFonts w:hint="eastAsia" w:ascii="仿宋" w:hAnsi="仿宋" w:eastAsia="仿宋" w:cs="Times New Roman"/>
          <w:b/>
          <w:sz w:val="32"/>
          <w:szCs w:val="32"/>
        </w:rPr>
        <w:t>部门</w:t>
      </w:r>
      <w:r>
        <w:rPr>
          <w:rFonts w:ascii="仿宋" w:hAnsi="仿宋" w:eastAsia="仿宋" w:cs="Times New Roman"/>
          <w:b/>
          <w:sz w:val="32"/>
          <w:szCs w:val="32"/>
        </w:rPr>
        <w:t>职责：</w:t>
      </w:r>
    </w:p>
    <w:p>
      <w:pPr>
        <w:ind w:firstLine="640" w:firstLineChars="200"/>
        <w:rPr>
          <w:rFonts w:ascii="仿宋" w:hAnsi="仿宋" w:eastAsia="仿宋" w:cs="仿宋"/>
          <w:bCs/>
          <w:sz w:val="32"/>
          <w:szCs w:val="32"/>
        </w:rPr>
      </w:pPr>
      <w:r>
        <w:rPr>
          <w:rFonts w:hint="eastAsia" w:ascii="仿宋" w:hAnsi="仿宋" w:eastAsia="仿宋" w:cs="仿宋"/>
          <w:bCs/>
          <w:sz w:val="32"/>
          <w:szCs w:val="32"/>
        </w:rPr>
        <w:t>人大监督：进行执法调研和执法检查；围绕政府工作报告和“一府一委两院”专项工作报告涉及内容开展调查研究，开展专题询问和工作评议；对“一府一委两院”进行监督；组织开展专题询问和工作评议。</w:t>
      </w:r>
    </w:p>
    <w:p>
      <w:pPr>
        <w:ind w:firstLine="640" w:firstLineChars="200"/>
        <w:rPr>
          <w:rFonts w:ascii="仿宋" w:hAnsi="仿宋" w:eastAsia="仿宋" w:cs="仿宋"/>
          <w:bCs/>
          <w:sz w:val="32"/>
          <w:szCs w:val="32"/>
        </w:rPr>
      </w:pPr>
      <w:r>
        <w:rPr>
          <w:rFonts w:hint="eastAsia" w:ascii="仿宋" w:hAnsi="仿宋" w:eastAsia="仿宋" w:cs="仿宋"/>
          <w:bCs/>
          <w:sz w:val="32"/>
          <w:szCs w:val="32"/>
        </w:rPr>
        <w:t>人大会议：县人民代表大会和常务委员会各种会议的筹备、会务工作，负责常委会文件起草、审核把关，常委会会议、主任会议及常委会党组会议决定事项、工作部署、重要文件及领导批示的传达和督办。</w:t>
      </w:r>
    </w:p>
    <w:p>
      <w:pPr>
        <w:ind w:firstLine="640" w:firstLineChars="200"/>
        <w:rPr>
          <w:rFonts w:ascii="仿宋" w:hAnsi="仿宋" w:eastAsia="仿宋" w:cs="仿宋"/>
          <w:bCs/>
          <w:sz w:val="32"/>
          <w:szCs w:val="32"/>
        </w:rPr>
      </w:pPr>
      <w:r>
        <w:rPr>
          <w:rFonts w:hint="eastAsia" w:ascii="仿宋" w:hAnsi="仿宋" w:eastAsia="仿宋" w:cs="仿宋"/>
          <w:bCs/>
          <w:sz w:val="32"/>
          <w:szCs w:val="32"/>
        </w:rPr>
        <w:t>选举和任免：检查监督代表法、选举法及其实施办法的贯彻实施；承担人大换届选举及人事任免服务工作；负责对县政府组成人员和县级人民法院、县人民检察院主要负责人的目标责任书、述职报告的督办工作。</w:t>
      </w:r>
    </w:p>
    <w:p>
      <w:pPr>
        <w:ind w:firstLine="640" w:firstLineChars="200"/>
        <w:rPr>
          <w:rFonts w:ascii="仿宋" w:hAnsi="仿宋" w:eastAsia="仿宋" w:cs="仿宋"/>
          <w:bCs/>
          <w:sz w:val="32"/>
          <w:szCs w:val="32"/>
        </w:rPr>
      </w:pPr>
      <w:r>
        <w:rPr>
          <w:rFonts w:hint="eastAsia" w:ascii="仿宋" w:hAnsi="仿宋" w:eastAsia="仿宋" w:cs="仿宋"/>
          <w:bCs/>
          <w:sz w:val="32"/>
          <w:szCs w:val="32"/>
        </w:rPr>
        <w:t>人大事务管理：新闻宣传和机关信息化建设与维护；人代会及常委会会议表决系统、机关基础设施建设与维护；县人大机关日常管理事务；信访工作。</w:t>
      </w:r>
    </w:p>
    <w:p>
      <w:pPr>
        <w:ind w:firstLine="643" w:firstLineChars="200"/>
        <w:rPr>
          <w:rFonts w:ascii="仿宋" w:hAnsi="仿宋" w:eastAsia="仿宋" w:cs="Times New Roman"/>
          <w:b/>
          <w:sz w:val="32"/>
          <w:szCs w:val="32"/>
        </w:rPr>
      </w:pPr>
      <w:r>
        <w:rPr>
          <w:rFonts w:hint="eastAsia" w:ascii="仿宋" w:hAnsi="仿宋" w:eastAsia="仿宋" w:cs="Times New Roman"/>
          <w:b/>
          <w:sz w:val="32"/>
          <w:szCs w:val="32"/>
        </w:rPr>
        <w:t>机构设置：</w:t>
      </w:r>
    </w:p>
    <w:p>
      <w:pPr>
        <w:jc w:val="center"/>
        <w:outlineLvl w:val="0"/>
        <w:rPr>
          <w:rFonts w:ascii="Times New Roman" w:hAnsi="Times New Roman" w:eastAsia="方正小标宋_GBK" w:cs="Times New Roman"/>
          <w:sz w:val="32"/>
          <w:szCs w:val="24"/>
        </w:rPr>
      </w:pPr>
      <w:r>
        <w:rPr>
          <w:rFonts w:ascii="Times New Roman" w:hAnsi="Times New Roman" w:eastAsia="方正小标宋_GBK" w:cs="Times New Roman"/>
          <w:sz w:val="32"/>
          <w:szCs w:val="24"/>
        </w:rPr>
        <w:t>部门</w:t>
      </w:r>
      <w:r>
        <w:rPr>
          <w:rFonts w:hint="eastAsia" w:ascii="Times New Roman" w:hAnsi="Times New Roman" w:eastAsia="方正小标宋_GBK" w:cs="Times New Roman"/>
          <w:sz w:val="32"/>
          <w:szCs w:val="24"/>
        </w:rPr>
        <w:t>机构设置情况</w:t>
      </w:r>
    </w:p>
    <w:tbl>
      <w:tblPr>
        <w:tblStyle w:val="7"/>
        <w:tblW w:w="9220" w:type="dxa"/>
        <w:tblInd w:w="839"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2996"/>
        <w:gridCol w:w="2510"/>
        <w:gridCol w:w="1754"/>
        <w:gridCol w:w="1960"/>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44" w:hRule="atLeast"/>
        </w:trPr>
        <w:tc>
          <w:tcPr>
            <w:tcW w:w="2996" w:type="dxa"/>
          </w:tcPr>
          <w:p>
            <w:pPr>
              <w:autoSpaceDE w:val="0"/>
              <w:autoSpaceDN w:val="0"/>
              <w:adjustRightInd w:val="0"/>
              <w:jc w:val="left"/>
              <w:rPr>
                <w:rFonts w:ascii="仿宋_GB2312" w:hAnsi="仿宋_GB2312" w:eastAsia="仿宋_GB2312"/>
                <w:bCs/>
                <w:kern w:val="0"/>
                <w:sz w:val="24"/>
                <w:szCs w:val="24"/>
              </w:rPr>
            </w:pPr>
            <w:r>
              <w:rPr>
                <w:rFonts w:ascii="Times New Roman" w:hAnsi="Times New Roman" w:eastAsia="方正书宋_GBK"/>
                <w:bCs/>
                <w:sz w:val="24"/>
                <w:szCs w:val="24"/>
              </w:rPr>
              <w:t>单位名称</w:t>
            </w:r>
          </w:p>
        </w:tc>
        <w:tc>
          <w:tcPr>
            <w:tcW w:w="2510" w:type="dxa"/>
          </w:tcPr>
          <w:p>
            <w:pPr>
              <w:autoSpaceDE w:val="0"/>
              <w:autoSpaceDN w:val="0"/>
              <w:adjustRightInd w:val="0"/>
              <w:jc w:val="left"/>
              <w:rPr>
                <w:rFonts w:ascii="仿宋_GB2312" w:hAnsi="仿宋_GB2312" w:eastAsia="仿宋_GB2312"/>
                <w:bCs/>
                <w:kern w:val="0"/>
                <w:sz w:val="24"/>
                <w:szCs w:val="24"/>
              </w:rPr>
            </w:pPr>
            <w:r>
              <w:rPr>
                <w:rFonts w:ascii="Times New Roman" w:hAnsi="Times New Roman" w:eastAsia="方正书宋_GBK"/>
                <w:bCs/>
                <w:sz w:val="24"/>
                <w:szCs w:val="24"/>
              </w:rPr>
              <w:t>单位性质</w:t>
            </w:r>
          </w:p>
        </w:tc>
        <w:tc>
          <w:tcPr>
            <w:tcW w:w="1754" w:type="dxa"/>
          </w:tcPr>
          <w:p>
            <w:pPr>
              <w:autoSpaceDE w:val="0"/>
              <w:autoSpaceDN w:val="0"/>
              <w:adjustRightInd w:val="0"/>
              <w:jc w:val="left"/>
              <w:rPr>
                <w:rFonts w:ascii="仿宋_GB2312" w:hAnsi="仿宋_GB2312" w:eastAsia="仿宋_GB2312"/>
                <w:bCs/>
                <w:kern w:val="0"/>
                <w:sz w:val="24"/>
                <w:szCs w:val="24"/>
              </w:rPr>
            </w:pPr>
            <w:r>
              <w:rPr>
                <w:rFonts w:ascii="Times New Roman" w:hAnsi="Times New Roman" w:eastAsia="方正书宋_GBK"/>
                <w:bCs/>
                <w:sz w:val="24"/>
                <w:szCs w:val="24"/>
              </w:rPr>
              <w:t>单位规格</w:t>
            </w:r>
          </w:p>
        </w:tc>
        <w:tc>
          <w:tcPr>
            <w:tcW w:w="1960" w:type="dxa"/>
          </w:tcPr>
          <w:p>
            <w:pPr>
              <w:autoSpaceDE w:val="0"/>
              <w:autoSpaceDN w:val="0"/>
              <w:adjustRightInd w:val="0"/>
              <w:jc w:val="left"/>
              <w:rPr>
                <w:rFonts w:ascii="仿宋_GB2312" w:hAnsi="仿宋_GB2312" w:eastAsia="仿宋_GB2312"/>
                <w:bCs/>
                <w:kern w:val="0"/>
                <w:sz w:val="24"/>
                <w:szCs w:val="24"/>
              </w:rPr>
            </w:pPr>
            <w:r>
              <w:rPr>
                <w:rFonts w:ascii="Times New Roman" w:hAnsi="Times New Roman" w:eastAsia="方正书宋_GBK"/>
                <w:bCs/>
                <w:sz w:val="24"/>
                <w:szCs w:val="24"/>
              </w:rPr>
              <w:t>经费保障形式</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32" w:hRule="atLeast"/>
        </w:trPr>
        <w:tc>
          <w:tcPr>
            <w:tcW w:w="2996" w:type="dxa"/>
          </w:tcPr>
          <w:p>
            <w:pPr>
              <w:autoSpaceDE w:val="0"/>
              <w:autoSpaceDN w:val="0"/>
              <w:adjustRightInd w:val="0"/>
              <w:jc w:val="left"/>
              <w:rPr>
                <w:rFonts w:ascii="仿宋_GB2312" w:hAnsi="仿宋_GB2312" w:eastAsia="仿宋_GB2312"/>
                <w:bCs/>
                <w:kern w:val="0"/>
                <w:sz w:val="24"/>
                <w:szCs w:val="24"/>
              </w:rPr>
            </w:pPr>
            <w:r>
              <w:rPr>
                <w:rFonts w:hint="eastAsia" w:ascii="仿宋_GB2312" w:hAnsi="仿宋_GB2312" w:eastAsia="仿宋_GB2312"/>
                <w:bCs/>
                <w:kern w:val="0"/>
                <w:sz w:val="24"/>
                <w:szCs w:val="24"/>
              </w:rPr>
              <w:t>隆尧县人大（机关）</w:t>
            </w:r>
          </w:p>
        </w:tc>
        <w:tc>
          <w:tcPr>
            <w:tcW w:w="2510" w:type="dxa"/>
          </w:tcPr>
          <w:p>
            <w:pPr>
              <w:autoSpaceDE w:val="0"/>
              <w:autoSpaceDN w:val="0"/>
              <w:adjustRightInd w:val="0"/>
              <w:jc w:val="left"/>
              <w:rPr>
                <w:rFonts w:ascii="仿宋_GB2312" w:hAnsi="仿宋_GB2312" w:eastAsia="仿宋_GB2312"/>
                <w:bCs/>
                <w:kern w:val="0"/>
                <w:sz w:val="24"/>
                <w:szCs w:val="24"/>
              </w:rPr>
            </w:pPr>
            <w:r>
              <w:rPr>
                <w:rFonts w:hint="eastAsia" w:ascii="仿宋_GB2312" w:hAnsi="仿宋_GB2312" w:eastAsia="仿宋_GB2312"/>
                <w:bCs/>
                <w:kern w:val="0"/>
                <w:sz w:val="24"/>
                <w:szCs w:val="24"/>
              </w:rPr>
              <w:t>行政</w:t>
            </w:r>
          </w:p>
        </w:tc>
        <w:tc>
          <w:tcPr>
            <w:tcW w:w="1754" w:type="dxa"/>
          </w:tcPr>
          <w:p>
            <w:pPr>
              <w:autoSpaceDE w:val="0"/>
              <w:autoSpaceDN w:val="0"/>
              <w:adjustRightInd w:val="0"/>
              <w:jc w:val="left"/>
              <w:rPr>
                <w:rFonts w:ascii="仿宋_GB2312" w:hAnsi="仿宋_GB2312" w:eastAsia="仿宋_GB2312"/>
                <w:bCs/>
                <w:kern w:val="0"/>
                <w:sz w:val="24"/>
                <w:szCs w:val="24"/>
              </w:rPr>
            </w:pPr>
            <w:r>
              <w:rPr>
                <w:rFonts w:hint="eastAsia" w:ascii="仿宋_GB2312" w:hAnsi="仿宋_GB2312" w:eastAsia="仿宋_GB2312"/>
                <w:bCs/>
                <w:kern w:val="0"/>
                <w:sz w:val="24"/>
                <w:szCs w:val="24"/>
              </w:rPr>
              <w:t>正处级</w:t>
            </w:r>
          </w:p>
        </w:tc>
        <w:tc>
          <w:tcPr>
            <w:tcW w:w="1960" w:type="dxa"/>
          </w:tcPr>
          <w:p>
            <w:pPr>
              <w:autoSpaceDE w:val="0"/>
              <w:autoSpaceDN w:val="0"/>
              <w:adjustRightInd w:val="0"/>
              <w:jc w:val="left"/>
              <w:rPr>
                <w:rFonts w:ascii="仿宋_GB2312" w:hAnsi="仿宋_GB2312" w:eastAsia="仿宋_GB2312"/>
                <w:bCs/>
                <w:kern w:val="0"/>
                <w:sz w:val="24"/>
                <w:szCs w:val="24"/>
              </w:rPr>
            </w:pPr>
            <w:r>
              <w:rPr>
                <w:rFonts w:hint="eastAsia" w:ascii="仿宋_GB2312" w:hAnsi="仿宋_GB2312" w:eastAsia="仿宋_GB2312"/>
                <w:bCs/>
                <w:kern w:val="0"/>
                <w:sz w:val="24"/>
                <w:szCs w:val="24"/>
              </w:rPr>
              <w:t>财政拨款</w:t>
            </w:r>
          </w:p>
        </w:tc>
      </w:tr>
    </w:tbl>
    <w:p/>
    <w:p/>
    <w:p>
      <w:pPr>
        <w:ind w:firstLine="640"/>
        <w:rPr>
          <w:rFonts w:ascii="黑体" w:hAnsi="黑体" w:eastAsia="黑体" w:cs="Times New Roman"/>
          <w:sz w:val="32"/>
          <w:szCs w:val="32"/>
        </w:rPr>
      </w:pPr>
      <w:r>
        <w:rPr>
          <w:rFonts w:hint="eastAsia" w:ascii="黑体" w:hAnsi="黑体" w:eastAsia="黑体" w:cs="Times New Roman"/>
          <w:sz w:val="32"/>
          <w:szCs w:val="32"/>
        </w:rPr>
        <w:t>二、部门预算安排的总体情况</w:t>
      </w:r>
    </w:p>
    <w:p>
      <w:pPr>
        <w:ind w:firstLine="640"/>
        <w:rPr>
          <w:rFonts w:ascii="Times New Roman" w:hAnsi="Times New Roman" w:eastAsia="仿宋" w:cs="Times New Roman"/>
          <w:sz w:val="32"/>
          <w:szCs w:val="32"/>
        </w:rPr>
      </w:pPr>
      <w:r>
        <w:rPr>
          <w:rFonts w:ascii="Times New Roman" w:hAnsi="Times New Roman" w:eastAsia="仿宋" w:cs="Times New Roman"/>
          <w:sz w:val="32"/>
          <w:szCs w:val="32"/>
        </w:rPr>
        <w:t>按照预算管理有关规定，目前</w:t>
      </w:r>
      <w:r>
        <w:rPr>
          <w:rFonts w:hint="eastAsia" w:ascii="Times New Roman" w:hAnsi="Times New Roman" w:eastAsia="仿宋" w:cs="Times New Roman"/>
          <w:sz w:val="32"/>
          <w:szCs w:val="32"/>
        </w:rPr>
        <w:t>我单位</w:t>
      </w:r>
      <w:r>
        <w:rPr>
          <w:rFonts w:ascii="Times New Roman" w:hAnsi="Times New Roman" w:eastAsia="仿宋" w:cs="Times New Roman"/>
          <w:sz w:val="32"/>
          <w:szCs w:val="32"/>
        </w:rPr>
        <w:t>预算的编制实行综合预算</w:t>
      </w:r>
      <w:r>
        <w:rPr>
          <w:rFonts w:hint="eastAsia" w:ascii="Times New Roman" w:hAnsi="Times New Roman" w:eastAsia="仿宋" w:cs="Times New Roman"/>
          <w:sz w:val="32"/>
          <w:szCs w:val="32"/>
        </w:rPr>
        <w:t>管理</w:t>
      </w:r>
      <w:r>
        <w:rPr>
          <w:rFonts w:ascii="Times New Roman" w:hAnsi="Times New Roman" w:eastAsia="仿宋" w:cs="Times New Roman"/>
          <w:sz w:val="32"/>
          <w:szCs w:val="32"/>
        </w:rPr>
        <w:t>，即全部收入和支出都反映的预算中。</w:t>
      </w:r>
      <w:r>
        <w:rPr>
          <w:rFonts w:hint="eastAsia" w:ascii="Times New Roman" w:hAnsi="Times New Roman" w:eastAsia="仿宋" w:cs="Times New Roman"/>
          <w:sz w:val="32"/>
          <w:szCs w:val="32"/>
        </w:rPr>
        <w:t>隆尧县人大机关的</w:t>
      </w:r>
      <w:r>
        <w:rPr>
          <w:rFonts w:ascii="Times New Roman" w:hAnsi="Times New Roman" w:eastAsia="仿宋" w:cs="Times New Roman"/>
          <w:sz w:val="32"/>
          <w:szCs w:val="32"/>
        </w:rPr>
        <w:t>收支包含在部门预算中。</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1、</w:t>
      </w:r>
      <w:r>
        <w:rPr>
          <w:rFonts w:ascii="Times New Roman" w:hAnsi="Times New Roman" w:eastAsia="仿宋" w:cs="Times New Roman"/>
          <w:sz w:val="32"/>
          <w:szCs w:val="32"/>
        </w:rPr>
        <w:t>收入说明</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反映本部门当年全部收入。2021年预算收入324.75万元，其中：一般公共预算收入324.75万元，基金预算收入0万元，财政专户核拨收入0万元，其他来源收入0万元。</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2、</w:t>
      </w:r>
      <w:r>
        <w:rPr>
          <w:rFonts w:ascii="Times New Roman" w:hAnsi="Times New Roman" w:eastAsia="仿宋" w:cs="Times New Roman"/>
          <w:sz w:val="32"/>
          <w:szCs w:val="32"/>
        </w:rPr>
        <w:t>支出说明</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收支预算总表支出栏、基本支出表、项目支出表按经济分类和支出功能分类科目编制，反映隆尧县人大年度部门预算中支出预算的总体情况。2021年部门支出预算为324.75万元，其中基本支出250.23万元，包括人员经费和日常公用经费；项目支出74.52万元，主要为人大会议支出21.51万元，人大监督支出28.98万元，行政运行24.02万元。</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3、</w:t>
      </w:r>
      <w:r>
        <w:rPr>
          <w:rFonts w:ascii="Times New Roman" w:hAnsi="Times New Roman" w:eastAsia="仿宋" w:cs="Times New Roman"/>
          <w:sz w:val="32"/>
          <w:szCs w:val="32"/>
        </w:rPr>
        <w:t>比上年增减情况</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2021年部门预算收支安排324.75万元，较2020年</w:t>
      </w:r>
      <w:r>
        <w:rPr>
          <w:rFonts w:hint="eastAsia" w:ascii="Times New Roman" w:hAnsi="Times New Roman" w:eastAsia="仿宋" w:cs="Times New Roman"/>
          <w:sz w:val="32"/>
          <w:szCs w:val="32"/>
          <w:lang w:eastAsia="zh-CN"/>
        </w:rPr>
        <w:t>预算</w:t>
      </w:r>
      <w:r>
        <w:rPr>
          <w:rFonts w:hint="eastAsia" w:ascii="Times New Roman" w:hAnsi="Times New Roman" w:eastAsia="仿宋" w:cs="Times New Roman"/>
          <w:sz w:val="32"/>
          <w:szCs w:val="32"/>
        </w:rPr>
        <w:t>减少0.15万元，其中：基本支出增长2.23万元，主要是人员变动增加人员经费；项目支出减少2.38万元，主要是压缩经费开支。</w:t>
      </w:r>
    </w:p>
    <w:p>
      <w:pPr>
        <w:autoSpaceDE w:val="0"/>
        <w:autoSpaceDN w:val="0"/>
        <w:adjustRightInd w:val="0"/>
        <w:ind w:firstLine="960" w:firstLineChars="300"/>
        <w:jc w:val="left"/>
        <w:rPr>
          <w:rFonts w:ascii="黑体" w:hAnsi="黑体" w:eastAsia="黑体" w:cs="Times New Roman"/>
          <w:sz w:val="32"/>
          <w:szCs w:val="32"/>
        </w:rPr>
      </w:pPr>
      <w:r>
        <w:rPr>
          <w:rFonts w:hint="eastAsia" w:ascii="黑体" w:hAnsi="黑体" w:eastAsia="黑体" w:cs="Times New Roman"/>
          <w:sz w:val="32"/>
          <w:szCs w:val="32"/>
        </w:rPr>
        <w:t>三、机关运行经费安排情况</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2021年，我部门机关运行经费共计安排30.10万元，主要用于保证机关正常运转的办公费、工会经费、福利费、党员组织活动经费、公务交通补贴等支出。</w:t>
      </w:r>
    </w:p>
    <w:p>
      <w:pPr>
        <w:autoSpaceDE w:val="0"/>
        <w:autoSpaceDN w:val="0"/>
        <w:adjustRightInd w:val="0"/>
        <w:ind w:left="198" w:firstLine="640" w:firstLineChars="200"/>
        <w:jc w:val="left"/>
        <w:rPr>
          <w:rFonts w:ascii="黑体" w:hAnsi="黑体" w:eastAsia="黑体" w:cs="Times New Roman"/>
          <w:sz w:val="32"/>
          <w:szCs w:val="32"/>
        </w:rPr>
      </w:pPr>
      <w:r>
        <w:rPr>
          <w:rFonts w:hint="eastAsia" w:ascii="黑体" w:hAnsi="黑体" w:eastAsia="黑体" w:cs="Times New Roman"/>
          <w:sz w:val="32"/>
          <w:szCs w:val="32"/>
        </w:rPr>
        <w:t>四、财政拨款</w:t>
      </w:r>
      <w:r>
        <w:rPr>
          <w:rFonts w:ascii="黑体" w:hAnsi="黑体" w:eastAsia="黑体" w:cs="Times New Roman"/>
          <w:sz w:val="32"/>
          <w:szCs w:val="32"/>
        </w:rPr>
        <w:t>“</w:t>
      </w:r>
      <w:r>
        <w:rPr>
          <w:rFonts w:hint="eastAsia" w:ascii="黑体" w:hAnsi="黑体" w:eastAsia="黑体" w:cs="Times New Roman"/>
          <w:sz w:val="32"/>
          <w:szCs w:val="32"/>
        </w:rPr>
        <w:t>三公</w:t>
      </w:r>
      <w:r>
        <w:rPr>
          <w:rFonts w:ascii="黑体" w:hAnsi="黑体" w:eastAsia="黑体" w:cs="Times New Roman"/>
          <w:sz w:val="32"/>
          <w:szCs w:val="32"/>
        </w:rPr>
        <w:t>”</w:t>
      </w:r>
      <w:r>
        <w:rPr>
          <w:rFonts w:hint="eastAsia" w:ascii="黑体" w:hAnsi="黑体" w:eastAsia="黑体" w:cs="Times New Roman"/>
          <w:sz w:val="32"/>
          <w:szCs w:val="32"/>
        </w:rPr>
        <w:t>经费预算情况及增减变化原因</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2021年，我部门财政拨款“三公”经费预算安排共0.5万元，其中：因公出国（境）费0万元，比2020年无变化，原因是没有安排因公出国费用；公务用车购置及运维费0万元（其中：公务用车购置费0万元，公务用车运行维护费0万元)，比2020年无变化，原因是没有安排公务用车购置及运维费用；公务接待费0.5万元，比</w:t>
      </w:r>
      <w:r>
        <w:rPr>
          <w:rFonts w:hint="eastAsia" w:ascii="仿宋_GB2312" w:hAnsi="仿宋_GB2312" w:eastAsia="仿宋_GB2312"/>
          <w:sz w:val="32"/>
        </w:rPr>
        <w:t>2020年减少1.5万元，减少主要原因是减少不必要的接待</w:t>
      </w:r>
      <w:r>
        <w:rPr>
          <w:rFonts w:hint="eastAsia" w:ascii="Times New Roman" w:hAnsi="Times New Roman" w:eastAsia="仿宋" w:cs="Times New Roman"/>
          <w:sz w:val="32"/>
          <w:szCs w:val="32"/>
        </w:rPr>
        <w:t>。“三公”经费</w:t>
      </w:r>
      <w:r>
        <w:rPr>
          <w:rFonts w:hint="eastAsia" w:ascii="仿宋_GB2312" w:hAnsi="仿宋_GB2312" w:eastAsia="仿宋_GB2312"/>
          <w:sz w:val="32"/>
        </w:rPr>
        <w:t>比2020年减少1.5万元,减少主要原因是遵循相关规定，</w:t>
      </w:r>
      <w:r>
        <w:rPr>
          <w:rFonts w:hint="eastAsia" w:ascii="仿宋" w:hAnsi="仿宋" w:eastAsia="仿宋"/>
          <w:sz w:val="32"/>
          <w:szCs w:val="32"/>
        </w:rPr>
        <w:t>提倡厉行勤俭节约，</w:t>
      </w:r>
      <w:r>
        <w:rPr>
          <w:rFonts w:hint="eastAsia" w:ascii="仿宋_GB2312" w:hAnsi="仿宋_GB2312" w:eastAsia="仿宋_GB2312"/>
          <w:sz w:val="32"/>
        </w:rPr>
        <w:t>减少不必要的接待</w:t>
      </w:r>
      <w:r>
        <w:rPr>
          <w:rFonts w:hint="eastAsia" w:ascii="Times New Roman" w:hAnsi="Times New Roman" w:eastAsia="仿宋" w:cs="Times New Roman"/>
          <w:sz w:val="32"/>
          <w:szCs w:val="32"/>
        </w:rPr>
        <w:t>。</w:t>
      </w:r>
    </w:p>
    <w:p>
      <w:pPr>
        <w:autoSpaceDE w:val="0"/>
        <w:autoSpaceDN w:val="0"/>
        <w:adjustRightInd w:val="0"/>
        <w:ind w:left="198" w:firstLine="640" w:firstLineChars="200"/>
        <w:jc w:val="left"/>
        <w:rPr>
          <w:rFonts w:ascii="黑体" w:hAnsi="黑体" w:eastAsia="黑体" w:cs="Times New Roman"/>
          <w:sz w:val="32"/>
          <w:szCs w:val="32"/>
        </w:rPr>
      </w:pPr>
      <w:r>
        <w:rPr>
          <w:rFonts w:hint="eastAsia" w:ascii="黑体" w:hAnsi="黑体" w:eastAsia="黑体" w:cs="Times New Roman"/>
          <w:sz w:val="32"/>
          <w:szCs w:val="32"/>
        </w:rPr>
        <w:t>五、预算绩效信息</w:t>
      </w:r>
    </w:p>
    <w:p>
      <w:pPr>
        <w:autoSpaceDE w:val="0"/>
        <w:autoSpaceDN w:val="0"/>
        <w:adjustRightInd w:val="0"/>
        <w:ind w:left="198" w:firstLine="643" w:firstLineChars="200"/>
        <w:jc w:val="left"/>
        <w:rPr>
          <w:rFonts w:ascii="Times New Roman" w:hAnsi="Times New Roman" w:eastAsia="仿宋" w:cs="Times New Roman"/>
          <w:b/>
          <w:sz w:val="32"/>
          <w:szCs w:val="32"/>
        </w:rPr>
      </w:pPr>
      <w:bookmarkStart w:id="0" w:name="_Toc471398463"/>
      <w:r>
        <w:rPr>
          <w:rFonts w:hint="eastAsia" w:ascii="Times New Roman" w:hAnsi="Times New Roman" w:eastAsia="仿宋" w:cs="Times New Roman"/>
          <w:b/>
          <w:sz w:val="32"/>
          <w:szCs w:val="32"/>
        </w:rPr>
        <w:t>部门整体绩效目标</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根据隆尧县第十五届人民代表大会第五次会议通过的工作报告，深入贯彻依法治国方略，全面履行法定职责，努力推进幸福隆尧建设进程。</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1、加强对权力运行的制约监督，推动县委重大决策部署的贯彻落实。围绕重大问题和人民群众关注的热点难点问题，听取审议专项工作报告，开展执法检查、视察调研。</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3、做好会议的服务保障工作，确保会议顺利进行，达到预期目标。</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4、发挥好常委会组成人员、专门委员会委员和代表的履职积极性。密切对代表的联系，组织专门委员会成员、代表列席常委会会议，坚持向代表通报常委会会议情况。</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5、改进文风会风，提高常委会议事质量。常委会会议议题要在听取群众意见的基础上依法确定，加强会前的视察调研，严格落实议事规则，完善审议程序，切实提出有针对性的意见建议。</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6、全面推进机关思想建设、组织建设、作风建设、制度建设和廉政建设，提高机关管理的科学化水平。</w:t>
      </w:r>
    </w:p>
    <w:p>
      <w:pPr>
        <w:autoSpaceDE w:val="0"/>
        <w:autoSpaceDN w:val="0"/>
        <w:adjustRightInd w:val="0"/>
        <w:ind w:left="198" w:firstLine="643" w:firstLineChars="200"/>
        <w:jc w:val="left"/>
        <w:rPr>
          <w:rFonts w:ascii="Times New Roman" w:hAnsi="Times New Roman" w:eastAsia="仿宋" w:cs="Times New Roman"/>
          <w:b/>
          <w:sz w:val="32"/>
          <w:szCs w:val="32"/>
        </w:rPr>
      </w:pPr>
      <w:r>
        <w:rPr>
          <w:rFonts w:hint="eastAsia" w:ascii="Times New Roman" w:hAnsi="Times New Roman" w:eastAsia="仿宋" w:cs="Times New Roman"/>
          <w:b/>
          <w:sz w:val="32"/>
          <w:szCs w:val="32"/>
        </w:rPr>
        <w:t>职责分类绩效目标：</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1、监督方面。听取计划预算执行情况报告、决算报告和审计工作报告，审查批准决算，推动县人代会计划预算决议的落实。听取县政府专项工作报告。对社会普遍关心的问题组织开展专题询问。组织开展代表旁听评议人民法院庭审活动，督促司法机关完善内部监督制约机制，促进司法公正。提高法规质量，保障其有效实施；发挥常委及代表的桥梁纽带作用，集中反映民意，促进依法履职。</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2、人大会议方面。确保会议按照议程顺利进行，达到预期目的，圆满完成各项任务。完善各项会议制度，规范会议程序，提高会议质量，提高人大代表及常委会审议水平。</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3、人事任免方面。严格遵循法律法规规定，严格规范工作程序，做好人事任免工作。确保县人大和乡人大换届选举工作顺利完成，提高组织换届选举工作水平；高质量完成国家机关领导人选举和常委会人事任免服务工作；高效督办有关部门负责人的目标责任书和述职报告</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5、人大事务管理方面。保障新闻宣传与新闻发布工作正常开展，提高人大信息透明度和影响力，加强人大对内、对外交流。保障会议表决系统正常运转，网络与办公平台正常运行，促进社会和谐稳定。机关基础设施设备正常运转，信息化保障、老干部服务保障能力进一步提高。</w:t>
      </w:r>
    </w:p>
    <w:p>
      <w:pPr>
        <w:autoSpaceDE w:val="0"/>
        <w:autoSpaceDN w:val="0"/>
        <w:adjustRightInd w:val="0"/>
        <w:ind w:left="198" w:firstLine="640" w:firstLineChars="200"/>
        <w:jc w:val="left"/>
        <w:rPr>
          <w:rFonts w:ascii="Times New Roman" w:hAnsi="Times New Roman" w:eastAsia="仿宋" w:cs="Times New Roman"/>
          <w:sz w:val="32"/>
          <w:szCs w:val="32"/>
        </w:rPr>
        <w:sectPr>
          <w:footerReference r:id="rId4" w:type="default"/>
          <w:pgSz w:w="11907" w:h="16839" w:orient="landscape"/>
          <w:pgMar w:top="1984" w:right="1304" w:bottom="1134" w:left="1304" w:header="851" w:footer="992" w:gutter="0"/>
          <w:cols w:space="720" w:num="1"/>
          <w:docGrid w:type="lines" w:linePitch="312" w:charSpace="0"/>
        </w:sectPr>
      </w:pPr>
    </w:p>
    <w:p>
      <w:pPr>
        <w:autoSpaceDE w:val="0"/>
        <w:autoSpaceDN w:val="0"/>
        <w:adjustRightInd w:val="0"/>
        <w:ind w:left="198" w:firstLine="643" w:firstLineChars="200"/>
        <w:jc w:val="left"/>
        <w:rPr>
          <w:rFonts w:ascii="Times New Roman" w:hAnsi="Times New Roman" w:eastAsia="仿宋" w:cs="Times New Roman"/>
          <w:b/>
          <w:sz w:val="32"/>
          <w:szCs w:val="32"/>
        </w:rPr>
      </w:pPr>
      <w:r>
        <w:rPr>
          <w:rFonts w:hint="eastAsia" w:ascii="Times New Roman" w:hAnsi="Times New Roman" w:eastAsia="仿宋" w:cs="Times New Roman"/>
          <w:b/>
          <w:sz w:val="32"/>
          <w:szCs w:val="32"/>
        </w:rPr>
        <w:t>部门职责及工作活动绩效目标指标：</w:t>
      </w:r>
    </w:p>
    <w:p>
      <w:pPr>
        <w:jc w:val="center"/>
        <w:outlineLvl w:val="0"/>
        <w:rPr>
          <w:rFonts w:ascii="方正小标宋_GBK" w:hAnsi="Times New Roman" w:eastAsia="方正小标宋_GBK" w:cs="Times New Roman"/>
          <w:sz w:val="32"/>
          <w:szCs w:val="24"/>
        </w:rPr>
      </w:pPr>
    </w:p>
    <w:p>
      <w:pPr>
        <w:jc w:val="center"/>
        <w:outlineLvl w:val="0"/>
        <w:rPr>
          <w:rFonts w:ascii="方正小标宋_GBK" w:eastAsia="方正小标宋_GBK"/>
          <w:sz w:val="32"/>
        </w:rPr>
      </w:pPr>
    </w:p>
    <w:p>
      <w:pPr>
        <w:jc w:val="center"/>
        <w:outlineLvl w:val="0"/>
        <w:rPr>
          <w:rFonts w:ascii="方正小标宋_GBK" w:eastAsia="方正小标宋_GBK"/>
          <w:sz w:val="32"/>
        </w:rPr>
      </w:pPr>
      <w:r>
        <w:rPr>
          <w:rFonts w:hint="eastAsia" w:ascii="方正小标宋_GBK" w:eastAsia="方正小标宋_GBK"/>
          <w:sz w:val="32"/>
        </w:rPr>
        <w:t>部门职责-工作活动绩效目标</w:t>
      </w:r>
      <w:r>
        <w:rPr>
          <w:rStyle w:val="9"/>
          <w:rFonts w:ascii="方正小标宋_GBK" w:eastAsia="方正小标宋_GBK"/>
          <w:sz w:val="32"/>
        </w:rPr>
        <w:footnoteReference w:id="0" w:customMarkFollows="1"/>
        <w:sym w:font="Symbol" w:char="F020"/>
      </w:r>
    </w:p>
    <w:tbl>
      <w:tblPr>
        <w:tblStyle w:val="7"/>
        <w:tblW w:w="1393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341"/>
        <w:gridCol w:w="1276"/>
        <w:gridCol w:w="2976"/>
        <w:gridCol w:w="2976"/>
        <w:gridCol w:w="1417"/>
        <w:gridCol w:w="737"/>
        <w:gridCol w:w="737"/>
        <w:gridCol w:w="737"/>
        <w:gridCol w:w="73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jc w:val="center"/>
        </w:trPr>
        <w:tc>
          <w:tcPr>
            <w:tcW w:w="10986" w:type="dxa"/>
            <w:gridSpan w:val="5"/>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小标宋_GBK" w:eastAsia="方正小标宋_GBK"/>
                <w:sz w:val="24"/>
              </w:rPr>
            </w:pPr>
            <w:r>
              <w:rPr>
                <w:rFonts w:ascii="方正小标宋_GBK" w:eastAsia="方正小标宋_GBK"/>
                <w:sz w:val="24"/>
              </w:rPr>
              <w:t>101</w:t>
            </w:r>
            <w:r>
              <w:rPr>
                <w:rFonts w:hint="eastAsia" w:ascii="方正小标宋_GBK" w:eastAsia="方正小标宋_GBK"/>
                <w:sz w:val="24"/>
              </w:rPr>
              <w:t>隆尧县人大</w:t>
            </w:r>
          </w:p>
        </w:tc>
        <w:tc>
          <w:tcPr>
            <w:tcW w:w="2948" w:type="dxa"/>
            <w:gridSpan w:val="4"/>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sz w:val="24"/>
              </w:rPr>
            </w:pPr>
            <w:r>
              <w:rPr>
                <w:rFonts w:hint="eastAsia" w:ascii="方正书宋_GBK" w:eastAsia="方正书宋_GBK"/>
                <w:sz w:val="24"/>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jc w:val="center"/>
        </w:trPr>
        <w:tc>
          <w:tcPr>
            <w:tcW w:w="2341"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职责活动</w:t>
            </w:r>
          </w:p>
        </w:tc>
        <w:tc>
          <w:tcPr>
            <w:tcW w:w="1276"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年度预算数</w:t>
            </w:r>
          </w:p>
        </w:tc>
        <w:tc>
          <w:tcPr>
            <w:tcW w:w="2976"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内容描述</w:t>
            </w:r>
          </w:p>
        </w:tc>
        <w:tc>
          <w:tcPr>
            <w:tcW w:w="2976"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417"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w:t>
            </w:r>
          </w:p>
        </w:tc>
        <w:tc>
          <w:tcPr>
            <w:tcW w:w="2948" w:type="dxa"/>
            <w:gridSpan w:val="4"/>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评价标准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jc w:val="center"/>
        </w:trPr>
        <w:tc>
          <w:tcPr>
            <w:tcW w:w="2341" w:type="dxa"/>
            <w:vMerge w:val="continue"/>
            <w:shd w:val="clear" w:color="auto" w:fill="auto"/>
            <w:vAlign w:val="center"/>
          </w:tcPr>
          <w:p>
            <w:pPr>
              <w:spacing w:line="300" w:lineRule="exact"/>
              <w:jc w:val="left"/>
              <w:outlineLvl w:val="0"/>
            </w:pPr>
          </w:p>
        </w:tc>
        <w:tc>
          <w:tcPr>
            <w:tcW w:w="1276" w:type="dxa"/>
            <w:vMerge w:val="continue"/>
            <w:shd w:val="clear" w:color="auto" w:fill="auto"/>
            <w:vAlign w:val="center"/>
          </w:tcPr>
          <w:p>
            <w:pPr>
              <w:spacing w:line="300" w:lineRule="exact"/>
              <w:jc w:val="left"/>
              <w:outlineLvl w:val="0"/>
            </w:pPr>
          </w:p>
        </w:tc>
        <w:tc>
          <w:tcPr>
            <w:tcW w:w="2976" w:type="dxa"/>
            <w:vMerge w:val="continue"/>
            <w:shd w:val="clear" w:color="auto" w:fill="auto"/>
            <w:vAlign w:val="center"/>
          </w:tcPr>
          <w:p>
            <w:pPr>
              <w:spacing w:line="300" w:lineRule="exact"/>
              <w:jc w:val="left"/>
              <w:outlineLvl w:val="0"/>
            </w:pPr>
          </w:p>
        </w:tc>
        <w:tc>
          <w:tcPr>
            <w:tcW w:w="2976" w:type="dxa"/>
            <w:vMerge w:val="continue"/>
            <w:shd w:val="clear" w:color="auto" w:fill="auto"/>
            <w:vAlign w:val="center"/>
          </w:tcPr>
          <w:p>
            <w:pPr>
              <w:spacing w:line="300" w:lineRule="exact"/>
              <w:jc w:val="left"/>
              <w:outlineLvl w:val="0"/>
            </w:pPr>
          </w:p>
        </w:tc>
        <w:tc>
          <w:tcPr>
            <w:tcW w:w="1417" w:type="dxa"/>
            <w:vMerge w:val="continue"/>
            <w:shd w:val="clear" w:color="auto" w:fill="auto"/>
            <w:vAlign w:val="center"/>
          </w:tcPr>
          <w:p>
            <w:pPr>
              <w:spacing w:line="300" w:lineRule="exact"/>
              <w:jc w:val="left"/>
              <w:outlineLvl w:val="0"/>
            </w:pPr>
          </w:p>
        </w:tc>
        <w:tc>
          <w:tcPr>
            <w:tcW w:w="73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优</w:t>
            </w:r>
          </w:p>
        </w:tc>
        <w:tc>
          <w:tcPr>
            <w:tcW w:w="73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良</w:t>
            </w:r>
          </w:p>
        </w:tc>
        <w:tc>
          <w:tcPr>
            <w:tcW w:w="73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中</w:t>
            </w:r>
          </w:p>
        </w:tc>
        <w:tc>
          <w:tcPr>
            <w:tcW w:w="73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一、人大监督</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289850</w:t>
            </w:r>
            <w:r>
              <w:rPr>
                <w:rFonts w:ascii="方正书宋_GBK" w:eastAsia="方正书宋_GBK"/>
              </w:rPr>
              <w:t>.00</w:t>
            </w: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进行执法调研和执法检查；围绕政府工作报告和</w:t>
            </w:r>
            <w:r>
              <w:rPr>
                <w:rFonts w:hint="cs" w:ascii="方正书宋_GBK" w:eastAsia="方正书宋_GBK"/>
              </w:rPr>
              <w:t>“</w:t>
            </w:r>
            <w:r>
              <w:rPr>
                <w:rFonts w:hint="eastAsia" w:ascii="方正书宋_GBK" w:eastAsia="方正书宋_GBK"/>
              </w:rPr>
              <w:t>一府两院</w:t>
            </w:r>
            <w:r>
              <w:rPr>
                <w:rFonts w:hint="cs" w:ascii="方正书宋_GBK" w:eastAsia="方正书宋_GBK"/>
              </w:rPr>
              <w:t>”</w:t>
            </w:r>
            <w:r>
              <w:rPr>
                <w:rFonts w:hint="eastAsia" w:ascii="方正书宋_GBK" w:eastAsia="方正书宋_GBK"/>
              </w:rPr>
              <w:t>专项工作报告涉及内容开展调查研究，开展专题询问和工作评议；对</w:t>
            </w:r>
            <w:r>
              <w:rPr>
                <w:rFonts w:hint="cs" w:ascii="方正书宋_GBK" w:eastAsia="方正书宋_GBK"/>
              </w:rPr>
              <w:t>“</w:t>
            </w:r>
            <w:r>
              <w:rPr>
                <w:rFonts w:hint="eastAsia" w:ascii="方正书宋_GBK" w:eastAsia="方正书宋_GBK"/>
              </w:rPr>
              <w:t>一府两院</w:t>
            </w:r>
            <w:r>
              <w:rPr>
                <w:rFonts w:hint="cs" w:ascii="方正书宋_GBK" w:eastAsia="方正书宋_GBK"/>
              </w:rPr>
              <w:t>”</w:t>
            </w:r>
            <w:r>
              <w:rPr>
                <w:rFonts w:hint="eastAsia" w:ascii="方正书宋_GBK" w:eastAsia="方正书宋_GBK"/>
              </w:rPr>
              <w:t>进行监督。</w:t>
            </w: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促进各项法律法规、人大决议、报告等的落实；促进</w:t>
            </w:r>
            <w:r>
              <w:rPr>
                <w:rFonts w:hint="cs" w:ascii="方正书宋_GBK" w:eastAsia="方正书宋_GBK"/>
              </w:rPr>
              <w:t>“</w:t>
            </w:r>
            <w:r>
              <w:rPr>
                <w:rFonts w:hint="eastAsia" w:ascii="方正书宋_GBK" w:eastAsia="方正书宋_GBK"/>
              </w:rPr>
              <w:t>一府一委两院</w:t>
            </w:r>
            <w:r>
              <w:rPr>
                <w:rFonts w:hint="cs" w:ascii="方正书宋_GBK" w:eastAsia="方正书宋_GBK"/>
              </w:rPr>
              <w:t>”</w:t>
            </w:r>
            <w:r>
              <w:rPr>
                <w:rFonts w:hint="eastAsia" w:ascii="方正书宋_GBK" w:eastAsia="方正书宋_GBK"/>
              </w:rPr>
              <w:t>改进工作；提高规范性文件质量；促进社会和谐稳定。</w:t>
            </w: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监督完成率</w:t>
            </w:r>
          </w:p>
        </w:tc>
        <w:tc>
          <w:tcPr>
            <w:tcW w:w="737" w:type="dxa"/>
            <w:shd w:val="clear" w:color="auto" w:fill="auto"/>
            <w:vAlign w:val="center"/>
          </w:tcPr>
          <w:p>
            <w:pPr>
              <w:spacing w:line="300" w:lineRule="exact"/>
              <w:jc w:val="center"/>
              <w:rPr>
                <w:rFonts w:ascii="方正书宋_GBK" w:eastAsia="方正书宋_GBK"/>
              </w:rPr>
            </w:pPr>
            <w:r>
              <w:rPr>
                <w:rFonts w:hint="eastAsia" w:ascii="仿宋" w:hAnsi="仿宋" w:eastAsia="仿宋"/>
                <w:sz w:val="18"/>
                <w:szCs w:val="18"/>
              </w:rPr>
              <w:t>≥</w:t>
            </w:r>
            <w:r>
              <w:rPr>
                <w:rFonts w:ascii="仿宋" w:hAnsi="仿宋" w:eastAsia="仿宋"/>
                <w:sz w:val="18"/>
                <w:szCs w:val="18"/>
              </w:rPr>
              <w:t>90%</w:t>
            </w:r>
          </w:p>
        </w:tc>
        <w:tc>
          <w:tcPr>
            <w:tcW w:w="737" w:type="dxa"/>
            <w:shd w:val="clear" w:color="auto" w:fill="auto"/>
            <w:vAlign w:val="center"/>
          </w:tcPr>
          <w:p>
            <w:pPr>
              <w:spacing w:line="300" w:lineRule="exact"/>
              <w:jc w:val="center"/>
              <w:rPr>
                <w:rFonts w:ascii="方正书宋_GBK" w:eastAsia="方正书宋_GBK"/>
              </w:rPr>
            </w:pPr>
            <w:r>
              <w:rPr>
                <w:rFonts w:hint="eastAsia" w:ascii="仿宋" w:hAnsi="仿宋" w:eastAsia="仿宋"/>
                <w:sz w:val="18"/>
                <w:szCs w:val="18"/>
              </w:rPr>
              <w:t>≥</w:t>
            </w:r>
            <w:r>
              <w:rPr>
                <w:rFonts w:ascii="仿宋" w:hAnsi="仿宋" w:eastAsia="仿宋"/>
                <w:sz w:val="18"/>
                <w:szCs w:val="18"/>
              </w:rPr>
              <w:t>80%</w:t>
            </w:r>
          </w:p>
        </w:tc>
        <w:tc>
          <w:tcPr>
            <w:tcW w:w="737" w:type="dxa"/>
            <w:shd w:val="clear" w:color="auto" w:fill="auto"/>
            <w:vAlign w:val="center"/>
          </w:tcPr>
          <w:p>
            <w:pPr>
              <w:spacing w:line="300" w:lineRule="exact"/>
              <w:jc w:val="center"/>
              <w:rPr>
                <w:rFonts w:ascii="方正书宋_GBK" w:eastAsia="方正书宋_GBK"/>
              </w:rPr>
            </w:pPr>
            <w:r>
              <w:rPr>
                <w:rFonts w:hint="eastAsia" w:ascii="仿宋" w:hAnsi="仿宋" w:eastAsia="仿宋"/>
                <w:sz w:val="18"/>
                <w:szCs w:val="18"/>
              </w:rPr>
              <w:t>≥</w:t>
            </w:r>
            <w:r>
              <w:rPr>
                <w:rFonts w:ascii="仿宋" w:hAnsi="仿宋" w:eastAsia="仿宋"/>
                <w:sz w:val="18"/>
                <w:szCs w:val="18"/>
              </w:rPr>
              <w:t>70%</w:t>
            </w:r>
          </w:p>
        </w:tc>
        <w:tc>
          <w:tcPr>
            <w:tcW w:w="737" w:type="dxa"/>
            <w:shd w:val="clear" w:color="auto" w:fill="auto"/>
            <w:vAlign w:val="center"/>
          </w:tcPr>
          <w:p>
            <w:pPr>
              <w:spacing w:line="300" w:lineRule="exact"/>
              <w:jc w:val="center"/>
              <w:rPr>
                <w:rFonts w:ascii="方正书宋_GBK" w:eastAsia="方正书宋_GBK"/>
              </w:rPr>
            </w:pPr>
            <w:r>
              <w:rPr>
                <w:rFonts w:ascii="仿宋" w:hAnsi="仿宋" w:eastAsia="仿宋"/>
                <w:sz w:val="18"/>
                <w:szCs w:val="18"/>
              </w:rPr>
              <w:t>&lt;70%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　　</w:t>
            </w:r>
            <w:r>
              <w:rPr>
                <w:rFonts w:ascii="方正书宋_GBK" w:eastAsia="方正书宋_GBK"/>
                <w:b/>
              </w:rPr>
              <w:t>1</w:t>
            </w:r>
            <w:r>
              <w:rPr>
                <w:rFonts w:hint="eastAsia" w:ascii="方正书宋_GBK" w:eastAsia="方正书宋_GBK"/>
                <w:b/>
              </w:rPr>
              <w:t>、专门委员会、常委及代表活动</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289850</w:t>
            </w:r>
            <w:r>
              <w:rPr>
                <w:rFonts w:ascii="方正书宋_GBK" w:eastAsia="方正书宋_GBK"/>
              </w:rPr>
              <w:t>.00</w:t>
            </w: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组织专门委员会委员、各工作委员会及特聘专家进行对法律实施情况进行执法检查；组织县人大常委会及县人大代表进行执法检查和集中视察；开展代表建议督办；组织对常委及代表培训。</w:t>
            </w: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发挥常委及代表的作用，集中反映民意，促进依法履职。</w:t>
            </w: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依法履职履率</w:t>
            </w:r>
          </w:p>
        </w:tc>
        <w:tc>
          <w:tcPr>
            <w:tcW w:w="737" w:type="dxa"/>
            <w:shd w:val="clear" w:color="auto" w:fill="auto"/>
            <w:vAlign w:val="center"/>
          </w:tcPr>
          <w:p>
            <w:pPr>
              <w:spacing w:line="300" w:lineRule="exact"/>
              <w:jc w:val="center"/>
              <w:rPr>
                <w:rFonts w:ascii="方正书宋_GBK" w:eastAsia="方正书宋_GBK"/>
              </w:rPr>
            </w:pPr>
            <w:r>
              <w:rPr>
                <w:rFonts w:hint="eastAsia" w:ascii="仿宋" w:hAnsi="仿宋" w:eastAsia="仿宋"/>
                <w:sz w:val="18"/>
                <w:szCs w:val="18"/>
              </w:rPr>
              <w:t>≥</w:t>
            </w:r>
            <w:r>
              <w:rPr>
                <w:rFonts w:ascii="仿宋" w:hAnsi="仿宋" w:eastAsia="仿宋"/>
                <w:sz w:val="18"/>
                <w:szCs w:val="18"/>
              </w:rPr>
              <w:t>90%</w:t>
            </w:r>
          </w:p>
        </w:tc>
        <w:tc>
          <w:tcPr>
            <w:tcW w:w="737" w:type="dxa"/>
            <w:shd w:val="clear" w:color="auto" w:fill="auto"/>
            <w:vAlign w:val="center"/>
          </w:tcPr>
          <w:p>
            <w:pPr>
              <w:spacing w:line="300" w:lineRule="exact"/>
              <w:jc w:val="center"/>
              <w:rPr>
                <w:rFonts w:ascii="方正书宋_GBK" w:eastAsia="方正书宋_GBK"/>
              </w:rPr>
            </w:pPr>
            <w:r>
              <w:rPr>
                <w:rFonts w:hint="eastAsia" w:ascii="仿宋" w:hAnsi="仿宋" w:eastAsia="仿宋"/>
                <w:sz w:val="18"/>
                <w:szCs w:val="18"/>
              </w:rPr>
              <w:t>≥</w:t>
            </w:r>
            <w:r>
              <w:rPr>
                <w:rFonts w:ascii="仿宋" w:hAnsi="仿宋" w:eastAsia="仿宋"/>
                <w:sz w:val="18"/>
                <w:szCs w:val="18"/>
              </w:rPr>
              <w:t>80%</w:t>
            </w:r>
          </w:p>
        </w:tc>
        <w:tc>
          <w:tcPr>
            <w:tcW w:w="737" w:type="dxa"/>
            <w:shd w:val="clear" w:color="auto" w:fill="auto"/>
            <w:vAlign w:val="center"/>
          </w:tcPr>
          <w:p>
            <w:pPr>
              <w:spacing w:line="300" w:lineRule="exact"/>
              <w:jc w:val="center"/>
              <w:rPr>
                <w:rFonts w:ascii="方正书宋_GBK" w:eastAsia="方正书宋_GBK"/>
              </w:rPr>
            </w:pPr>
            <w:r>
              <w:rPr>
                <w:rFonts w:hint="eastAsia" w:ascii="仿宋" w:hAnsi="仿宋" w:eastAsia="仿宋"/>
                <w:sz w:val="18"/>
                <w:szCs w:val="18"/>
              </w:rPr>
              <w:t>≥</w:t>
            </w:r>
            <w:r>
              <w:rPr>
                <w:rFonts w:ascii="仿宋" w:hAnsi="仿宋" w:eastAsia="仿宋"/>
                <w:sz w:val="18"/>
                <w:szCs w:val="18"/>
              </w:rPr>
              <w:t>70%</w:t>
            </w:r>
          </w:p>
        </w:tc>
        <w:tc>
          <w:tcPr>
            <w:tcW w:w="737" w:type="dxa"/>
            <w:shd w:val="clear" w:color="auto" w:fill="auto"/>
            <w:vAlign w:val="center"/>
          </w:tcPr>
          <w:p>
            <w:pPr>
              <w:spacing w:line="300" w:lineRule="exact"/>
              <w:jc w:val="center"/>
              <w:rPr>
                <w:rFonts w:ascii="方正书宋_GBK" w:eastAsia="方正书宋_GBK"/>
              </w:rPr>
            </w:pPr>
            <w:r>
              <w:rPr>
                <w:rFonts w:ascii="仿宋" w:hAnsi="仿宋" w:eastAsia="仿宋"/>
                <w:sz w:val="18"/>
                <w:szCs w:val="18"/>
              </w:rPr>
              <w:t>&lt;70%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二、人大会议</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215093.00</w:t>
            </w: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县人民代表大会和常务委员会各种会议的筹备、会务工作，负责常委会文件起草、审核把关，常委会会议、主任会议及常委会党组会议决定事项、工作部署、重要文件及领导批示的传达和督办。</w:t>
            </w: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完善各项会议制度，规范会议程序，提高会议质量，提高人大代表及常委会审议水平。</w:t>
            </w: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会议筹备及会务工作的完成率</w:t>
            </w:r>
          </w:p>
        </w:tc>
        <w:tc>
          <w:tcPr>
            <w:tcW w:w="737" w:type="dxa"/>
            <w:shd w:val="clear" w:color="auto" w:fill="auto"/>
            <w:vAlign w:val="center"/>
          </w:tcPr>
          <w:p>
            <w:pPr>
              <w:spacing w:line="300" w:lineRule="exact"/>
              <w:jc w:val="center"/>
              <w:rPr>
                <w:rFonts w:ascii="方正书宋_GBK" w:eastAsia="方正书宋_GBK"/>
              </w:rPr>
            </w:pPr>
            <w:r>
              <w:rPr>
                <w:rFonts w:hint="eastAsia" w:ascii="仿宋" w:hAnsi="仿宋" w:eastAsia="仿宋"/>
                <w:sz w:val="18"/>
                <w:szCs w:val="18"/>
              </w:rPr>
              <w:t>≥</w:t>
            </w:r>
            <w:r>
              <w:rPr>
                <w:rFonts w:ascii="仿宋" w:hAnsi="仿宋" w:eastAsia="仿宋"/>
                <w:sz w:val="18"/>
                <w:szCs w:val="18"/>
              </w:rPr>
              <w:t>100%</w:t>
            </w:r>
          </w:p>
        </w:tc>
        <w:tc>
          <w:tcPr>
            <w:tcW w:w="737" w:type="dxa"/>
            <w:shd w:val="clear" w:color="auto" w:fill="auto"/>
            <w:vAlign w:val="center"/>
          </w:tcPr>
          <w:p>
            <w:pPr>
              <w:spacing w:line="300" w:lineRule="exact"/>
              <w:jc w:val="center"/>
              <w:rPr>
                <w:rFonts w:ascii="方正书宋_GBK" w:eastAsia="方正书宋_GBK"/>
              </w:rPr>
            </w:pPr>
            <w:r>
              <w:rPr>
                <w:rFonts w:hint="eastAsia" w:ascii="仿宋" w:hAnsi="仿宋" w:eastAsia="仿宋"/>
                <w:sz w:val="18"/>
                <w:szCs w:val="18"/>
              </w:rPr>
              <w:t>≥</w:t>
            </w:r>
            <w:r>
              <w:rPr>
                <w:rFonts w:ascii="仿宋" w:hAnsi="仿宋" w:eastAsia="仿宋"/>
                <w:sz w:val="18"/>
                <w:szCs w:val="18"/>
              </w:rPr>
              <w:t>95%</w:t>
            </w:r>
          </w:p>
        </w:tc>
        <w:tc>
          <w:tcPr>
            <w:tcW w:w="737" w:type="dxa"/>
            <w:shd w:val="clear" w:color="auto" w:fill="auto"/>
            <w:vAlign w:val="center"/>
          </w:tcPr>
          <w:p>
            <w:pPr>
              <w:spacing w:line="300" w:lineRule="exact"/>
              <w:jc w:val="center"/>
              <w:rPr>
                <w:rFonts w:ascii="方正书宋_GBK" w:eastAsia="方正书宋_GBK"/>
              </w:rPr>
            </w:pPr>
            <w:r>
              <w:rPr>
                <w:rFonts w:hint="eastAsia" w:ascii="仿宋" w:hAnsi="仿宋" w:eastAsia="仿宋"/>
                <w:sz w:val="18"/>
                <w:szCs w:val="18"/>
              </w:rPr>
              <w:t>≥</w:t>
            </w:r>
            <w:r>
              <w:rPr>
                <w:rFonts w:ascii="仿宋" w:hAnsi="仿宋" w:eastAsia="仿宋"/>
                <w:sz w:val="18"/>
                <w:szCs w:val="18"/>
              </w:rPr>
              <w:t>90%</w:t>
            </w:r>
          </w:p>
        </w:tc>
        <w:tc>
          <w:tcPr>
            <w:tcW w:w="737" w:type="dxa"/>
            <w:shd w:val="clear" w:color="auto" w:fill="auto"/>
            <w:vAlign w:val="center"/>
          </w:tcPr>
          <w:p>
            <w:pPr>
              <w:spacing w:line="300" w:lineRule="exact"/>
              <w:jc w:val="center"/>
              <w:rPr>
                <w:rFonts w:ascii="方正书宋_GBK" w:eastAsia="方正书宋_GBK"/>
              </w:rPr>
            </w:pPr>
            <w:r>
              <w:rPr>
                <w:rFonts w:ascii="仿宋" w:hAnsi="仿宋" w:eastAsia="仿宋"/>
                <w:sz w:val="18"/>
                <w:szCs w:val="18"/>
              </w:rPr>
              <w:t>&lt;90%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　　</w:t>
            </w:r>
            <w:r>
              <w:rPr>
                <w:rFonts w:ascii="方正书宋_GBK" w:eastAsia="方正书宋_GBK"/>
                <w:b/>
              </w:rPr>
              <w:t>1</w:t>
            </w:r>
            <w:r>
              <w:rPr>
                <w:rFonts w:hint="eastAsia" w:ascii="方正书宋_GBK" w:eastAsia="方正书宋_GBK"/>
                <w:b/>
              </w:rPr>
              <w:t>、人大会议</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215093.00</w:t>
            </w: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承担县人民代表大会和常务委员会各种会议的筹备、会务工作，负责常委会文件起草、审核把关，常委会会议、主任会议及常委会党组会议决定事项、工作部署、重要文件及领导批示的传达和督办。</w:t>
            </w: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完善各项会议制度，规范会议程序，提高会议质量，提高人大代表及常委会审议水平。</w:t>
            </w: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会议筹备及会务工作的完成率</w:t>
            </w:r>
          </w:p>
        </w:tc>
        <w:tc>
          <w:tcPr>
            <w:tcW w:w="737" w:type="dxa"/>
            <w:shd w:val="clear" w:color="auto" w:fill="auto"/>
            <w:vAlign w:val="center"/>
          </w:tcPr>
          <w:p>
            <w:pPr>
              <w:spacing w:line="300" w:lineRule="exact"/>
              <w:jc w:val="center"/>
              <w:rPr>
                <w:rFonts w:ascii="方正书宋_GBK" w:eastAsia="方正书宋_GBK"/>
              </w:rPr>
            </w:pPr>
            <w:r>
              <w:rPr>
                <w:rFonts w:hint="eastAsia" w:ascii="仿宋" w:hAnsi="仿宋" w:eastAsia="仿宋"/>
                <w:sz w:val="18"/>
                <w:szCs w:val="18"/>
              </w:rPr>
              <w:t>≥</w:t>
            </w:r>
            <w:r>
              <w:rPr>
                <w:rFonts w:ascii="仿宋" w:hAnsi="仿宋" w:eastAsia="仿宋"/>
                <w:sz w:val="18"/>
                <w:szCs w:val="18"/>
              </w:rPr>
              <w:t>100%</w:t>
            </w:r>
          </w:p>
        </w:tc>
        <w:tc>
          <w:tcPr>
            <w:tcW w:w="737" w:type="dxa"/>
            <w:shd w:val="clear" w:color="auto" w:fill="auto"/>
            <w:vAlign w:val="center"/>
          </w:tcPr>
          <w:p>
            <w:pPr>
              <w:spacing w:line="300" w:lineRule="exact"/>
              <w:jc w:val="center"/>
              <w:rPr>
                <w:rFonts w:ascii="方正书宋_GBK" w:eastAsia="方正书宋_GBK"/>
              </w:rPr>
            </w:pPr>
            <w:r>
              <w:rPr>
                <w:rFonts w:hint="eastAsia" w:ascii="仿宋" w:hAnsi="仿宋" w:eastAsia="仿宋"/>
                <w:sz w:val="18"/>
                <w:szCs w:val="18"/>
              </w:rPr>
              <w:t>≥</w:t>
            </w:r>
            <w:r>
              <w:rPr>
                <w:rFonts w:ascii="仿宋" w:hAnsi="仿宋" w:eastAsia="仿宋"/>
                <w:sz w:val="18"/>
                <w:szCs w:val="18"/>
              </w:rPr>
              <w:t>95%</w:t>
            </w:r>
          </w:p>
        </w:tc>
        <w:tc>
          <w:tcPr>
            <w:tcW w:w="737" w:type="dxa"/>
            <w:shd w:val="clear" w:color="auto" w:fill="auto"/>
            <w:vAlign w:val="center"/>
          </w:tcPr>
          <w:p>
            <w:pPr>
              <w:spacing w:line="300" w:lineRule="exact"/>
              <w:jc w:val="center"/>
              <w:rPr>
                <w:rFonts w:ascii="方正书宋_GBK" w:eastAsia="方正书宋_GBK"/>
              </w:rPr>
            </w:pPr>
            <w:r>
              <w:rPr>
                <w:rFonts w:hint="eastAsia" w:ascii="仿宋" w:hAnsi="仿宋" w:eastAsia="仿宋"/>
                <w:sz w:val="18"/>
                <w:szCs w:val="18"/>
              </w:rPr>
              <w:t>≥</w:t>
            </w:r>
            <w:r>
              <w:rPr>
                <w:rFonts w:ascii="仿宋" w:hAnsi="仿宋" w:eastAsia="仿宋"/>
                <w:sz w:val="18"/>
                <w:szCs w:val="18"/>
              </w:rPr>
              <w:t>90%</w:t>
            </w:r>
          </w:p>
        </w:tc>
        <w:tc>
          <w:tcPr>
            <w:tcW w:w="737" w:type="dxa"/>
            <w:shd w:val="clear" w:color="auto" w:fill="auto"/>
            <w:vAlign w:val="center"/>
          </w:tcPr>
          <w:p>
            <w:pPr>
              <w:spacing w:line="300" w:lineRule="exact"/>
              <w:jc w:val="center"/>
              <w:rPr>
                <w:rFonts w:ascii="方正书宋_GBK" w:eastAsia="方正书宋_GBK"/>
              </w:rPr>
            </w:pPr>
            <w:r>
              <w:rPr>
                <w:rFonts w:ascii="仿宋" w:hAnsi="仿宋" w:eastAsia="仿宋"/>
                <w:sz w:val="18"/>
                <w:szCs w:val="18"/>
              </w:rPr>
              <w:t>&lt;90%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三、选举和任免</w:t>
            </w:r>
          </w:p>
        </w:tc>
        <w:tc>
          <w:tcPr>
            <w:tcW w:w="1276" w:type="dxa"/>
            <w:shd w:val="clear" w:color="auto" w:fill="auto"/>
            <w:vAlign w:val="center"/>
          </w:tcPr>
          <w:p>
            <w:pPr>
              <w:spacing w:line="300" w:lineRule="exact"/>
              <w:jc w:val="left"/>
              <w:rPr>
                <w:rFonts w:ascii="方正书宋_GBK" w:eastAsia="方正书宋_GBK"/>
              </w:rPr>
            </w:pP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检查监督代表法、选举法及其实施办法的贯彻实施；承担人大换届选举及人事任免服务工作；负责对县政府组成人员和县级人民法院、县人民检察院主要负责人的目标责任书、述职报告的督办工作。</w:t>
            </w: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确保换届选举工作顺利完成，实现省市和县委人事安排部署；提高组织换届选举工作水平。</w:t>
            </w: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选举和任免完成率</w:t>
            </w:r>
          </w:p>
        </w:tc>
        <w:tc>
          <w:tcPr>
            <w:tcW w:w="737" w:type="dxa"/>
            <w:shd w:val="clear" w:color="auto" w:fill="auto"/>
            <w:vAlign w:val="center"/>
          </w:tcPr>
          <w:p>
            <w:pPr>
              <w:spacing w:line="300" w:lineRule="exact"/>
              <w:jc w:val="center"/>
              <w:rPr>
                <w:rFonts w:ascii="方正书宋_GBK" w:eastAsia="方正书宋_GBK"/>
              </w:rPr>
            </w:pPr>
            <w:r>
              <w:rPr>
                <w:rFonts w:hint="eastAsia" w:ascii="仿宋" w:hAnsi="仿宋" w:eastAsia="仿宋"/>
                <w:sz w:val="18"/>
                <w:szCs w:val="18"/>
              </w:rPr>
              <w:t>≥</w:t>
            </w:r>
            <w:r>
              <w:rPr>
                <w:rFonts w:ascii="仿宋" w:hAnsi="仿宋" w:eastAsia="仿宋"/>
                <w:sz w:val="18"/>
                <w:szCs w:val="18"/>
              </w:rPr>
              <w:t>90%</w:t>
            </w:r>
          </w:p>
        </w:tc>
        <w:tc>
          <w:tcPr>
            <w:tcW w:w="737" w:type="dxa"/>
            <w:shd w:val="clear" w:color="auto" w:fill="auto"/>
            <w:vAlign w:val="center"/>
          </w:tcPr>
          <w:p>
            <w:pPr>
              <w:spacing w:line="300" w:lineRule="exact"/>
              <w:jc w:val="center"/>
              <w:rPr>
                <w:rFonts w:ascii="方正书宋_GBK" w:eastAsia="方正书宋_GBK"/>
              </w:rPr>
            </w:pPr>
            <w:r>
              <w:rPr>
                <w:rFonts w:hint="eastAsia" w:ascii="仿宋" w:hAnsi="仿宋" w:eastAsia="仿宋"/>
                <w:sz w:val="18"/>
                <w:szCs w:val="18"/>
              </w:rPr>
              <w:t>≥</w:t>
            </w:r>
            <w:r>
              <w:rPr>
                <w:rFonts w:ascii="仿宋" w:hAnsi="仿宋" w:eastAsia="仿宋"/>
                <w:sz w:val="18"/>
                <w:szCs w:val="18"/>
              </w:rPr>
              <w:t>80%</w:t>
            </w:r>
          </w:p>
        </w:tc>
        <w:tc>
          <w:tcPr>
            <w:tcW w:w="737" w:type="dxa"/>
            <w:shd w:val="clear" w:color="auto" w:fill="auto"/>
            <w:vAlign w:val="center"/>
          </w:tcPr>
          <w:p>
            <w:pPr>
              <w:spacing w:line="300" w:lineRule="exact"/>
              <w:jc w:val="center"/>
              <w:rPr>
                <w:rFonts w:ascii="方正书宋_GBK" w:eastAsia="方正书宋_GBK"/>
              </w:rPr>
            </w:pPr>
            <w:r>
              <w:rPr>
                <w:rFonts w:hint="eastAsia" w:ascii="仿宋" w:hAnsi="仿宋" w:eastAsia="仿宋"/>
                <w:sz w:val="18"/>
                <w:szCs w:val="18"/>
              </w:rPr>
              <w:t>≥</w:t>
            </w:r>
            <w:r>
              <w:rPr>
                <w:rFonts w:ascii="仿宋" w:hAnsi="仿宋" w:eastAsia="仿宋"/>
                <w:sz w:val="18"/>
                <w:szCs w:val="18"/>
              </w:rPr>
              <w:t>70%</w:t>
            </w:r>
          </w:p>
        </w:tc>
        <w:tc>
          <w:tcPr>
            <w:tcW w:w="737" w:type="dxa"/>
            <w:shd w:val="clear" w:color="auto" w:fill="auto"/>
            <w:vAlign w:val="center"/>
          </w:tcPr>
          <w:p>
            <w:pPr>
              <w:spacing w:line="300" w:lineRule="exact"/>
              <w:jc w:val="center"/>
              <w:rPr>
                <w:rFonts w:ascii="方正书宋_GBK" w:eastAsia="方正书宋_GBK"/>
              </w:rPr>
            </w:pPr>
            <w:r>
              <w:rPr>
                <w:rFonts w:ascii="仿宋" w:hAnsi="仿宋" w:eastAsia="仿宋"/>
                <w:sz w:val="18"/>
                <w:szCs w:val="18"/>
              </w:rPr>
              <w:t>&lt;70%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　　</w:t>
            </w:r>
            <w:r>
              <w:rPr>
                <w:rFonts w:ascii="方正书宋_GBK" w:eastAsia="方正书宋_GBK"/>
                <w:b/>
              </w:rPr>
              <w:t>1</w:t>
            </w:r>
            <w:r>
              <w:rPr>
                <w:rFonts w:hint="eastAsia" w:ascii="方正书宋_GBK" w:eastAsia="方正书宋_GBK"/>
                <w:b/>
              </w:rPr>
              <w:t>、换届选举及人事任免</w:t>
            </w:r>
          </w:p>
        </w:tc>
        <w:tc>
          <w:tcPr>
            <w:tcW w:w="1276" w:type="dxa"/>
            <w:shd w:val="clear" w:color="auto" w:fill="auto"/>
            <w:vAlign w:val="center"/>
          </w:tcPr>
          <w:p>
            <w:pPr>
              <w:spacing w:line="300" w:lineRule="exact"/>
              <w:jc w:val="left"/>
              <w:rPr>
                <w:rFonts w:ascii="方正书宋_GBK" w:eastAsia="方正书宋_GBK"/>
              </w:rPr>
            </w:pP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承担县人大换届选举、县级国家机关领导人的选举和常委会人事任免的服务工作；指导乡镇人大换届选举工作；负责对县政府组成人员和县级人民法院、县人民检察院主要负责人的目标责任书、述职报告的督办工作；对换届选举人员进行培训。</w:t>
            </w: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确保换届选举工作顺利完成，实现省市和县委人事安排部署；提高组织换届选举工作水平。</w:t>
            </w: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选举和任免完成率</w:t>
            </w:r>
          </w:p>
        </w:tc>
        <w:tc>
          <w:tcPr>
            <w:tcW w:w="737" w:type="dxa"/>
            <w:shd w:val="clear" w:color="auto" w:fill="auto"/>
            <w:vAlign w:val="center"/>
          </w:tcPr>
          <w:p>
            <w:pPr>
              <w:spacing w:line="300" w:lineRule="exact"/>
              <w:jc w:val="center"/>
              <w:rPr>
                <w:rFonts w:ascii="方正书宋_GBK" w:eastAsia="方正书宋_GBK"/>
              </w:rPr>
            </w:pPr>
            <w:r>
              <w:rPr>
                <w:rFonts w:hint="eastAsia" w:ascii="仿宋" w:hAnsi="仿宋" w:eastAsia="仿宋"/>
                <w:sz w:val="18"/>
                <w:szCs w:val="18"/>
              </w:rPr>
              <w:t>≥</w:t>
            </w:r>
            <w:r>
              <w:rPr>
                <w:rFonts w:ascii="仿宋" w:hAnsi="仿宋" w:eastAsia="仿宋"/>
                <w:sz w:val="18"/>
                <w:szCs w:val="18"/>
              </w:rPr>
              <w:t>90%</w:t>
            </w:r>
          </w:p>
        </w:tc>
        <w:tc>
          <w:tcPr>
            <w:tcW w:w="737" w:type="dxa"/>
            <w:shd w:val="clear" w:color="auto" w:fill="auto"/>
            <w:vAlign w:val="center"/>
          </w:tcPr>
          <w:p>
            <w:pPr>
              <w:spacing w:line="300" w:lineRule="exact"/>
              <w:jc w:val="center"/>
              <w:rPr>
                <w:rFonts w:ascii="方正书宋_GBK" w:eastAsia="方正书宋_GBK"/>
              </w:rPr>
            </w:pPr>
            <w:r>
              <w:rPr>
                <w:rFonts w:hint="eastAsia" w:ascii="仿宋" w:hAnsi="仿宋" w:eastAsia="仿宋"/>
                <w:sz w:val="18"/>
                <w:szCs w:val="18"/>
              </w:rPr>
              <w:t>≥</w:t>
            </w:r>
            <w:r>
              <w:rPr>
                <w:rFonts w:ascii="仿宋" w:hAnsi="仿宋" w:eastAsia="仿宋"/>
                <w:sz w:val="18"/>
                <w:szCs w:val="18"/>
              </w:rPr>
              <w:t>80%</w:t>
            </w:r>
          </w:p>
        </w:tc>
        <w:tc>
          <w:tcPr>
            <w:tcW w:w="737" w:type="dxa"/>
            <w:shd w:val="clear" w:color="auto" w:fill="auto"/>
            <w:vAlign w:val="center"/>
          </w:tcPr>
          <w:p>
            <w:pPr>
              <w:spacing w:line="300" w:lineRule="exact"/>
              <w:jc w:val="center"/>
              <w:rPr>
                <w:rFonts w:ascii="方正书宋_GBK" w:eastAsia="方正书宋_GBK"/>
              </w:rPr>
            </w:pPr>
            <w:r>
              <w:rPr>
                <w:rFonts w:hint="eastAsia" w:ascii="仿宋" w:hAnsi="仿宋" w:eastAsia="仿宋"/>
                <w:sz w:val="18"/>
                <w:szCs w:val="18"/>
              </w:rPr>
              <w:t>≥</w:t>
            </w:r>
            <w:r>
              <w:rPr>
                <w:rFonts w:ascii="仿宋" w:hAnsi="仿宋" w:eastAsia="仿宋"/>
                <w:sz w:val="18"/>
                <w:szCs w:val="18"/>
              </w:rPr>
              <w:t>70%</w:t>
            </w:r>
          </w:p>
        </w:tc>
        <w:tc>
          <w:tcPr>
            <w:tcW w:w="737" w:type="dxa"/>
            <w:shd w:val="clear" w:color="auto" w:fill="auto"/>
            <w:vAlign w:val="center"/>
          </w:tcPr>
          <w:p>
            <w:pPr>
              <w:spacing w:line="300" w:lineRule="exact"/>
              <w:jc w:val="center"/>
              <w:rPr>
                <w:rFonts w:ascii="方正书宋_GBK" w:eastAsia="方正书宋_GBK"/>
              </w:rPr>
            </w:pPr>
            <w:r>
              <w:rPr>
                <w:rFonts w:ascii="仿宋" w:hAnsi="仿宋" w:eastAsia="仿宋"/>
                <w:sz w:val="18"/>
                <w:szCs w:val="18"/>
              </w:rPr>
              <w:t>&lt;70%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四、人大事务管理</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214735</w:t>
            </w:r>
            <w:r>
              <w:rPr>
                <w:rFonts w:ascii="方正书宋_GBK" w:eastAsia="方正书宋_GBK"/>
              </w:rPr>
              <w:t>.00</w:t>
            </w: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新闻宣传和机关信息化建设与维护；人代会及常委会会议表决系统、机关基础设施建设与维护；县人大机关日常管理事务；公报、年检的编辑印刷；信访工作。</w:t>
            </w: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促进机关自身建设、服务保障能力进一步提升。</w:t>
            </w: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综合业务管理工作完成率</w:t>
            </w:r>
          </w:p>
        </w:tc>
        <w:tc>
          <w:tcPr>
            <w:tcW w:w="737" w:type="dxa"/>
            <w:shd w:val="clear" w:color="auto" w:fill="auto"/>
            <w:vAlign w:val="center"/>
          </w:tcPr>
          <w:p>
            <w:pPr>
              <w:spacing w:line="300" w:lineRule="exact"/>
              <w:jc w:val="center"/>
              <w:rPr>
                <w:rFonts w:ascii="方正书宋_GBK" w:eastAsia="方正书宋_GBK"/>
              </w:rPr>
            </w:pPr>
            <w:r>
              <w:rPr>
                <w:rFonts w:hint="eastAsia" w:ascii="仿宋" w:hAnsi="仿宋" w:eastAsia="仿宋"/>
                <w:sz w:val="18"/>
                <w:szCs w:val="18"/>
              </w:rPr>
              <w:t>≥</w:t>
            </w:r>
            <w:r>
              <w:rPr>
                <w:rFonts w:ascii="仿宋" w:hAnsi="仿宋" w:eastAsia="仿宋"/>
                <w:sz w:val="18"/>
                <w:szCs w:val="18"/>
              </w:rPr>
              <w:t>100%</w:t>
            </w:r>
          </w:p>
        </w:tc>
        <w:tc>
          <w:tcPr>
            <w:tcW w:w="737" w:type="dxa"/>
            <w:shd w:val="clear" w:color="auto" w:fill="auto"/>
            <w:vAlign w:val="center"/>
          </w:tcPr>
          <w:p>
            <w:pPr>
              <w:spacing w:line="300" w:lineRule="exact"/>
              <w:jc w:val="center"/>
              <w:rPr>
                <w:rFonts w:ascii="方正书宋_GBK" w:eastAsia="方正书宋_GBK"/>
              </w:rPr>
            </w:pPr>
            <w:r>
              <w:rPr>
                <w:rFonts w:hint="eastAsia" w:ascii="仿宋" w:hAnsi="仿宋" w:eastAsia="仿宋"/>
                <w:sz w:val="18"/>
                <w:szCs w:val="18"/>
              </w:rPr>
              <w:t>≥</w:t>
            </w:r>
            <w:r>
              <w:rPr>
                <w:rFonts w:ascii="仿宋" w:hAnsi="仿宋" w:eastAsia="仿宋"/>
                <w:sz w:val="18"/>
                <w:szCs w:val="18"/>
              </w:rPr>
              <w:t>95%</w:t>
            </w:r>
          </w:p>
        </w:tc>
        <w:tc>
          <w:tcPr>
            <w:tcW w:w="737" w:type="dxa"/>
            <w:shd w:val="clear" w:color="auto" w:fill="auto"/>
            <w:vAlign w:val="center"/>
          </w:tcPr>
          <w:p>
            <w:pPr>
              <w:spacing w:line="300" w:lineRule="exact"/>
              <w:jc w:val="center"/>
              <w:rPr>
                <w:rFonts w:ascii="方正书宋_GBK" w:eastAsia="方正书宋_GBK"/>
              </w:rPr>
            </w:pPr>
            <w:r>
              <w:rPr>
                <w:rFonts w:hint="eastAsia" w:ascii="仿宋" w:hAnsi="仿宋" w:eastAsia="仿宋"/>
                <w:sz w:val="18"/>
                <w:szCs w:val="18"/>
              </w:rPr>
              <w:t>≥</w:t>
            </w:r>
            <w:r>
              <w:rPr>
                <w:rFonts w:ascii="仿宋" w:hAnsi="仿宋" w:eastAsia="仿宋"/>
                <w:sz w:val="18"/>
                <w:szCs w:val="18"/>
              </w:rPr>
              <w:t>90%</w:t>
            </w:r>
          </w:p>
        </w:tc>
        <w:tc>
          <w:tcPr>
            <w:tcW w:w="737" w:type="dxa"/>
            <w:shd w:val="clear" w:color="auto" w:fill="auto"/>
            <w:vAlign w:val="center"/>
          </w:tcPr>
          <w:p>
            <w:pPr>
              <w:spacing w:line="300" w:lineRule="exact"/>
              <w:jc w:val="center"/>
              <w:rPr>
                <w:rFonts w:ascii="方正书宋_GBK" w:eastAsia="方正书宋_GBK"/>
              </w:rPr>
            </w:pPr>
            <w:r>
              <w:rPr>
                <w:rFonts w:ascii="仿宋" w:hAnsi="仿宋" w:eastAsia="仿宋"/>
                <w:sz w:val="18"/>
                <w:szCs w:val="18"/>
              </w:rPr>
              <w:t>&lt;90%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　　</w:t>
            </w:r>
            <w:r>
              <w:rPr>
                <w:rFonts w:ascii="方正书宋_GBK" w:eastAsia="方正书宋_GBK"/>
                <w:b/>
              </w:rPr>
              <w:t>1</w:t>
            </w:r>
            <w:r>
              <w:rPr>
                <w:rFonts w:hint="eastAsia" w:ascii="方正书宋_GBK" w:eastAsia="方正书宋_GBK"/>
                <w:b/>
              </w:rPr>
              <w:t>、综合业务管理</w:t>
            </w:r>
          </w:p>
        </w:tc>
        <w:tc>
          <w:tcPr>
            <w:tcW w:w="1276" w:type="dxa"/>
            <w:shd w:val="clear" w:color="auto" w:fill="auto"/>
            <w:vAlign w:val="center"/>
          </w:tcPr>
          <w:p>
            <w:pPr>
              <w:spacing w:line="300" w:lineRule="exact"/>
              <w:jc w:val="left"/>
              <w:rPr>
                <w:rFonts w:ascii="方正书宋_GBK" w:eastAsia="方正书宋_GBK"/>
              </w:rPr>
            </w:pP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办理来信来访，日常外事活动和县人大代表团出访事务，内外宾接待，常委会新闻发布和对外宣传，人大系列工作的宣传报道；会议表决系统建设与维护；代表大会和常委会会议公报、人大工作年鉴、大事记和组织史的编写及印刷；负责县内外</w:t>
            </w:r>
            <w:bookmarkStart w:id="3" w:name="_GoBack"/>
            <w:bookmarkEnd w:id="3"/>
            <w:r>
              <w:rPr>
                <w:rFonts w:hint="eastAsia" w:ascii="方正书宋_GBK" w:eastAsia="方正书宋_GBK"/>
              </w:rPr>
              <w:t>人大常委会联系；重大课题调研。</w:t>
            </w: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促进机关自身建设、服务保障能力进一步提升。</w:t>
            </w: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综合业务管理工作完成率</w:t>
            </w:r>
          </w:p>
        </w:tc>
        <w:tc>
          <w:tcPr>
            <w:tcW w:w="737" w:type="dxa"/>
            <w:shd w:val="clear" w:color="auto" w:fill="auto"/>
            <w:vAlign w:val="center"/>
          </w:tcPr>
          <w:p>
            <w:pPr>
              <w:spacing w:line="300" w:lineRule="exact"/>
              <w:jc w:val="center"/>
              <w:rPr>
                <w:rFonts w:ascii="方正书宋_GBK" w:eastAsia="方正书宋_GBK"/>
              </w:rPr>
            </w:pPr>
            <w:r>
              <w:rPr>
                <w:rFonts w:hint="eastAsia" w:ascii="仿宋" w:hAnsi="仿宋" w:eastAsia="仿宋"/>
                <w:sz w:val="18"/>
                <w:szCs w:val="18"/>
              </w:rPr>
              <w:t>≥</w:t>
            </w:r>
            <w:r>
              <w:rPr>
                <w:rFonts w:ascii="仿宋" w:hAnsi="仿宋" w:eastAsia="仿宋"/>
                <w:sz w:val="18"/>
                <w:szCs w:val="18"/>
              </w:rPr>
              <w:t>100%</w:t>
            </w:r>
          </w:p>
        </w:tc>
        <w:tc>
          <w:tcPr>
            <w:tcW w:w="737" w:type="dxa"/>
            <w:shd w:val="clear" w:color="auto" w:fill="auto"/>
            <w:vAlign w:val="center"/>
          </w:tcPr>
          <w:p>
            <w:pPr>
              <w:spacing w:line="300" w:lineRule="exact"/>
              <w:jc w:val="center"/>
              <w:rPr>
                <w:rFonts w:ascii="方正书宋_GBK" w:eastAsia="方正书宋_GBK"/>
              </w:rPr>
            </w:pPr>
            <w:r>
              <w:rPr>
                <w:rFonts w:hint="eastAsia" w:ascii="仿宋" w:hAnsi="仿宋" w:eastAsia="仿宋"/>
                <w:sz w:val="18"/>
                <w:szCs w:val="18"/>
              </w:rPr>
              <w:t>≥</w:t>
            </w:r>
            <w:r>
              <w:rPr>
                <w:rFonts w:ascii="仿宋" w:hAnsi="仿宋" w:eastAsia="仿宋"/>
                <w:sz w:val="18"/>
                <w:szCs w:val="18"/>
              </w:rPr>
              <w:t>95%</w:t>
            </w:r>
          </w:p>
        </w:tc>
        <w:tc>
          <w:tcPr>
            <w:tcW w:w="737" w:type="dxa"/>
            <w:shd w:val="clear" w:color="auto" w:fill="auto"/>
            <w:vAlign w:val="center"/>
          </w:tcPr>
          <w:p>
            <w:pPr>
              <w:spacing w:line="300" w:lineRule="exact"/>
              <w:jc w:val="center"/>
              <w:rPr>
                <w:rFonts w:ascii="方正书宋_GBK" w:eastAsia="方正书宋_GBK"/>
              </w:rPr>
            </w:pPr>
            <w:r>
              <w:rPr>
                <w:rFonts w:hint="eastAsia" w:ascii="仿宋" w:hAnsi="仿宋" w:eastAsia="仿宋"/>
                <w:sz w:val="18"/>
                <w:szCs w:val="18"/>
              </w:rPr>
              <w:t>≥</w:t>
            </w:r>
            <w:r>
              <w:rPr>
                <w:rFonts w:ascii="仿宋" w:hAnsi="仿宋" w:eastAsia="仿宋"/>
                <w:sz w:val="18"/>
                <w:szCs w:val="18"/>
              </w:rPr>
              <w:t>90%</w:t>
            </w:r>
          </w:p>
        </w:tc>
        <w:tc>
          <w:tcPr>
            <w:tcW w:w="737" w:type="dxa"/>
            <w:shd w:val="clear" w:color="auto" w:fill="auto"/>
            <w:vAlign w:val="center"/>
          </w:tcPr>
          <w:p>
            <w:pPr>
              <w:spacing w:line="300" w:lineRule="exact"/>
              <w:jc w:val="center"/>
              <w:rPr>
                <w:rFonts w:ascii="方正书宋_GBK" w:eastAsia="方正书宋_GBK"/>
              </w:rPr>
            </w:pPr>
            <w:r>
              <w:rPr>
                <w:rFonts w:ascii="仿宋" w:hAnsi="仿宋" w:eastAsia="仿宋"/>
                <w:sz w:val="18"/>
                <w:szCs w:val="18"/>
              </w:rPr>
              <w:t>&lt;90%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　　</w:t>
            </w:r>
            <w:r>
              <w:rPr>
                <w:rFonts w:ascii="方正书宋_GBK" w:eastAsia="方正书宋_GBK"/>
                <w:b/>
              </w:rPr>
              <w:t>2</w:t>
            </w:r>
            <w:r>
              <w:rPr>
                <w:rFonts w:hint="eastAsia" w:ascii="方正书宋_GBK" w:eastAsia="方正书宋_GBK"/>
                <w:b/>
              </w:rPr>
              <w:t>、综合事务管理</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214735</w:t>
            </w:r>
            <w:r>
              <w:rPr>
                <w:rFonts w:ascii="方正书宋_GBK" w:eastAsia="方正书宋_GBK"/>
              </w:rPr>
              <w:t>.00</w:t>
            </w: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负责机关文书档案印信管理和保密，机关人事、离退休人员服务，财务、基建、后勤服务及警卫工作；机关信息建设和办公自动化建设；负责对全县人大系统信息建设和办公自动化建设的指导、规划、组织、协调和人员培训工作；纪检组办案及培训；领导交办的其他工作。</w:t>
            </w: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促进机关自身建设、服务保障能力进一步提升。</w:t>
            </w: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综合业务管理工作完成率</w:t>
            </w:r>
          </w:p>
        </w:tc>
        <w:tc>
          <w:tcPr>
            <w:tcW w:w="737" w:type="dxa"/>
            <w:shd w:val="clear" w:color="auto" w:fill="auto"/>
            <w:vAlign w:val="center"/>
          </w:tcPr>
          <w:p>
            <w:pPr>
              <w:spacing w:line="300" w:lineRule="exact"/>
              <w:jc w:val="center"/>
              <w:rPr>
                <w:rFonts w:ascii="方正书宋_GBK" w:eastAsia="方正书宋_GBK"/>
              </w:rPr>
            </w:pPr>
            <w:r>
              <w:rPr>
                <w:rFonts w:hint="eastAsia" w:ascii="仿宋" w:hAnsi="仿宋" w:eastAsia="仿宋"/>
                <w:sz w:val="18"/>
                <w:szCs w:val="18"/>
              </w:rPr>
              <w:t>≥</w:t>
            </w:r>
            <w:r>
              <w:rPr>
                <w:rFonts w:ascii="仿宋" w:hAnsi="仿宋" w:eastAsia="仿宋"/>
                <w:sz w:val="18"/>
                <w:szCs w:val="18"/>
              </w:rPr>
              <w:t>100%</w:t>
            </w:r>
          </w:p>
        </w:tc>
        <w:tc>
          <w:tcPr>
            <w:tcW w:w="737" w:type="dxa"/>
            <w:shd w:val="clear" w:color="auto" w:fill="auto"/>
            <w:vAlign w:val="center"/>
          </w:tcPr>
          <w:p>
            <w:pPr>
              <w:spacing w:line="300" w:lineRule="exact"/>
              <w:jc w:val="center"/>
              <w:rPr>
                <w:rFonts w:ascii="方正书宋_GBK" w:eastAsia="方正书宋_GBK"/>
              </w:rPr>
            </w:pPr>
            <w:r>
              <w:rPr>
                <w:rFonts w:hint="eastAsia" w:ascii="仿宋" w:hAnsi="仿宋" w:eastAsia="仿宋"/>
                <w:sz w:val="18"/>
                <w:szCs w:val="18"/>
              </w:rPr>
              <w:t>≥</w:t>
            </w:r>
            <w:r>
              <w:rPr>
                <w:rFonts w:ascii="仿宋" w:hAnsi="仿宋" w:eastAsia="仿宋"/>
                <w:sz w:val="18"/>
                <w:szCs w:val="18"/>
              </w:rPr>
              <w:t>95%</w:t>
            </w:r>
          </w:p>
        </w:tc>
        <w:tc>
          <w:tcPr>
            <w:tcW w:w="737" w:type="dxa"/>
            <w:shd w:val="clear" w:color="auto" w:fill="auto"/>
            <w:vAlign w:val="center"/>
          </w:tcPr>
          <w:p>
            <w:pPr>
              <w:spacing w:line="300" w:lineRule="exact"/>
              <w:jc w:val="center"/>
              <w:rPr>
                <w:rFonts w:ascii="方正书宋_GBK" w:eastAsia="方正书宋_GBK"/>
              </w:rPr>
            </w:pPr>
            <w:r>
              <w:rPr>
                <w:rFonts w:hint="eastAsia" w:ascii="仿宋" w:hAnsi="仿宋" w:eastAsia="仿宋"/>
                <w:sz w:val="18"/>
                <w:szCs w:val="18"/>
              </w:rPr>
              <w:t>≥</w:t>
            </w:r>
            <w:r>
              <w:rPr>
                <w:rFonts w:ascii="仿宋" w:hAnsi="仿宋" w:eastAsia="仿宋"/>
                <w:sz w:val="18"/>
                <w:szCs w:val="18"/>
              </w:rPr>
              <w:t>90%</w:t>
            </w:r>
          </w:p>
        </w:tc>
        <w:tc>
          <w:tcPr>
            <w:tcW w:w="737" w:type="dxa"/>
            <w:shd w:val="clear" w:color="auto" w:fill="auto"/>
            <w:vAlign w:val="center"/>
          </w:tcPr>
          <w:p>
            <w:pPr>
              <w:spacing w:line="300" w:lineRule="exact"/>
              <w:jc w:val="center"/>
              <w:rPr>
                <w:rFonts w:ascii="方正书宋_GBK" w:eastAsia="方正书宋_GBK"/>
              </w:rPr>
            </w:pPr>
            <w:r>
              <w:rPr>
                <w:rFonts w:ascii="仿宋" w:hAnsi="仿宋" w:eastAsia="仿宋"/>
                <w:sz w:val="18"/>
                <w:szCs w:val="18"/>
              </w:rPr>
              <w:t>&lt;90%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五、新农村建设</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25500</w:t>
            </w:r>
            <w:r>
              <w:rPr>
                <w:rFonts w:ascii="方正书宋_GBK" w:eastAsia="方正书宋_GBK"/>
              </w:rPr>
              <w:t>.00</w:t>
            </w: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将积极动员和组织社会力量，为新农村建设提供智力、信息、项目、资金、技术以及法律政策咨询等方面的服务；对新农村建设的理论和实践问题进行调研和论证；组织力量开展新农村建设需要的各类培训，帮助农村干部，技术人员，产业、行业管理人员提高综合素质和领导、管理水平。</w:t>
            </w: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将积极动员和组织社会力量，为新农村建设提供智力、信息、项目、资金、技术以及法律政策咨询等方面的服务；对新农村建设的理论和实践问题进行调研和论证；组织力量开展新农村建设需要的各类培训，帮助农村干部，技术人员，产业、行业管理人员提高综合素质和领导、管理水平。</w:t>
            </w: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新农村工作完成率</w:t>
            </w:r>
          </w:p>
        </w:tc>
        <w:tc>
          <w:tcPr>
            <w:tcW w:w="737" w:type="dxa"/>
            <w:shd w:val="clear" w:color="auto" w:fill="auto"/>
            <w:vAlign w:val="center"/>
          </w:tcPr>
          <w:p>
            <w:pPr>
              <w:spacing w:line="360" w:lineRule="auto"/>
              <w:jc w:val="center"/>
              <w:rPr>
                <w:rFonts w:ascii="方正书宋_GBK" w:eastAsia="方正书宋_GBK"/>
              </w:rPr>
            </w:pPr>
            <w:r>
              <w:rPr>
                <w:rFonts w:ascii="仿宋" w:hAnsi="仿宋" w:eastAsia="仿宋"/>
                <w:sz w:val="18"/>
                <w:szCs w:val="18"/>
              </w:rPr>
              <w:t>100</w:t>
            </w:r>
            <w:r>
              <w:rPr>
                <w:rFonts w:hint="eastAsia" w:ascii="仿宋" w:hAnsi="仿宋" w:eastAsia="仿宋"/>
                <w:sz w:val="18"/>
                <w:szCs w:val="18"/>
              </w:rPr>
              <w:t>%</w:t>
            </w:r>
          </w:p>
        </w:tc>
        <w:tc>
          <w:tcPr>
            <w:tcW w:w="737" w:type="dxa"/>
            <w:shd w:val="clear" w:color="auto" w:fill="auto"/>
            <w:vAlign w:val="center"/>
          </w:tcPr>
          <w:p>
            <w:pPr>
              <w:spacing w:line="300" w:lineRule="exact"/>
              <w:jc w:val="center"/>
              <w:rPr>
                <w:rFonts w:ascii="方正书宋_GBK" w:eastAsia="方正书宋_GBK"/>
              </w:rPr>
            </w:pPr>
            <w:r>
              <w:rPr>
                <w:rFonts w:hint="eastAsia" w:ascii="仿宋" w:hAnsi="仿宋" w:eastAsia="仿宋"/>
                <w:sz w:val="18"/>
                <w:szCs w:val="18"/>
              </w:rPr>
              <w:t>≥</w:t>
            </w:r>
            <w:r>
              <w:rPr>
                <w:rFonts w:ascii="仿宋" w:hAnsi="仿宋" w:eastAsia="仿宋"/>
                <w:sz w:val="18"/>
                <w:szCs w:val="18"/>
              </w:rPr>
              <w:t>90</w:t>
            </w:r>
            <w:r>
              <w:rPr>
                <w:rFonts w:hint="eastAsia" w:ascii="仿宋" w:hAnsi="仿宋" w:eastAsia="仿宋"/>
                <w:sz w:val="18"/>
                <w:szCs w:val="18"/>
              </w:rPr>
              <w:t>%</w:t>
            </w:r>
          </w:p>
        </w:tc>
        <w:tc>
          <w:tcPr>
            <w:tcW w:w="737" w:type="dxa"/>
            <w:shd w:val="clear" w:color="auto" w:fill="auto"/>
            <w:vAlign w:val="center"/>
          </w:tcPr>
          <w:p>
            <w:pPr>
              <w:spacing w:line="300" w:lineRule="exact"/>
              <w:jc w:val="center"/>
              <w:rPr>
                <w:rFonts w:ascii="方正书宋_GBK" w:eastAsia="方正书宋_GBK"/>
              </w:rPr>
            </w:pPr>
            <w:r>
              <w:rPr>
                <w:rFonts w:hint="eastAsia" w:ascii="仿宋" w:hAnsi="仿宋" w:eastAsia="仿宋"/>
                <w:sz w:val="18"/>
                <w:szCs w:val="18"/>
              </w:rPr>
              <w:t>≥</w:t>
            </w:r>
            <w:r>
              <w:rPr>
                <w:rFonts w:ascii="仿宋" w:hAnsi="仿宋" w:eastAsia="仿宋"/>
                <w:sz w:val="18"/>
                <w:szCs w:val="18"/>
              </w:rPr>
              <w:t>80</w:t>
            </w:r>
            <w:r>
              <w:rPr>
                <w:rFonts w:hint="eastAsia" w:ascii="仿宋" w:hAnsi="仿宋" w:eastAsia="仿宋"/>
                <w:sz w:val="18"/>
                <w:szCs w:val="18"/>
              </w:rPr>
              <w:t>%</w:t>
            </w:r>
          </w:p>
        </w:tc>
        <w:tc>
          <w:tcPr>
            <w:tcW w:w="737" w:type="dxa"/>
            <w:shd w:val="clear" w:color="auto" w:fill="auto"/>
            <w:vAlign w:val="center"/>
          </w:tcPr>
          <w:p>
            <w:pPr>
              <w:spacing w:line="300" w:lineRule="exact"/>
              <w:jc w:val="center"/>
              <w:rPr>
                <w:rFonts w:ascii="方正书宋_GBK" w:eastAsia="方正书宋_GBK"/>
              </w:rPr>
            </w:pPr>
            <w:r>
              <w:rPr>
                <w:rFonts w:ascii="仿宋" w:hAnsi="仿宋" w:eastAsia="仿宋"/>
                <w:sz w:val="18"/>
                <w:szCs w:val="18"/>
              </w:rPr>
              <w:t>&lt;60</w:t>
            </w:r>
            <w:r>
              <w:rPr>
                <w:rFonts w:hint="eastAsia" w:ascii="仿宋" w:hAnsi="仿宋" w:eastAsia="仿宋"/>
                <w:sz w:val="18"/>
                <w:szCs w:val="18"/>
              </w:rPr>
              <w:t>%</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　　</w:t>
            </w:r>
            <w:r>
              <w:rPr>
                <w:rFonts w:ascii="方正书宋_GBK" w:eastAsia="方正书宋_GBK"/>
                <w:b/>
              </w:rPr>
              <w:t>1</w:t>
            </w:r>
            <w:r>
              <w:rPr>
                <w:rFonts w:hint="eastAsia" w:ascii="方正书宋_GBK" w:eastAsia="方正书宋_GBK"/>
                <w:b/>
              </w:rPr>
              <w:t>、新农村建设</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25500</w:t>
            </w:r>
            <w:r>
              <w:rPr>
                <w:rFonts w:ascii="方正书宋_GBK" w:eastAsia="方正书宋_GBK"/>
              </w:rPr>
              <w:t>.00</w:t>
            </w: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将积极动员和组织社会力量，为新农村建设提供智力、信息、项目、资金、技术以及法律政策咨询等方面的服务；对新农村建设的理论和实践问题进行调研和论证</w:t>
            </w: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将积极动员和组织社会力量，为新农村建设提供智力、信息、项目、资金、技术以及法律政策咨询等方面的服务；对新农村建设的理论和实践问题进行调研和论证</w:t>
            </w: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新农村工作完成率</w:t>
            </w:r>
          </w:p>
        </w:tc>
        <w:tc>
          <w:tcPr>
            <w:tcW w:w="737" w:type="dxa"/>
            <w:shd w:val="clear" w:color="auto" w:fill="auto"/>
            <w:vAlign w:val="center"/>
          </w:tcPr>
          <w:p>
            <w:pPr>
              <w:spacing w:line="360" w:lineRule="auto"/>
              <w:jc w:val="center"/>
              <w:rPr>
                <w:rFonts w:ascii="方正书宋_GBK" w:eastAsia="方正书宋_GBK"/>
              </w:rPr>
            </w:pPr>
            <w:r>
              <w:rPr>
                <w:rFonts w:ascii="仿宋" w:hAnsi="仿宋" w:eastAsia="仿宋"/>
                <w:sz w:val="18"/>
                <w:szCs w:val="18"/>
              </w:rPr>
              <w:t>100</w:t>
            </w:r>
            <w:r>
              <w:rPr>
                <w:rFonts w:hint="eastAsia" w:ascii="仿宋" w:hAnsi="仿宋" w:eastAsia="仿宋"/>
                <w:sz w:val="18"/>
                <w:szCs w:val="18"/>
              </w:rPr>
              <w:t>%</w:t>
            </w:r>
          </w:p>
        </w:tc>
        <w:tc>
          <w:tcPr>
            <w:tcW w:w="737" w:type="dxa"/>
            <w:shd w:val="clear" w:color="auto" w:fill="auto"/>
            <w:vAlign w:val="center"/>
          </w:tcPr>
          <w:p>
            <w:pPr>
              <w:spacing w:line="300" w:lineRule="exact"/>
              <w:jc w:val="center"/>
              <w:rPr>
                <w:rFonts w:ascii="方正书宋_GBK" w:eastAsia="方正书宋_GBK"/>
              </w:rPr>
            </w:pPr>
            <w:r>
              <w:rPr>
                <w:rFonts w:hint="eastAsia" w:ascii="仿宋" w:hAnsi="仿宋" w:eastAsia="仿宋"/>
                <w:sz w:val="18"/>
                <w:szCs w:val="18"/>
              </w:rPr>
              <w:t>≥</w:t>
            </w:r>
            <w:r>
              <w:rPr>
                <w:rFonts w:ascii="仿宋" w:hAnsi="仿宋" w:eastAsia="仿宋"/>
                <w:sz w:val="18"/>
                <w:szCs w:val="18"/>
              </w:rPr>
              <w:t>90</w:t>
            </w:r>
            <w:r>
              <w:rPr>
                <w:rFonts w:hint="eastAsia" w:ascii="仿宋" w:hAnsi="仿宋" w:eastAsia="仿宋"/>
                <w:sz w:val="18"/>
                <w:szCs w:val="18"/>
              </w:rPr>
              <w:t>%</w:t>
            </w:r>
          </w:p>
        </w:tc>
        <w:tc>
          <w:tcPr>
            <w:tcW w:w="737" w:type="dxa"/>
            <w:shd w:val="clear" w:color="auto" w:fill="auto"/>
            <w:vAlign w:val="center"/>
          </w:tcPr>
          <w:p>
            <w:pPr>
              <w:spacing w:line="300" w:lineRule="exact"/>
              <w:jc w:val="center"/>
              <w:rPr>
                <w:rFonts w:ascii="方正书宋_GBK" w:eastAsia="方正书宋_GBK"/>
              </w:rPr>
            </w:pPr>
            <w:r>
              <w:rPr>
                <w:rFonts w:hint="eastAsia" w:ascii="仿宋" w:hAnsi="仿宋" w:eastAsia="仿宋"/>
                <w:sz w:val="18"/>
                <w:szCs w:val="18"/>
              </w:rPr>
              <w:t>≥</w:t>
            </w:r>
            <w:r>
              <w:rPr>
                <w:rFonts w:ascii="仿宋" w:hAnsi="仿宋" w:eastAsia="仿宋"/>
                <w:sz w:val="18"/>
                <w:szCs w:val="18"/>
              </w:rPr>
              <w:t>80</w:t>
            </w:r>
            <w:r>
              <w:rPr>
                <w:rFonts w:hint="eastAsia" w:ascii="仿宋" w:hAnsi="仿宋" w:eastAsia="仿宋"/>
                <w:sz w:val="18"/>
                <w:szCs w:val="18"/>
              </w:rPr>
              <w:t>%</w:t>
            </w:r>
          </w:p>
        </w:tc>
        <w:tc>
          <w:tcPr>
            <w:tcW w:w="737" w:type="dxa"/>
            <w:shd w:val="clear" w:color="auto" w:fill="auto"/>
            <w:vAlign w:val="center"/>
          </w:tcPr>
          <w:p>
            <w:pPr>
              <w:spacing w:line="300" w:lineRule="exact"/>
              <w:jc w:val="center"/>
              <w:rPr>
                <w:rFonts w:ascii="方正书宋_GBK" w:eastAsia="方正书宋_GBK"/>
              </w:rPr>
            </w:pPr>
            <w:r>
              <w:rPr>
                <w:rFonts w:ascii="仿宋" w:hAnsi="仿宋" w:eastAsia="仿宋"/>
                <w:sz w:val="18"/>
                <w:szCs w:val="18"/>
              </w:rPr>
              <w:t>&lt;60</w:t>
            </w:r>
            <w:r>
              <w:rPr>
                <w:rFonts w:hint="eastAsia" w:ascii="仿宋" w:hAnsi="仿宋" w:eastAsia="仿宋"/>
                <w:sz w:val="18"/>
                <w:szCs w:val="18"/>
              </w:rPr>
              <w:t>%</w:t>
            </w:r>
          </w:p>
        </w:tc>
      </w:tr>
    </w:tbl>
    <w:p>
      <w:pPr>
        <w:spacing w:line="300" w:lineRule="exact"/>
        <w:jc w:val="left"/>
        <w:outlineLvl w:val="0"/>
        <w:sectPr>
          <w:pgSz w:w="16839" w:h="11907" w:orient="landscape"/>
          <w:pgMar w:top="1020" w:right="1361" w:bottom="1020" w:left="1361" w:header="851" w:footer="992" w:gutter="0"/>
          <w:cols w:space="425" w:num="1"/>
          <w:docGrid w:type="lines" w:linePitch="312" w:charSpace="0"/>
        </w:sectPr>
      </w:pPr>
    </w:p>
    <w:bookmarkEnd w:id="0"/>
    <w:p>
      <w:pPr>
        <w:autoSpaceDE w:val="0"/>
        <w:autoSpaceDN w:val="0"/>
        <w:adjustRightInd w:val="0"/>
        <w:jc w:val="left"/>
        <w:rPr>
          <w:rFonts w:ascii="黑体" w:hAnsi="黑体" w:eastAsia="黑体" w:cs="Times New Roman"/>
          <w:sz w:val="32"/>
          <w:szCs w:val="32"/>
        </w:rPr>
      </w:pPr>
      <w:r>
        <w:rPr>
          <w:rFonts w:hint="eastAsia" w:ascii="黑体" w:hAnsi="黑体" w:eastAsia="黑体" w:cs="Times New Roman"/>
          <w:sz w:val="32"/>
          <w:szCs w:val="32"/>
        </w:rPr>
        <w:t>六、政府采购预算情况</w:t>
      </w:r>
    </w:p>
    <w:p>
      <w:pPr>
        <w:ind w:firstLine="640" w:firstLineChars="200"/>
        <w:outlineLvl w:val="0"/>
        <w:rPr>
          <w:rFonts w:ascii="Times New Roman" w:hAnsi="Times New Roman" w:eastAsia="仿宋" w:cs="Times New Roman"/>
          <w:sz w:val="32"/>
          <w:szCs w:val="24"/>
        </w:rPr>
      </w:pPr>
      <w:bookmarkStart w:id="1" w:name="_Toc471398468"/>
      <w:r>
        <w:rPr>
          <w:rFonts w:ascii="Times New Roman" w:hAnsi="Times New Roman" w:eastAsia="仿宋" w:cs="Times New Roman"/>
          <w:sz w:val="32"/>
          <w:szCs w:val="24"/>
        </w:rPr>
        <w:t xml:space="preserve"> 20</w:t>
      </w:r>
      <w:r>
        <w:rPr>
          <w:rFonts w:hint="eastAsia" w:ascii="Times New Roman" w:hAnsi="Times New Roman" w:eastAsia="仿宋" w:cs="Times New Roman"/>
          <w:sz w:val="32"/>
          <w:szCs w:val="24"/>
        </w:rPr>
        <w:t>21</w:t>
      </w:r>
      <w:r>
        <w:rPr>
          <w:rFonts w:ascii="Times New Roman" w:hAnsi="Times New Roman" w:eastAsia="仿宋" w:cs="Times New Roman"/>
          <w:sz w:val="32"/>
          <w:szCs w:val="24"/>
        </w:rPr>
        <w:t>年，</w:t>
      </w:r>
      <w:r>
        <w:rPr>
          <w:rFonts w:hint="eastAsia" w:ascii="Times New Roman" w:hAnsi="Times New Roman" w:eastAsia="仿宋" w:cs="Times New Roman"/>
          <w:sz w:val="32"/>
          <w:szCs w:val="24"/>
        </w:rPr>
        <w:t>我部门</w:t>
      </w:r>
      <w:r>
        <w:rPr>
          <w:rFonts w:ascii="Times New Roman" w:hAnsi="Times New Roman" w:eastAsia="仿宋" w:cs="Times New Roman"/>
          <w:sz w:val="32"/>
          <w:szCs w:val="24"/>
        </w:rPr>
        <w:t>安排政府采购预算</w:t>
      </w:r>
      <w:r>
        <w:rPr>
          <w:rFonts w:hint="eastAsia" w:ascii="Times New Roman" w:hAnsi="Times New Roman" w:eastAsia="仿宋" w:cs="Times New Roman"/>
          <w:sz w:val="32"/>
          <w:szCs w:val="24"/>
        </w:rPr>
        <w:t>3.3</w:t>
      </w:r>
      <w:r>
        <w:rPr>
          <w:rFonts w:ascii="Times New Roman" w:hAnsi="Times New Roman" w:eastAsia="仿宋" w:cs="Times New Roman"/>
          <w:sz w:val="32"/>
          <w:szCs w:val="24"/>
        </w:rPr>
        <w:t>万元。具体内容见下表。</w:t>
      </w:r>
      <w:bookmarkEnd w:id="1"/>
    </w:p>
    <w:p>
      <w:pPr>
        <w:jc w:val="center"/>
        <w:outlineLvl w:val="0"/>
        <w:rPr>
          <w:rFonts w:ascii="方正小标宋_GBK" w:eastAsia="方正小标宋_GBK"/>
          <w:sz w:val="32"/>
        </w:rPr>
      </w:pPr>
      <w:bookmarkStart w:id="2" w:name="_Toc1912535"/>
      <w:r>
        <w:rPr>
          <w:rFonts w:hint="eastAsia" w:ascii="方正小标宋_GBK" w:eastAsia="方正小标宋_GBK"/>
          <w:sz w:val="32"/>
        </w:rPr>
        <w:t>部门政府采购预算</w:t>
      </w:r>
      <w:bookmarkEnd w:id="2"/>
    </w:p>
    <w:tbl>
      <w:tblPr>
        <w:tblStyle w:val="7"/>
        <w:tblW w:w="15507"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84"/>
        <w:gridCol w:w="1134"/>
        <w:gridCol w:w="1531"/>
        <w:gridCol w:w="1531"/>
        <w:gridCol w:w="709"/>
        <w:gridCol w:w="907"/>
        <w:gridCol w:w="907"/>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8703" w:type="dxa"/>
            <w:gridSpan w:val="7"/>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小标宋_GBK" w:eastAsia="方正小标宋_GBK"/>
                <w:sz w:val="24"/>
              </w:rPr>
            </w:pPr>
            <w:r>
              <w:rPr>
                <w:rFonts w:ascii="方正小标宋_GBK" w:eastAsia="方正小标宋_GBK"/>
                <w:sz w:val="24"/>
              </w:rPr>
              <w:t>101</w:t>
            </w:r>
            <w:r>
              <w:rPr>
                <w:rFonts w:hint="eastAsia" w:ascii="方正小标宋_GBK" w:eastAsia="方正小标宋_GBK"/>
                <w:sz w:val="24"/>
              </w:rPr>
              <w:t>隆尧县人大</w:t>
            </w:r>
          </w:p>
        </w:tc>
        <w:tc>
          <w:tcPr>
            <w:tcW w:w="6804"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sz w:val="24"/>
              </w:rPr>
            </w:pPr>
            <w:r>
              <w:rPr>
                <w:rFonts w:hint="eastAsia" w:ascii="方正书宋_GBK" w:eastAsia="方正书宋_GBK"/>
                <w:sz w:val="24"/>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3118" w:type="dxa"/>
            <w:gridSpan w:val="2"/>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政府采购项目来源</w:t>
            </w:r>
          </w:p>
        </w:tc>
        <w:tc>
          <w:tcPr>
            <w:tcW w:w="1531"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采购物品名称</w:t>
            </w:r>
          </w:p>
        </w:tc>
        <w:tc>
          <w:tcPr>
            <w:tcW w:w="1531"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政府采购目录序号</w:t>
            </w:r>
          </w:p>
        </w:tc>
        <w:tc>
          <w:tcPr>
            <w:tcW w:w="709"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计量</w:t>
            </w:r>
            <w:r>
              <w:rPr>
                <w:rFonts w:ascii="方正书宋_GBK" w:eastAsia="方正书宋_GBK"/>
                <w:b/>
              </w:rPr>
              <w:t xml:space="preserve">  </w:t>
            </w:r>
            <w:r>
              <w:rPr>
                <w:rFonts w:hint="eastAsia" w:ascii="方正书宋_GBK" w:eastAsia="方正书宋_GBK"/>
                <w:b/>
              </w:rPr>
              <w:t>单位</w:t>
            </w:r>
          </w:p>
        </w:tc>
        <w:tc>
          <w:tcPr>
            <w:tcW w:w="907"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数量</w:t>
            </w:r>
          </w:p>
        </w:tc>
        <w:tc>
          <w:tcPr>
            <w:tcW w:w="907"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单价</w:t>
            </w:r>
          </w:p>
        </w:tc>
        <w:tc>
          <w:tcPr>
            <w:tcW w:w="6804" w:type="dxa"/>
            <w:gridSpan w:val="6"/>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政府采购金额（当年部门预算安排资金）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98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预算资金</w:t>
            </w:r>
          </w:p>
        </w:tc>
        <w:tc>
          <w:tcPr>
            <w:tcW w:w="1531" w:type="dxa"/>
            <w:vMerge w:val="continue"/>
            <w:shd w:val="clear" w:color="auto" w:fill="auto"/>
            <w:vAlign w:val="center"/>
          </w:tcPr>
          <w:p>
            <w:pPr>
              <w:spacing w:line="300" w:lineRule="exact"/>
              <w:jc w:val="left"/>
              <w:outlineLvl w:val="1"/>
              <w:rPr>
                <w:rFonts w:ascii="Times New Roman" w:eastAsia="方正仿宋_GBK"/>
                <w:sz w:val="28"/>
              </w:rPr>
            </w:pPr>
          </w:p>
        </w:tc>
        <w:tc>
          <w:tcPr>
            <w:tcW w:w="1531" w:type="dxa"/>
            <w:vMerge w:val="continue"/>
            <w:shd w:val="clear" w:color="auto" w:fill="auto"/>
            <w:vAlign w:val="center"/>
          </w:tcPr>
          <w:p>
            <w:pPr>
              <w:spacing w:line="300" w:lineRule="exact"/>
              <w:jc w:val="left"/>
              <w:outlineLvl w:val="1"/>
              <w:rPr>
                <w:rFonts w:ascii="Times New Roman" w:eastAsia="方正仿宋_GBK"/>
                <w:sz w:val="28"/>
              </w:rPr>
            </w:pPr>
          </w:p>
        </w:tc>
        <w:tc>
          <w:tcPr>
            <w:tcW w:w="709" w:type="dxa"/>
            <w:vMerge w:val="continue"/>
            <w:shd w:val="clear" w:color="auto" w:fill="auto"/>
            <w:vAlign w:val="center"/>
          </w:tcPr>
          <w:p>
            <w:pPr>
              <w:spacing w:line="300" w:lineRule="exact"/>
              <w:jc w:val="left"/>
              <w:outlineLvl w:val="1"/>
              <w:rPr>
                <w:rFonts w:ascii="Times New Roman" w:eastAsia="方正仿宋_GBK"/>
                <w:sz w:val="28"/>
              </w:rPr>
            </w:pPr>
          </w:p>
        </w:tc>
        <w:tc>
          <w:tcPr>
            <w:tcW w:w="907" w:type="dxa"/>
            <w:vMerge w:val="continue"/>
            <w:shd w:val="clear" w:color="auto" w:fill="auto"/>
            <w:vAlign w:val="center"/>
          </w:tcPr>
          <w:p>
            <w:pPr>
              <w:spacing w:line="300" w:lineRule="exact"/>
              <w:jc w:val="left"/>
              <w:outlineLvl w:val="1"/>
              <w:rPr>
                <w:rFonts w:ascii="Times New Roman" w:eastAsia="方正仿宋_GBK"/>
                <w:sz w:val="28"/>
              </w:rPr>
            </w:pPr>
          </w:p>
        </w:tc>
        <w:tc>
          <w:tcPr>
            <w:tcW w:w="907" w:type="dxa"/>
            <w:vMerge w:val="continue"/>
            <w:shd w:val="clear" w:color="auto" w:fill="auto"/>
            <w:vAlign w:val="center"/>
          </w:tcPr>
          <w:p>
            <w:pPr>
              <w:spacing w:line="300" w:lineRule="exact"/>
              <w:jc w:val="left"/>
              <w:outlineLvl w:val="1"/>
              <w:rPr>
                <w:rFonts w:ascii="Times New Roman" w:eastAsia="方正仿宋_GBK"/>
                <w:sz w:val="28"/>
              </w:rPr>
            </w:pP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合计</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一般公共预算拨款</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基金预算拨款</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国有资本经营预算拨款</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财政专户核拨</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单位资金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98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合</w:t>
            </w:r>
            <w:r>
              <w:rPr>
                <w:rFonts w:ascii="方正书宋_GBK" w:eastAsia="方正书宋_GBK"/>
                <w:b/>
              </w:rPr>
              <w:t xml:space="preserve">  </w:t>
            </w:r>
            <w:r>
              <w:rPr>
                <w:rFonts w:hint="eastAsia" w:ascii="方正书宋_GBK" w:eastAsia="方正书宋_GBK"/>
                <w:b/>
              </w:rPr>
              <w:t>计</w:t>
            </w:r>
          </w:p>
        </w:tc>
        <w:tc>
          <w:tcPr>
            <w:tcW w:w="1134" w:type="dxa"/>
            <w:shd w:val="clear" w:color="auto" w:fill="auto"/>
            <w:vAlign w:val="center"/>
          </w:tcPr>
          <w:p>
            <w:pPr>
              <w:spacing w:line="300" w:lineRule="exact"/>
              <w:jc w:val="right"/>
              <w:rPr>
                <w:rFonts w:ascii="方正书宋_GBK" w:eastAsia="方正书宋_GBK"/>
                <w:b/>
              </w:rPr>
            </w:pPr>
          </w:p>
        </w:tc>
        <w:tc>
          <w:tcPr>
            <w:tcW w:w="1531" w:type="dxa"/>
            <w:shd w:val="clear" w:color="auto" w:fill="auto"/>
            <w:vAlign w:val="center"/>
          </w:tcPr>
          <w:p>
            <w:pPr>
              <w:spacing w:line="300" w:lineRule="exact"/>
              <w:jc w:val="left"/>
              <w:rPr>
                <w:rFonts w:ascii="方正书宋_GBK" w:eastAsia="方正书宋_GBK"/>
                <w:b/>
              </w:rPr>
            </w:pPr>
          </w:p>
        </w:tc>
        <w:tc>
          <w:tcPr>
            <w:tcW w:w="1531" w:type="dxa"/>
            <w:shd w:val="clear" w:color="auto" w:fill="auto"/>
            <w:vAlign w:val="center"/>
          </w:tcPr>
          <w:p>
            <w:pPr>
              <w:spacing w:line="300" w:lineRule="exact"/>
              <w:jc w:val="left"/>
              <w:rPr>
                <w:rFonts w:ascii="方正书宋_GBK" w:eastAsia="方正书宋_GBK"/>
                <w:b/>
              </w:rPr>
            </w:pPr>
          </w:p>
        </w:tc>
        <w:tc>
          <w:tcPr>
            <w:tcW w:w="709" w:type="dxa"/>
            <w:shd w:val="clear" w:color="auto" w:fill="auto"/>
            <w:vAlign w:val="center"/>
          </w:tcPr>
          <w:p>
            <w:pPr>
              <w:spacing w:line="300" w:lineRule="exact"/>
              <w:jc w:val="center"/>
              <w:rPr>
                <w:rFonts w:ascii="方正书宋_GBK" w:eastAsia="方正书宋_GBK"/>
                <w:b/>
              </w:rPr>
            </w:pPr>
          </w:p>
        </w:tc>
        <w:tc>
          <w:tcPr>
            <w:tcW w:w="907" w:type="dxa"/>
            <w:shd w:val="clear" w:color="auto" w:fill="auto"/>
            <w:vAlign w:val="center"/>
          </w:tcPr>
          <w:p>
            <w:pPr>
              <w:spacing w:line="300" w:lineRule="exact"/>
              <w:jc w:val="right"/>
              <w:rPr>
                <w:rFonts w:ascii="方正书宋_GBK" w:eastAsia="方正书宋_GBK"/>
                <w:b/>
              </w:rPr>
            </w:pPr>
          </w:p>
        </w:tc>
        <w:tc>
          <w:tcPr>
            <w:tcW w:w="907" w:type="dxa"/>
            <w:shd w:val="clear" w:color="auto" w:fill="auto"/>
            <w:vAlign w:val="center"/>
          </w:tcPr>
          <w:p>
            <w:pPr>
              <w:spacing w:line="300" w:lineRule="exact"/>
              <w:jc w:val="right"/>
              <w:rPr>
                <w:rFonts w:ascii="方正书宋_GBK" w:eastAsia="方正书宋_GBK"/>
                <w:b/>
              </w:rPr>
            </w:pPr>
          </w:p>
        </w:tc>
        <w:tc>
          <w:tcPr>
            <w:tcW w:w="1134" w:type="dxa"/>
            <w:shd w:val="clear" w:color="auto" w:fill="auto"/>
            <w:vAlign w:val="center"/>
          </w:tcPr>
          <w:p>
            <w:pPr>
              <w:spacing w:line="300" w:lineRule="exact"/>
              <w:jc w:val="right"/>
              <w:rPr>
                <w:rFonts w:ascii="方正书宋_GBK" w:eastAsia="方正书宋_GBK"/>
                <w:b/>
              </w:rPr>
            </w:pPr>
            <w:r>
              <w:rPr>
                <w:rFonts w:hint="eastAsia" w:ascii="方正书宋_GBK" w:eastAsia="方正书宋_GBK"/>
                <w:b/>
              </w:rPr>
              <w:t>3.3</w:t>
            </w:r>
          </w:p>
        </w:tc>
        <w:tc>
          <w:tcPr>
            <w:tcW w:w="1134" w:type="dxa"/>
            <w:shd w:val="clear" w:color="auto" w:fill="auto"/>
            <w:vAlign w:val="center"/>
          </w:tcPr>
          <w:p>
            <w:pPr>
              <w:spacing w:line="300" w:lineRule="exact"/>
              <w:jc w:val="right"/>
              <w:rPr>
                <w:rFonts w:ascii="方正书宋_GBK" w:eastAsia="方正书宋_GBK"/>
                <w:b/>
              </w:rPr>
            </w:pPr>
            <w:r>
              <w:rPr>
                <w:rFonts w:hint="eastAsia" w:ascii="方正书宋_GBK" w:eastAsia="方正书宋_GBK"/>
                <w:b/>
              </w:rPr>
              <w:t>3.3</w:t>
            </w:r>
          </w:p>
        </w:tc>
        <w:tc>
          <w:tcPr>
            <w:tcW w:w="1134" w:type="dxa"/>
            <w:shd w:val="clear" w:color="auto" w:fill="auto"/>
            <w:vAlign w:val="center"/>
          </w:tcPr>
          <w:p>
            <w:pPr>
              <w:spacing w:line="300" w:lineRule="exact"/>
              <w:jc w:val="right"/>
              <w:rPr>
                <w:rFonts w:ascii="方正书宋_GBK" w:eastAsia="方正书宋_GBK"/>
                <w:b/>
              </w:rPr>
            </w:pPr>
          </w:p>
        </w:tc>
        <w:tc>
          <w:tcPr>
            <w:tcW w:w="1134" w:type="dxa"/>
            <w:shd w:val="clear" w:color="auto" w:fill="auto"/>
            <w:vAlign w:val="center"/>
          </w:tcPr>
          <w:p>
            <w:pPr>
              <w:spacing w:line="300" w:lineRule="exact"/>
              <w:jc w:val="right"/>
              <w:rPr>
                <w:rFonts w:ascii="方正书宋_GBK" w:eastAsia="方正书宋_GBK"/>
                <w:b/>
              </w:rPr>
            </w:pPr>
          </w:p>
        </w:tc>
        <w:tc>
          <w:tcPr>
            <w:tcW w:w="1134" w:type="dxa"/>
            <w:shd w:val="clear" w:color="auto" w:fill="auto"/>
            <w:vAlign w:val="center"/>
          </w:tcPr>
          <w:p>
            <w:pPr>
              <w:spacing w:line="300" w:lineRule="exact"/>
              <w:jc w:val="right"/>
              <w:rPr>
                <w:rFonts w:ascii="方正书宋_GBK" w:eastAsia="方正书宋_GBK"/>
                <w:b/>
              </w:rPr>
            </w:pPr>
          </w:p>
        </w:tc>
        <w:tc>
          <w:tcPr>
            <w:tcW w:w="1134" w:type="dxa"/>
            <w:shd w:val="clear" w:color="auto" w:fill="auto"/>
            <w:vAlign w:val="center"/>
          </w:tcPr>
          <w:p>
            <w:pPr>
              <w:spacing w:line="300" w:lineRule="exact"/>
              <w:jc w:val="right"/>
              <w:rPr>
                <w:rFonts w:ascii="方正书宋_GBK" w:eastAsia="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隆尧县人民代表大会常务委员会办公室本级小计</w:t>
            </w:r>
          </w:p>
        </w:tc>
        <w:tc>
          <w:tcPr>
            <w:tcW w:w="1134" w:type="dxa"/>
            <w:shd w:val="clear" w:color="auto" w:fill="auto"/>
            <w:vAlign w:val="center"/>
          </w:tcPr>
          <w:p>
            <w:pPr>
              <w:spacing w:line="300" w:lineRule="exact"/>
              <w:jc w:val="right"/>
              <w:rPr>
                <w:rFonts w:ascii="方正书宋_GBK" w:eastAsia="方正书宋_GBK"/>
                <w:b/>
              </w:rPr>
            </w:pPr>
          </w:p>
        </w:tc>
        <w:tc>
          <w:tcPr>
            <w:tcW w:w="1531" w:type="dxa"/>
            <w:shd w:val="clear" w:color="auto" w:fill="auto"/>
            <w:vAlign w:val="center"/>
          </w:tcPr>
          <w:p>
            <w:pPr>
              <w:spacing w:line="300" w:lineRule="exact"/>
              <w:jc w:val="left"/>
              <w:rPr>
                <w:rFonts w:ascii="方正书宋_GBK" w:eastAsia="方正书宋_GBK"/>
                <w:b/>
              </w:rPr>
            </w:pPr>
          </w:p>
        </w:tc>
        <w:tc>
          <w:tcPr>
            <w:tcW w:w="1531" w:type="dxa"/>
            <w:shd w:val="clear" w:color="auto" w:fill="auto"/>
            <w:vAlign w:val="center"/>
          </w:tcPr>
          <w:p>
            <w:pPr>
              <w:spacing w:line="300" w:lineRule="exact"/>
              <w:jc w:val="left"/>
              <w:rPr>
                <w:rFonts w:ascii="方正书宋_GBK" w:eastAsia="方正书宋_GBK"/>
                <w:b/>
              </w:rPr>
            </w:pPr>
          </w:p>
        </w:tc>
        <w:tc>
          <w:tcPr>
            <w:tcW w:w="709" w:type="dxa"/>
            <w:shd w:val="clear" w:color="auto" w:fill="auto"/>
            <w:vAlign w:val="center"/>
          </w:tcPr>
          <w:p>
            <w:pPr>
              <w:spacing w:line="300" w:lineRule="exact"/>
              <w:jc w:val="center"/>
              <w:rPr>
                <w:rFonts w:ascii="方正书宋_GBK" w:eastAsia="方正书宋_GBK"/>
                <w:b/>
              </w:rPr>
            </w:pPr>
          </w:p>
        </w:tc>
        <w:tc>
          <w:tcPr>
            <w:tcW w:w="907" w:type="dxa"/>
            <w:shd w:val="clear" w:color="auto" w:fill="auto"/>
            <w:vAlign w:val="center"/>
          </w:tcPr>
          <w:p>
            <w:pPr>
              <w:spacing w:line="300" w:lineRule="exact"/>
              <w:jc w:val="right"/>
              <w:rPr>
                <w:rFonts w:ascii="方正书宋_GBK" w:eastAsia="方正书宋_GBK"/>
                <w:b/>
              </w:rPr>
            </w:pPr>
          </w:p>
        </w:tc>
        <w:tc>
          <w:tcPr>
            <w:tcW w:w="907" w:type="dxa"/>
            <w:shd w:val="clear" w:color="auto" w:fill="auto"/>
            <w:vAlign w:val="center"/>
          </w:tcPr>
          <w:p>
            <w:pPr>
              <w:spacing w:line="300" w:lineRule="exact"/>
              <w:jc w:val="right"/>
              <w:rPr>
                <w:rFonts w:ascii="方正书宋_GBK" w:eastAsia="方正书宋_GBK"/>
                <w:b/>
              </w:rPr>
            </w:pPr>
          </w:p>
        </w:tc>
        <w:tc>
          <w:tcPr>
            <w:tcW w:w="1134" w:type="dxa"/>
            <w:shd w:val="clear" w:color="auto" w:fill="auto"/>
            <w:vAlign w:val="center"/>
          </w:tcPr>
          <w:p>
            <w:pPr>
              <w:spacing w:line="300" w:lineRule="exact"/>
              <w:jc w:val="right"/>
              <w:rPr>
                <w:rFonts w:ascii="方正书宋_GBK" w:eastAsia="方正书宋_GBK"/>
                <w:b/>
              </w:rPr>
            </w:pPr>
            <w:r>
              <w:rPr>
                <w:rFonts w:hint="eastAsia" w:ascii="方正书宋_GBK" w:eastAsia="方正书宋_GBK"/>
                <w:b/>
              </w:rPr>
              <w:t>3.3</w:t>
            </w:r>
          </w:p>
        </w:tc>
        <w:tc>
          <w:tcPr>
            <w:tcW w:w="1134" w:type="dxa"/>
            <w:shd w:val="clear" w:color="auto" w:fill="auto"/>
            <w:vAlign w:val="center"/>
          </w:tcPr>
          <w:p>
            <w:pPr>
              <w:spacing w:line="300" w:lineRule="exact"/>
              <w:jc w:val="right"/>
              <w:rPr>
                <w:rFonts w:ascii="方正书宋_GBK" w:eastAsia="方正书宋_GBK"/>
                <w:b/>
              </w:rPr>
            </w:pPr>
            <w:r>
              <w:rPr>
                <w:rFonts w:hint="eastAsia" w:ascii="方正书宋_GBK" w:eastAsia="方正书宋_GBK"/>
                <w:b/>
              </w:rPr>
              <w:t>3.3</w:t>
            </w:r>
          </w:p>
        </w:tc>
        <w:tc>
          <w:tcPr>
            <w:tcW w:w="1134" w:type="dxa"/>
            <w:shd w:val="clear" w:color="auto" w:fill="auto"/>
            <w:vAlign w:val="center"/>
          </w:tcPr>
          <w:p>
            <w:pPr>
              <w:spacing w:line="300" w:lineRule="exact"/>
              <w:jc w:val="right"/>
              <w:rPr>
                <w:rFonts w:ascii="方正书宋_GBK" w:eastAsia="方正书宋_GBK"/>
                <w:b/>
              </w:rPr>
            </w:pPr>
          </w:p>
        </w:tc>
        <w:tc>
          <w:tcPr>
            <w:tcW w:w="1134" w:type="dxa"/>
            <w:shd w:val="clear" w:color="auto" w:fill="auto"/>
            <w:vAlign w:val="center"/>
          </w:tcPr>
          <w:p>
            <w:pPr>
              <w:spacing w:line="300" w:lineRule="exact"/>
              <w:jc w:val="right"/>
              <w:rPr>
                <w:rFonts w:ascii="方正书宋_GBK" w:eastAsia="方正书宋_GBK"/>
                <w:b/>
              </w:rPr>
            </w:pPr>
          </w:p>
        </w:tc>
        <w:tc>
          <w:tcPr>
            <w:tcW w:w="1134" w:type="dxa"/>
            <w:shd w:val="clear" w:color="auto" w:fill="auto"/>
            <w:vAlign w:val="center"/>
          </w:tcPr>
          <w:p>
            <w:pPr>
              <w:spacing w:line="300" w:lineRule="exact"/>
              <w:jc w:val="right"/>
              <w:rPr>
                <w:rFonts w:ascii="方正书宋_GBK" w:eastAsia="方正书宋_GBK"/>
                <w:b/>
              </w:rPr>
            </w:pPr>
          </w:p>
        </w:tc>
        <w:tc>
          <w:tcPr>
            <w:tcW w:w="1134" w:type="dxa"/>
            <w:shd w:val="clear" w:color="auto" w:fill="auto"/>
            <w:vAlign w:val="center"/>
          </w:tcPr>
          <w:p>
            <w:pPr>
              <w:spacing w:line="300" w:lineRule="exact"/>
              <w:jc w:val="right"/>
              <w:rPr>
                <w:rFonts w:ascii="方正书宋_GBK" w:eastAsia="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代表活动费</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17</w:t>
            </w:r>
            <w:r>
              <w:rPr>
                <w:rFonts w:hint="eastAsia" w:ascii="方正书宋_GBK" w:eastAsia="方正书宋_GBK"/>
              </w:rPr>
              <w:t>.</w:t>
            </w:r>
            <w:r>
              <w:rPr>
                <w:rFonts w:ascii="方正书宋_GBK" w:eastAsia="方正书宋_GBK"/>
              </w:rPr>
              <w:t>935</w:t>
            </w:r>
          </w:p>
        </w:tc>
        <w:tc>
          <w:tcPr>
            <w:tcW w:w="153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复印机</w:t>
            </w:r>
          </w:p>
        </w:tc>
        <w:tc>
          <w:tcPr>
            <w:tcW w:w="1531" w:type="dxa"/>
            <w:shd w:val="clear" w:color="auto" w:fill="auto"/>
            <w:vAlign w:val="center"/>
          </w:tcPr>
          <w:p>
            <w:pPr>
              <w:spacing w:line="300" w:lineRule="exact"/>
              <w:jc w:val="left"/>
              <w:rPr>
                <w:rFonts w:ascii="方正书宋_GBK" w:eastAsia="方正书宋_GBK"/>
              </w:rPr>
            </w:pPr>
            <w:r>
              <w:rPr>
                <w:rFonts w:ascii="方正书宋_GBK" w:eastAsia="方正书宋_GBK"/>
              </w:rPr>
              <w:t>A020201</w:t>
            </w:r>
          </w:p>
        </w:tc>
        <w:tc>
          <w:tcPr>
            <w:tcW w:w="709"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包</w:t>
            </w:r>
          </w:p>
        </w:tc>
        <w:tc>
          <w:tcPr>
            <w:tcW w:w="907" w:type="dxa"/>
            <w:shd w:val="clear" w:color="auto" w:fill="auto"/>
            <w:vAlign w:val="center"/>
          </w:tcPr>
          <w:p>
            <w:pPr>
              <w:spacing w:line="300" w:lineRule="exact"/>
              <w:jc w:val="right"/>
              <w:rPr>
                <w:rFonts w:ascii="方正书宋_GBK" w:eastAsia="方正书宋_GBK"/>
              </w:rPr>
            </w:pPr>
            <w:r>
              <w:rPr>
                <w:rFonts w:ascii="方正书宋_GBK" w:eastAsia="方正书宋_GBK"/>
              </w:rPr>
              <w:t>80</w:t>
            </w:r>
          </w:p>
        </w:tc>
        <w:tc>
          <w:tcPr>
            <w:tcW w:w="907" w:type="dxa"/>
            <w:shd w:val="clear" w:color="auto" w:fill="auto"/>
            <w:vAlign w:val="center"/>
          </w:tcPr>
          <w:p>
            <w:pPr>
              <w:spacing w:line="300" w:lineRule="exact"/>
              <w:jc w:val="right"/>
              <w:rPr>
                <w:rFonts w:ascii="方正书宋_GBK" w:eastAsia="方正书宋_GBK"/>
              </w:rPr>
            </w:pPr>
            <w:r>
              <w:rPr>
                <w:rFonts w:hint="eastAsia" w:ascii="方正书宋_GBK" w:eastAsia="方正书宋_GBK"/>
              </w:rPr>
              <w:t>0.0</w:t>
            </w:r>
            <w:r>
              <w:rPr>
                <w:rFonts w:ascii="方正书宋_GBK" w:eastAsia="方正书宋_GBK"/>
              </w:rPr>
              <w:t>25</w:t>
            </w:r>
          </w:p>
        </w:tc>
        <w:tc>
          <w:tcPr>
            <w:tcW w:w="1134" w:type="dxa"/>
            <w:shd w:val="clear" w:color="auto" w:fill="auto"/>
            <w:vAlign w:val="center"/>
          </w:tcPr>
          <w:p>
            <w:pPr>
              <w:spacing w:line="300" w:lineRule="exact"/>
              <w:jc w:val="right"/>
              <w:rPr>
                <w:rFonts w:ascii="方正书宋_GBK" w:eastAsia="方正书宋_GBK"/>
              </w:rPr>
            </w:pPr>
            <w:r>
              <w:rPr>
                <w:rFonts w:hint="eastAsia" w:ascii="方正书宋_GBK" w:eastAsia="方正书宋_GBK"/>
              </w:rPr>
              <w:t>0.2</w:t>
            </w:r>
          </w:p>
        </w:tc>
        <w:tc>
          <w:tcPr>
            <w:tcW w:w="1134" w:type="dxa"/>
            <w:shd w:val="clear" w:color="auto" w:fill="auto"/>
            <w:vAlign w:val="center"/>
          </w:tcPr>
          <w:p>
            <w:pPr>
              <w:spacing w:line="300" w:lineRule="exact"/>
              <w:jc w:val="right"/>
              <w:rPr>
                <w:rFonts w:ascii="方正书宋_GBK" w:eastAsia="方正书宋_GBK"/>
              </w:rPr>
            </w:pPr>
            <w:r>
              <w:rPr>
                <w:rFonts w:hint="eastAsia" w:ascii="方正书宋_GBK" w:eastAsia="方正书宋_GBK"/>
              </w:rPr>
              <w:t>0.2</w:t>
            </w: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代表之家运行经费</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6</w:t>
            </w:r>
            <w:r>
              <w:rPr>
                <w:rFonts w:hint="eastAsia" w:ascii="方正书宋_GBK" w:eastAsia="方正书宋_GBK"/>
              </w:rPr>
              <w:t>.</w:t>
            </w:r>
            <w:r>
              <w:rPr>
                <w:rFonts w:ascii="方正书宋_GBK" w:eastAsia="方正书宋_GBK"/>
              </w:rPr>
              <w:t>8</w:t>
            </w:r>
          </w:p>
        </w:tc>
        <w:tc>
          <w:tcPr>
            <w:tcW w:w="153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复印机</w:t>
            </w:r>
          </w:p>
        </w:tc>
        <w:tc>
          <w:tcPr>
            <w:tcW w:w="1531" w:type="dxa"/>
            <w:shd w:val="clear" w:color="auto" w:fill="auto"/>
            <w:vAlign w:val="center"/>
          </w:tcPr>
          <w:p>
            <w:pPr>
              <w:spacing w:line="300" w:lineRule="exact"/>
              <w:jc w:val="left"/>
              <w:rPr>
                <w:rFonts w:ascii="方正书宋_GBK" w:eastAsia="方正书宋_GBK"/>
              </w:rPr>
            </w:pPr>
            <w:r>
              <w:rPr>
                <w:rFonts w:ascii="方正书宋_GBK" w:eastAsia="方正书宋_GBK"/>
              </w:rPr>
              <w:t>A020201</w:t>
            </w:r>
          </w:p>
        </w:tc>
        <w:tc>
          <w:tcPr>
            <w:tcW w:w="709"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包</w:t>
            </w:r>
          </w:p>
        </w:tc>
        <w:tc>
          <w:tcPr>
            <w:tcW w:w="907" w:type="dxa"/>
            <w:shd w:val="clear" w:color="auto" w:fill="auto"/>
            <w:vAlign w:val="center"/>
          </w:tcPr>
          <w:p>
            <w:pPr>
              <w:spacing w:line="300" w:lineRule="exact"/>
              <w:jc w:val="right"/>
              <w:rPr>
                <w:rFonts w:ascii="方正书宋_GBK" w:eastAsia="方正书宋_GBK"/>
              </w:rPr>
            </w:pPr>
            <w:r>
              <w:rPr>
                <w:rFonts w:ascii="方正书宋_GBK" w:eastAsia="方正书宋_GBK"/>
              </w:rPr>
              <w:t>20</w:t>
            </w:r>
          </w:p>
        </w:tc>
        <w:tc>
          <w:tcPr>
            <w:tcW w:w="907" w:type="dxa"/>
            <w:shd w:val="clear" w:color="auto" w:fill="auto"/>
            <w:vAlign w:val="center"/>
          </w:tcPr>
          <w:p>
            <w:pPr>
              <w:spacing w:line="300" w:lineRule="exact"/>
              <w:jc w:val="right"/>
              <w:rPr>
                <w:rFonts w:ascii="方正书宋_GBK" w:eastAsia="方正书宋_GBK"/>
              </w:rPr>
            </w:pPr>
            <w:r>
              <w:rPr>
                <w:rFonts w:hint="eastAsia" w:ascii="方正书宋_GBK" w:eastAsia="方正书宋_GBK"/>
              </w:rPr>
              <w:t>0.025</w:t>
            </w:r>
          </w:p>
        </w:tc>
        <w:tc>
          <w:tcPr>
            <w:tcW w:w="1134" w:type="dxa"/>
            <w:shd w:val="clear" w:color="auto" w:fill="auto"/>
            <w:vAlign w:val="center"/>
          </w:tcPr>
          <w:p>
            <w:pPr>
              <w:spacing w:line="300" w:lineRule="exact"/>
              <w:jc w:val="right"/>
              <w:rPr>
                <w:rFonts w:ascii="方正书宋_GBK" w:eastAsia="方正书宋_GBK"/>
              </w:rPr>
            </w:pPr>
            <w:r>
              <w:rPr>
                <w:rFonts w:hint="eastAsia" w:ascii="方正书宋_GBK" w:eastAsia="方正书宋_GBK"/>
              </w:rPr>
              <w:t>0.05</w:t>
            </w:r>
          </w:p>
        </w:tc>
        <w:tc>
          <w:tcPr>
            <w:tcW w:w="1134" w:type="dxa"/>
            <w:shd w:val="clear" w:color="auto" w:fill="auto"/>
            <w:vAlign w:val="center"/>
          </w:tcPr>
          <w:p>
            <w:pPr>
              <w:spacing w:line="300" w:lineRule="exact"/>
              <w:jc w:val="right"/>
              <w:rPr>
                <w:rFonts w:ascii="方正书宋_GBK" w:eastAsia="方正书宋_GBK"/>
              </w:rPr>
            </w:pPr>
            <w:r>
              <w:rPr>
                <w:rFonts w:hint="eastAsia" w:ascii="方正书宋_GBK" w:eastAsia="方正书宋_GBK"/>
              </w:rPr>
              <w:t>0.05</w:t>
            </w: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98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人大专门委员会活动经费</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4</w:t>
            </w:r>
            <w:r>
              <w:rPr>
                <w:rFonts w:hint="eastAsia" w:ascii="方正书宋_GBK" w:eastAsia="方正书宋_GBK"/>
              </w:rPr>
              <w:t>.</w:t>
            </w:r>
            <w:r>
              <w:rPr>
                <w:rFonts w:ascii="方正书宋_GBK" w:eastAsia="方正书宋_GBK"/>
              </w:rPr>
              <w:t>25</w:t>
            </w:r>
          </w:p>
        </w:tc>
        <w:tc>
          <w:tcPr>
            <w:tcW w:w="153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复印机</w:t>
            </w:r>
          </w:p>
        </w:tc>
        <w:tc>
          <w:tcPr>
            <w:tcW w:w="1531" w:type="dxa"/>
            <w:shd w:val="clear" w:color="auto" w:fill="auto"/>
            <w:vAlign w:val="center"/>
          </w:tcPr>
          <w:p>
            <w:pPr>
              <w:spacing w:line="300" w:lineRule="exact"/>
              <w:jc w:val="left"/>
              <w:rPr>
                <w:rFonts w:ascii="方正书宋_GBK" w:eastAsia="方正书宋_GBK"/>
              </w:rPr>
            </w:pPr>
            <w:r>
              <w:rPr>
                <w:rFonts w:ascii="方正书宋_GBK" w:eastAsia="方正书宋_GBK"/>
              </w:rPr>
              <w:t>A020201</w:t>
            </w:r>
          </w:p>
        </w:tc>
        <w:tc>
          <w:tcPr>
            <w:tcW w:w="709"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包</w:t>
            </w:r>
          </w:p>
        </w:tc>
        <w:tc>
          <w:tcPr>
            <w:tcW w:w="907" w:type="dxa"/>
            <w:shd w:val="clear" w:color="auto" w:fill="auto"/>
            <w:vAlign w:val="center"/>
          </w:tcPr>
          <w:p>
            <w:pPr>
              <w:spacing w:line="300" w:lineRule="exact"/>
              <w:jc w:val="right"/>
              <w:rPr>
                <w:rFonts w:ascii="方正书宋_GBK" w:eastAsia="方正书宋_GBK"/>
              </w:rPr>
            </w:pPr>
            <w:r>
              <w:rPr>
                <w:rFonts w:ascii="方正书宋_GBK" w:eastAsia="方正书宋_GBK"/>
              </w:rPr>
              <w:t>20</w:t>
            </w:r>
          </w:p>
        </w:tc>
        <w:tc>
          <w:tcPr>
            <w:tcW w:w="907" w:type="dxa"/>
            <w:shd w:val="clear" w:color="auto" w:fill="auto"/>
            <w:vAlign w:val="center"/>
          </w:tcPr>
          <w:p>
            <w:pPr>
              <w:spacing w:line="300" w:lineRule="exact"/>
              <w:jc w:val="right"/>
              <w:rPr>
                <w:rFonts w:ascii="方正书宋_GBK" w:eastAsia="方正书宋_GBK"/>
              </w:rPr>
            </w:pPr>
            <w:r>
              <w:rPr>
                <w:rFonts w:hint="eastAsia" w:ascii="方正书宋_GBK" w:eastAsia="方正书宋_GBK"/>
              </w:rPr>
              <w:t>0.025</w:t>
            </w:r>
          </w:p>
        </w:tc>
        <w:tc>
          <w:tcPr>
            <w:tcW w:w="1134" w:type="dxa"/>
            <w:shd w:val="clear" w:color="auto" w:fill="auto"/>
            <w:vAlign w:val="center"/>
          </w:tcPr>
          <w:p>
            <w:pPr>
              <w:spacing w:line="300" w:lineRule="exact"/>
              <w:jc w:val="right"/>
              <w:rPr>
                <w:rFonts w:ascii="方正书宋_GBK" w:eastAsia="方正书宋_GBK"/>
              </w:rPr>
            </w:pPr>
            <w:r>
              <w:rPr>
                <w:rFonts w:hint="eastAsia" w:ascii="方正书宋_GBK" w:eastAsia="方正书宋_GBK"/>
              </w:rPr>
              <w:t>0.05</w:t>
            </w:r>
          </w:p>
        </w:tc>
        <w:tc>
          <w:tcPr>
            <w:tcW w:w="1134" w:type="dxa"/>
            <w:shd w:val="clear" w:color="auto" w:fill="auto"/>
            <w:vAlign w:val="center"/>
          </w:tcPr>
          <w:p>
            <w:pPr>
              <w:spacing w:line="300" w:lineRule="exact"/>
              <w:jc w:val="right"/>
              <w:rPr>
                <w:rFonts w:ascii="方正书宋_GBK" w:eastAsia="方正书宋_GBK"/>
              </w:rPr>
            </w:pPr>
            <w:r>
              <w:rPr>
                <w:rFonts w:hint="eastAsia" w:ascii="方正书宋_GBK" w:eastAsia="方正书宋_GBK"/>
              </w:rPr>
              <w:t>0.05</w:t>
            </w: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人大专项办公经费</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21</w:t>
            </w:r>
            <w:r>
              <w:rPr>
                <w:rFonts w:hint="eastAsia" w:ascii="方正书宋_GBK" w:eastAsia="方正书宋_GBK"/>
              </w:rPr>
              <w:t>.</w:t>
            </w:r>
            <w:r>
              <w:rPr>
                <w:rFonts w:ascii="方正书宋_GBK" w:eastAsia="方正书宋_GBK"/>
              </w:rPr>
              <w:t>4735</w:t>
            </w:r>
          </w:p>
        </w:tc>
        <w:tc>
          <w:tcPr>
            <w:tcW w:w="153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台式计算机</w:t>
            </w:r>
          </w:p>
        </w:tc>
        <w:tc>
          <w:tcPr>
            <w:tcW w:w="1531" w:type="dxa"/>
            <w:shd w:val="clear" w:color="auto" w:fill="auto"/>
            <w:vAlign w:val="center"/>
          </w:tcPr>
          <w:p>
            <w:pPr>
              <w:spacing w:line="300" w:lineRule="exact"/>
              <w:jc w:val="left"/>
              <w:rPr>
                <w:rFonts w:ascii="方正书宋_GBK" w:eastAsia="方正书宋_GBK"/>
              </w:rPr>
            </w:pPr>
            <w:r>
              <w:rPr>
                <w:rFonts w:ascii="方正书宋_GBK" w:eastAsia="方正书宋_GBK"/>
              </w:rPr>
              <w:t>A02010104</w:t>
            </w:r>
          </w:p>
        </w:tc>
        <w:tc>
          <w:tcPr>
            <w:tcW w:w="709" w:type="dxa"/>
            <w:shd w:val="clear" w:color="auto" w:fill="auto"/>
            <w:vAlign w:val="center"/>
          </w:tcPr>
          <w:p>
            <w:pPr>
              <w:spacing w:line="300" w:lineRule="exact"/>
              <w:jc w:val="center"/>
              <w:rPr>
                <w:rFonts w:ascii="方正书宋_GBK" w:eastAsia="方正书宋_GBK"/>
              </w:rPr>
            </w:pPr>
            <w:r>
              <w:rPr>
                <w:rFonts w:ascii="方正书宋_GBK" w:eastAsia="方正书宋_GBK"/>
              </w:rPr>
              <w:t>1</w:t>
            </w:r>
          </w:p>
        </w:tc>
        <w:tc>
          <w:tcPr>
            <w:tcW w:w="907" w:type="dxa"/>
            <w:shd w:val="clear" w:color="auto" w:fill="auto"/>
            <w:vAlign w:val="center"/>
          </w:tcPr>
          <w:p>
            <w:pPr>
              <w:spacing w:line="300" w:lineRule="exact"/>
              <w:jc w:val="right"/>
              <w:rPr>
                <w:rFonts w:ascii="方正书宋_GBK" w:eastAsia="方正书宋_GBK"/>
              </w:rPr>
            </w:pPr>
            <w:r>
              <w:rPr>
                <w:rFonts w:ascii="方正书宋_GBK" w:eastAsia="方正书宋_GBK"/>
              </w:rPr>
              <w:t>2</w:t>
            </w:r>
          </w:p>
        </w:tc>
        <w:tc>
          <w:tcPr>
            <w:tcW w:w="907" w:type="dxa"/>
            <w:shd w:val="clear" w:color="auto" w:fill="auto"/>
            <w:vAlign w:val="center"/>
          </w:tcPr>
          <w:p>
            <w:pPr>
              <w:spacing w:line="300" w:lineRule="exact"/>
              <w:jc w:val="right"/>
              <w:rPr>
                <w:rFonts w:ascii="方正书宋_GBK" w:eastAsia="方正书宋_GBK"/>
              </w:rPr>
            </w:pPr>
            <w:r>
              <w:rPr>
                <w:rFonts w:hint="eastAsia" w:ascii="方正书宋_GBK" w:eastAsia="方正书宋_GBK"/>
              </w:rPr>
              <w:t>0.45</w:t>
            </w:r>
          </w:p>
        </w:tc>
        <w:tc>
          <w:tcPr>
            <w:tcW w:w="1134" w:type="dxa"/>
            <w:shd w:val="clear" w:color="auto" w:fill="auto"/>
            <w:vAlign w:val="center"/>
          </w:tcPr>
          <w:p>
            <w:pPr>
              <w:spacing w:line="300" w:lineRule="exact"/>
              <w:jc w:val="right"/>
              <w:rPr>
                <w:rFonts w:ascii="方正书宋_GBK" w:eastAsia="方正书宋_GBK"/>
              </w:rPr>
            </w:pPr>
            <w:r>
              <w:rPr>
                <w:rFonts w:hint="eastAsia" w:ascii="方正书宋_GBK" w:eastAsia="方正书宋_GBK"/>
              </w:rPr>
              <w:t>0.9</w:t>
            </w:r>
          </w:p>
        </w:tc>
        <w:tc>
          <w:tcPr>
            <w:tcW w:w="1134" w:type="dxa"/>
            <w:shd w:val="clear" w:color="auto" w:fill="auto"/>
            <w:vAlign w:val="center"/>
          </w:tcPr>
          <w:p>
            <w:pPr>
              <w:spacing w:line="300" w:lineRule="exact"/>
              <w:jc w:val="right"/>
              <w:rPr>
                <w:rFonts w:ascii="方正书宋_GBK" w:eastAsia="方正书宋_GBK"/>
              </w:rPr>
            </w:pPr>
            <w:r>
              <w:rPr>
                <w:rFonts w:hint="eastAsia" w:ascii="方正书宋_GBK" w:eastAsia="方正书宋_GBK"/>
              </w:rPr>
              <w:t>0.9</w:t>
            </w: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人大专项办公经费</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21</w:t>
            </w:r>
            <w:r>
              <w:rPr>
                <w:rFonts w:hint="eastAsia" w:ascii="方正书宋_GBK" w:eastAsia="方正书宋_GBK"/>
              </w:rPr>
              <w:t>.</w:t>
            </w:r>
            <w:r>
              <w:rPr>
                <w:rFonts w:ascii="方正书宋_GBK" w:eastAsia="方正书宋_GBK"/>
              </w:rPr>
              <w:t>4735</w:t>
            </w:r>
          </w:p>
        </w:tc>
        <w:tc>
          <w:tcPr>
            <w:tcW w:w="153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多功能一体机</w:t>
            </w:r>
          </w:p>
        </w:tc>
        <w:tc>
          <w:tcPr>
            <w:tcW w:w="1531" w:type="dxa"/>
            <w:shd w:val="clear" w:color="auto" w:fill="auto"/>
            <w:vAlign w:val="center"/>
          </w:tcPr>
          <w:p>
            <w:pPr>
              <w:spacing w:line="300" w:lineRule="exact"/>
              <w:jc w:val="left"/>
              <w:rPr>
                <w:rFonts w:ascii="方正书宋_GBK" w:eastAsia="方正书宋_GBK"/>
              </w:rPr>
            </w:pPr>
            <w:r>
              <w:rPr>
                <w:rFonts w:ascii="方正书宋_GBK" w:eastAsia="方正书宋_GBK"/>
              </w:rPr>
              <w:t>A020204</w:t>
            </w:r>
          </w:p>
        </w:tc>
        <w:tc>
          <w:tcPr>
            <w:tcW w:w="709" w:type="dxa"/>
            <w:shd w:val="clear" w:color="auto" w:fill="auto"/>
            <w:vAlign w:val="center"/>
          </w:tcPr>
          <w:p>
            <w:pPr>
              <w:spacing w:line="300" w:lineRule="exact"/>
              <w:jc w:val="center"/>
              <w:rPr>
                <w:rFonts w:ascii="方正书宋_GBK" w:eastAsia="方正书宋_GBK"/>
              </w:rPr>
            </w:pPr>
            <w:r>
              <w:rPr>
                <w:rFonts w:ascii="方正书宋_GBK" w:eastAsia="方正书宋_GBK"/>
              </w:rPr>
              <w:t>1</w:t>
            </w:r>
          </w:p>
        </w:tc>
        <w:tc>
          <w:tcPr>
            <w:tcW w:w="907" w:type="dxa"/>
            <w:shd w:val="clear" w:color="auto" w:fill="auto"/>
            <w:vAlign w:val="center"/>
          </w:tcPr>
          <w:p>
            <w:pPr>
              <w:spacing w:line="300" w:lineRule="exact"/>
              <w:jc w:val="right"/>
              <w:rPr>
                <w:rFonts w:ascii="方正书宋_GBK" w:eastAsia="方正书宋_GBK"/>
              </w:rPr>
            </w:pPr>
            <w:r>
              <w:rPr>
                <w:rFonts w:ascii="方正书宋_GBK" w:eastAsia="方正书宋_GBK"/>
              </w:rPr>
              <w:t>1</w:t>
            </w:r>
          </w:p>
        </w:tc>
        <w:tc>
          <w:tcPr>
            <w:tcW w:w="907" w:type="dxa"/>
            <w:shd w:val="clear" w:color="auto" w:fill="auto"/>
            <w:vAlign w:val="center"/>
          </w:tcPr>
          <w:p>
            <w:pPr>
              <w:spacing w:line="300" w:lineRule="exact"/>
              <w:jc w:val="right"/>
              <w:rPr>
                <w:rFonts w:ascii="方正书宋_GBK" w:eastAsia="方正书宋_GBK"/>
              </w:rPr>
            </w:pPr>
            <w:r>
              <w:rPr>
                <w:rFonts w:hint="eastAsia" w:ascii="方正书宋_GBK" w:eastAsia="方正书宋_GBK"/>
              </w:rPr>
              <w:t>0.4</w:t>
            </w:r>
          </w:p>
        </w:tc>
        <w:tc>
          <w:tcPr>
            <w:tcW w:w="1134" w:type="dxa"/>
            <w:shd w:val="clear" w:color="auto" w:fill="auto"/>
            <w:vAlign w:val="center"/>
          </w:tcPr>
          <w:p>
            <w:pPr>
              <w:spacing w:line="300" w:lineRule="exact"/>
              <w:jc w:val="right"/>
              <w:rPr>
                <w:rFonts w:ascii="方正书宋_GBK" w:eastAsia="方正书宋_GBK"/>
              </w:rPr>
            </w:pPr>
            <w:r>
              <w:rPr>
                <w:rFonts w:hint="eastAsia" w:ascii="方正书宋_GBK" w:eastAsia="方正书宋_GBK"/>
              </w:rPr>
              <w:t>0.4</w:t>
            </w:r>
          </w:p>
        </w:tc>
        <w:tc>
          <w:tcPr>
            <w:tcW w:w="1134" w:type="dxa"/>
            <w:shd w:val="clear" w:color="auto" w:fill="auto"/>
            <w:vAlign w:val="center"/>
          </w:tcPr>
          <w:p>
            <w:pPr>
              <w:spacing w:line="300" w:lineRule="exact"/>
              <w:jc w:val="right"/>
              <w:rPr>
                <w:rFonts w:ascii="方正书宋_GBK" w:eastAsia="方正书宋_GBK"/>
              </w:rPr>
            </w:pPr>
            <w:r>
              <w:rPr>
                <w:rFonts w:hint="eastAsia" w:ascii="方正书宋_GBK" w:eastAsia="方正书宋_GBK"/>
              </w:rPr>
              <w:t>0.4</w:t>
            </w: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人大专项办公经费</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21</w:t>
            </w:r>
            <w:r>
              <w:rPr>
                <w:rFonts w:hint="eastAsia" w:ascii="方正书宋_GBK" w:eastAsia="方正书宋_GBK"/>
              </w:rPr>
              <w:t>.</w:t>
            </w:r>
            <w:r>
              <w:rPr>
                <w:rFonts w:ascii="方正书宋_GBK" w:eastAsia="方正书宋_GBK"/>
              </w:rPr>
              <w:t>4735</w:t>
            </w:r>
          </w:p>
        </w:tc>
        <w:tc>
          <w:tcPr>
            <w:tcW w:w="153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空调机</w:t>
            </w:r>
          </w:p>
        </w:tc>
        <w:tc>
          <w:tcPr>
            <w:tcW w:w="1531" w:type="dxa"/>
            <w:shd w:val="clear" w:color="auto" w:fill="auto"/>
            <w:vAlign w:val="center"/>
          </w:tcPr>
          <w:p>
            <w:pPr>
              <w:spacing w:line="300" w:lineRule="exact"/>
              <w:jc w:val="left"/>
              <w:rPr>
                <w:rFonts w:ascii="方正书宋_GBK" w:eastAsia="方正书宋_GBK"/>
              </w:rPr>
            </w:pPr>
            <w:r>
              <w:rPr>
                <w:rFonts w:ascii="方正书宋_GBK" w:eastAsia="方正书宋_GBK"/>
              </w:rPr>
              <w:t>A0206180203</w:t>
            </w:r>
          </w:p>
        </w:tc>
        <w:tc>
          <w:tcPr>
            <w:tcW w:w="709" w:type="dxa"/>
            <w:shd w:val="clear" w:color="auto" w:fill="auto"/>
            <w:vAlign w:val="center"/>
          </w:tcPr>
          <w:p>
            <w:pPr>
              <w:spacing w:line="300" w:lineRule="exact"/>
              <w:jc w:val="center"/>
              <w:rPr>
                <w:rFonts w:ascii="方正书宋_GBK" w:eastAsia="方正书宋_GBK"/>
              </w:rPr>
            </w:pPr>
            <w:r>
              <w:rPr>
                <w:rFonts w:ascii="方正书宋_GBK" w:eastAsia="方正书宋_GBK"/>
              </w:rPr>
              <w:t>1</w:t>
            </w:r>
          </w:p>
        </w:tc>
        <w:tc>
          <w:tcPr>
            <w:tcW w:w="907" w:type="dxa"/>
            <w:shd w:val="clear" w:color="auto" w:fill="auto"/>
            <w:vAlign w:val="center"/>
          </w:tcPr>
          <w:p>
            <w:pPr>
              <w:spacing w:line="300" w:lineRule="exact"/>
              <w:jc w:val="right"/>
              <w:rPr>
                <w:rFonts w:ascii="方正书宋_GBK" w:eastAsia="方正书宋_GBK"/>
              </w:rPr>
            </w:pPr>
            <w:r>
              <w:rPr>
                <w:rFonts w:ascii="方正书宋_GBK" w:eastAsia="方正书宋_GBK"/>
              </w:rPr>
              <w:t>1</w:t>
            </w:r>
          </w:p>
        </w:tc>
        <w:tc>
          <w:tcPr>
            <w:tcW w:w="907" w:type="dxa"/>
            <w:shd w:val="clear" w:color="auto" w:fill="auto"/>
            <w:vAlign w:val="center"/>
          </w:tcPr>
          <w:p>
            <w:pPr>
              <w:spacing w:line="300" w:lineRule="exact"/>
              <w:jc w:val="right"/>
              <w:rPr>
                <w:rFonts w:ascii="方正书宋_GBK" w:eastAsia="方正书宋_GBK"/>
              </w:rPr>
            </w:pPr>
            <w:r>
              <w:rPr>
                <w:rFonts w:hint="eastAsia" w:ascii="方正书宋_GBK" w:eastAsia="方正书宋_GBK"/>
              </w:rPr>
              <w:t>0.45</w:t>
            </w:r>
          </w:p>
        </w:tc>
        <w:tc>
          <w:tcPr>
            <w:tcW w:w="1134" w:type="dxa"/>
            <w:shd w:val="clear" w:color="auto" w:fill="auto"/>
            <w:vAlign w:val="center"/>
          </w:tcPr>
          <w:p>
            <w:pPr>
              <w:spacing w:line="300" w:lineRule="exact"/>
              <w:jc w:val="right"/>
              <w:rPr>
                <w:rFonts w:ascii="方正书宋_GBK" w:eastAsia="方正书宋_GBK"/>
              </w:rPr>
            </w:pPr>
            <w:r>
              <w:rPr>
                <w:rFonts w:hint="eastAsia" w:ascii="方正书宋_GBK" w:eastAsia="方正书宋_GBK"/>
              </w:rPr>
              <w:t>0.45</w:t>
            </w:r>
          </w:p>
        </w:tc>
        <w:tc>
          <w:tcPr>
            <w:tcW w:w="1134" w:type="dxa"/>
            <w:shd w:val="clear" w:color="auto" w:fill="auto"/>
            <w:vAlign w:val="center"/>
          </w:tcPr>
          <w:p>
            <w:pPr>
              <w:spacing w:line="300" w:lineRule="exact"/>
              <w:jc w:val="right"/>
              <w:rPr>
                <w:rFonts w:ascii="方正书宋_GBK" w:eastAsia="方正书宋_GBK"/>
              </w:rPr>
            </w:pPr>
            <w:r>
              <w:rPr>
                <w:rFonts w:hint="eastAsia" w:ascii="方正书宋_GBK" w:eastAsia="方正书宋_GBK"/>
              </w:rPr>
              <w:t>0.45</w:t>
            </w: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98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人大专项办公经费</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21</w:t>
            </w:r>
            <w:r>
              <w:rPr>
                <w:rFonts w:hint="eastAsia" w:ascii="方正书宋_GBK" w:eastAsia="方正书宋_GBK"/>
              </w:rPr>
              <w:t>.</w:t>
            </w:r>
            <w:r>
              <w:rPr>
                <w:rFonts w:ascii="方正书宋_GBK" w:eastAsia="方正书宋_GBK"/>
              </w:rPr>
              <w:t>4735</w:t>
            </w:r>
          </w:p>
        </w:tc>
        <w:tc>
          <w:tcPr>
            <w:tcW w:w="153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其他家具用具</w:t>
            </w:r>
          </w:p>
        </w:tc>
        <w:tc>
          <w:tcPr>
            <w:tcW w:w="1531" w:type="dxa"/>
            <w:shd w:val="clear" w:color="auto" w:fill="auto"/>
            <w:vAlign w:val="center"/>
          </w:tcPr>
          <w:p>
            <w:pPr>
              <w:spacing w:line="300" w:lineRule="exact"/>
              <w:jc w:val="left"/>
              <w:rPr>
                <w:rFonts w:ascii="方正书宋_GBK" w:eastAsia="方正书宋_GBK"/>
              </w:rPr>
            </w:pPr>
            <w:r>
              <w:rPr>
                <w:rFonts w:ascii="方正书宋_GBK" w:eastAsia="方正书宋_GBK"/>
              </w:rPr>
              <w:t>A0699</w:t>
            </w:r>
          </w:p>
        </w:tc>
        <w:tc>
          <w:tcPr>
            <w:tcW w:w="709" w:type="dxa"/>
            <w:shd w:val="clear" w:color="auto" w:fill="auto"/>
            <w:vAlign w:val="center"/>
          </w:tcPr>
          <w:p>
            <w:pPr>
              <w:spacing w:line="300" w:lineRule="exact"/>
              <w:jc w:val="center"/>
              <w:rPr>
                <w:rFonts w:ascii="方正书宋_GBK" w:eastAsia="方正书宋_GBK"/>
              </w:rPr>
            </w:pPr>
            <w:r>
              <w:rPr>
                <w:rFonts w:ascii="方正书宋_GBK" w:eastAsia="方正书宋_GBK"/>
              </w:rPr>
              <w:t>1</w:t>
            </w:r>
          </w:p>
        </w:tc>
        <w:tc>
          <w:tcPr>
            <w:tcW w:w="907" w:type="dxa"/>
            <w:shd w:val="clear" w:color="auto" w:fill="auto"/>
            <w:vAlign w:val="center"/>
          </w:tcPr>
          <w:p>
            <w:pPr>
              <w:spacing w:line="300" w:lineRule="exact"/>
              <w:jc w:val="right"/>
              <w:rPr>
                <w:rFonts w:ascii="方正书宋_GBK" w:eastAsia="方正书宋_GBK"/>
              </w:rPr>
            </w:pPr>
            <w:r>
              <w:rPr>
                <w:rFonts w:ascii="方正书宋_GBK" w:eastAsia="方正书宋_GBK"/>
              </w:rPr>
              <w:t>1</w:t>
            </w:r>
          </w:p>
        </w:tc>
        <w:tc>
          <w:tcPr>
            <w:tcW w:w="907" w:type="dxa"/>
            <w:shd w:val="clear" w:color="auto" w:fill="auto"/>
            <w:vAlign w:val="center"/>
          </w:tcPr>
          <w:p>
            <w:pPr>
              <w:spacing w:line="300" w:lineRule="exact"/>
              <w:jc w:val="right"/>
              <w:rPr>
                <w:rFonts w:ascii="方正书宋_GBK" w:eastAsia="方正书宋_GBK"/>
              </w:rPr>
            </w:pPr>
            <w:r>
              <w:rPr>
                <w:rFonts w:ascii="方正书宋_GBK" w:eastAsia="方正书宋_GBK"/>
              </w:rPr>
              <w:t>1</w:t>
            </w:r>
            <w:r>
              <w:rPr>
                <w:rFonts w:hint="eastAsia" w:ascii="方正书宋_GBK" w:eastAsia="方正书宋_GBK"/>
              </w:rPr>
              <w:t>.</w:t>
            </w:r>
            <w:r>
              <w:rPr>
                <w:rFonts w:ascii="方正书宋_GBK" w:eastAsia="方正书宋_GBK"/>
              </w:rPr>
              <w:t>25</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1</w:t>
            </w:r>
            <w:r>
              <w:rPr>
                <w:rFonts w:hint="eastAsia" w:ascii="方正书宋_GBK" w:eastAsia="方正书宋_GBK"/>
              </w:rPr>
              <w:t>.</w:t>
            </w:r>
            <w:r>
              <w:rPr>
                <w:rFonts w:ascii="方正书宋_GBK" w:eastAsia="方正书宋_GBK"/>
              </w:rPr>
              <w:t>25</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1</w:t>
            </w:r>
            <w:r>
              <w:rPr>
                <w:rFonts w:hint="eastAsia" w:ascii="方正书宋_GBK" w:eastAsia="方正书宋_GBK"/>
              </w:rPr>
              <w:t>.</w:t>
            </w:r>
            <w:r>
              <w:rPr>
                <w:rFonts w:ascii="方正书宋_GBK" w:eastAsia="方正书宋_GBK"/>
              </w:rPr>
              <w:t>25</w:t>
            </w: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r>
    </w:tbl>
    <w:p>
      <w:pPr>
        <w:autoSpaceDE w:val="0"/>
        <w:autoSpaceDN w:val="0"/>
        <w:adjustRightInd w:val="0"/>
        <w:ind w:firstLine="640" w:firstLineChars="200"/>
        <w:jc w:val="left"/>
        <w:rPr>
          <w:rFonts w:ascii="黑体" w:hAnsi="黑体" w:eastAsia="黑体" w:cs="Times New Roman"/>
          <w:sz w:val="32"/>
          <w:szCs w:val="32"/>
        </w:rPr>
      </w:pPr>
    </w:p>
    <w:p>
      <w:p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Times New Roman"/>
          <w:sz w:val="32"/>
          <w:szCs w:val="32"/>
        </w:rPr>
        <w:t>七、国有资产信息</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隆尧县人大机关2020</w:t>
      </w:r>
      <w:r>
        <w:rPr>
          <w:rFonts w:ascii="Times New Roman" w:hAnsi="Times New Roman" w:eastAsia="仿宋" w:cs="Times New Roman"/>
          <w:sz w:val="32"/>
          <w:szCs w:val="32"/>
        </w:rPr>
        <w:t>年末固定资产金额为</w:t>
      </w:r>
      <w:r>
        <w:rPr>
          <w:rFonts w:hint="eastAsia" w:ascii="Times New Roman" w:hAnsi="Times New Roman" w:eastAsia="仿宋" w:cs="Times New Roman"/>
          <w:sz w:val="32"/>
          <w:szCs w:val="32"/>
        </w:rPr>
        <w:t>57.98</w:t>
      </w:r>
      <w:r>
        <w:rPr>
          <w:rFonts w:ascii="Times New Roman" w:hAnsi="Times New Roman" w:eastAsia="仿宋" w:cs="Times New Roman"/>
          <w:sz w:val="32"/>
          <w:szCs w:val="32"/>
        </w:rPr>
        <w:t>万元（详见下表），本年度拟购置固定资产</w:t>
      </w:r>
      <w:r>
        <w:rPr>
          <w:rFonts w:hint="eastAsia" w:ascii="Times New Roman" w:hAnsi="Times New Roman" w:eastAsia="仿宋" w:cs="Times New Roman"/>
          <w:sz w:val="32"/>
          <w:szCs w:val="32"/>
        </w:rPr>
        <w:t>总额为3</w:t>
      </w:r>
      <w:r>
        <w:rPr>
          <w:rFonts w:ascii="Times New Roman" w:hAnsi="Times New Roman" w:eastAsia="仿宋" w:cs="Times New Roman"/>
          <w:sz w:val="32"/>
          <w:szCs w:val="32"/>
        </w:rPr>
        <w:t>万元，主要为计算机、</w:t>
      </w:r>
      <w:r>
        <w:rPr>
          <w:rFonts w:hint="eastAsia" w:ascii="Times New Roman" w:hAnsi="Times New Roman" w:eastAsia="仿宋" w:cs="Times New Roman"/>
          <w:sz w:val="32"/>
          <w:szCs w:val="32"/>
        </w:rPr>
        <w:t>桌椅</w:t>
      </w:r>
      <w:r>
        <w:rPr>
          <w:rFonts w:ascii="Times New Roman" w:hAnsi="Times New Roman" w:eastAsia="仿宋" w:cs="Times New Roman"/>
          <w:sz w:val="32"/>
          <w:szCs w:val="32"/>
        </w:rPr>
        <w:t>等，已列入政府采购预算表</w:t>
      </w:r>
      <w:r>
        <w:rPr>
          <w:rFonts w:hint="eastAsia" w:ascii="Times New Roman" w:hAnsi="Times New Roman" w:eastAsia="仿宋" w:cs="Times New Roman"/>
          <w:sz w:val="32"/>
          <w:szCs w:val="32"/>
        </w:rPr>
        <w:t>，详见政府采购预算表。</w:t>
      </w:r>
    </w:p>
    <w:tbl>
      <w:tblPr>
        <w:tblStyle w:val="7"/>
        <w:tblW w:w="13482" w:type="dxa"/>
        <w:tblInd w:w="93" w:type="dxa"/>
        <w:tblLayout w:type="fixed"/>
        <w:tblCellMar>
          <w:top w:w="0" w:type="dxa"/>
          <w:left w:w="108" w:type="dxa"/>
          <w:bottom w:w="0" w:type="dxa"/>
          <w:right w:w="108" w:type="dxa"/>
        </w:tblCellMar>
      </w:tblPr>
      <w:tblGrid>
        <w:gridCol w:w="5224"/>
        <w:gridCol w:w="3155"/>
        <w:gridCol w:w="5103"/>
      </w:tblGrid>
      <w:tr>
        <w:tblPrEx>
          <w:tblCellMar>
            <w:top w:w="0" w:type="dxa"/>
            <w:left w:w="108" w:type="dxa"/>
            <w:bottom w:w="0" w:type="dxa"/>
            <w:right w:w="108" w:type="dxa"/>
          </w:tblCellMar>
        </w:tblPrEx>
        <w:trPr>
          <w:trHeight w:val="705" w:hRule="atLeast"/>
        </w:trPr>
        <w:tc>
          <w:tcPr>
            <w:tcW w:w="13482" w:type="dxa"/>
            <w:gridSpan w:val="3"/>
            <w:tcBorders>
              <w:top w:val="nil"/>
              <w:left w:val="nil"/>
              <w:bottom w:val="nil"/>
              <w:right w:val="nil"/>
            </w:tcBorders>
            <w:vAlign w:val="center"/>
          </w:tcPr>
          <w:p>
            <w:pPr>
              <w:widowControl/>
              <w:jc w:val="center"/>
              <w:rPr>
                <w:rFonts w:ascii="宋体" w:hAnsi="宋体" w:cs="宋体"/>
                <w:b/>
                <w:bCs/>
                <w:kern w:val="0"/>
                <w:sz w:val="32"/>
                <w:szCs w:val="32"/>
              </w:rPr>
            </w:pPr>
            <w:r>
              <w:rPr>
                <w:rFonts w:hint="eastAsia" w:ascii="宋体" w:hAnsi="宋体" w:cs="宋体"/>
                <w:b/>
                <w:bCs/>
                <w:kern w:val="0"/>
                <w:sz w:val="32"/>
                <w:szCs w:val="32"/>
              </w:rPr>
              <w:t>隆尧县人大固定资产占用情况表</w:t>
            </w:r>
          </w:p>
        </w:tc>
      </w:tr>
      <w:tr>
        <w:tblPrEx>
          <w:tblCellMar>
            <w:top w:w="0" w:type="dxa"/>
            <w:left w:w="108" w:type="dxa"/>
            <w:bottom w:w="0" w:type="dxa"/>
            <w:right w:w="108" w:type="dxa"/>
          </w:tblCellMar>
        </w:tblPrEx>
        <w:trPr>
          <w:trHeight w:val="510" w:hRule="atLeast"/>
        </w:trPr>
        <w:tc>
          <w:tcPr>
            <w:tcW w:w="8379" w:type="dxa"/>
            <w:gridSpan w:val="2"/>
            <w:tcBorders>
              <w:top w:val="nil"/>
              <w:left w:val="nil"/>
              <w:bottom w:val="nil"/>
              <w:right w:val="nil"/>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编制部门：</w:t>
            </w:r>
            <w:r>
              <w:rPr>
                <w:rFonts w:hint="eastAsia" w:ascii="Times New Roman" w:hAnsi="Times New Roman" w:eastAsia="仿宋" w:cs="Times New Roman"/>
                <w:kern w:val="0"/>
                <w:sz w:val="22"/>
              </w:rPr>
              <w:t>隆尧县人大</w:t>
            </w:r>
          </w:p>
        </w:tc>
        <w:tc>
          <w:tcPr>
            <w:tcW w:w="5103" w:type="dxa"/>
            <w:tcBorders>
              <w:top w:val="nil"/>
              <w:left w:val="nil"/>
              <w:bottom w:val="nil"/>
              <w:right w:val="nil"/>
            </w:tcBorders>
            <w:vAlign w:val="center"/>
          </w:tcPr>
          <w:p>
            <w:pPr>
              <w:widowControl/>
              <w:ind w:firstLine="1320" w:firstLineChars="600"/>
              <w:jc w:val="left"/>
              <w:rPr>
                <w:rFonts w:ascii="Times New Roman" w:hAnsi="Times New Roman" w:eastAsia="仿宋" w:cs="Times New Roman"/>
                <w:kern w:val="0"/>
                <w:sz w:val="22"/>
              </w:rPr>
            </w:pPr>
            <w:r>
              <w:rPr>
                <w:rFonts w:ascii="Times New Roman" w:hAnsi="Times New Roman" w:eastAsia="仿宋" w:cs="Times New Roman"/>
                <w:kern w:val="0"/>
                <w:sz w:val="22"/>
              </w:rPr>
              <w:t>截止时间：20</w:t>
            </w:r>
            <w:r>
              <w:rPr>
                <w:rFonts w:hint="eastAsia" w:ascii="Times New Roman" w:hAnsi="Times New Roman" w:eastAsia="仿宋" w:cs="Times New Roman"/>
                <w:kern w:val="0"/>
                <w:sz w:val="22"/>
                <w:lang w:val="en-US" w:eastAsia="zh-CN"/>
              </w:rPr>
              <w:t>20</w:t>
            </w:r>
            <w:r>
              <w:rPr>
                <w:rFonts w:ascii="Times New Roman" w:hAnsi="Times New Roman" w:eastAsia="仿宋" w:cs="Times New Roman"/>
                <w:kern w:val="0"/>
                <w:sz w:val="22"/>
              </w:rPr>
              <w:t>年12月31日</w:t>
            </w:r>
          </w:p>
        </w:tc>
      </w:tr>
      <w:tr>
        <w:tblPrEx>
          <w:tblCellMar>
            <w:top w:w="0" w:type="dxa"/>
            <w:left w:w="108" w:type="dxa"/>
            <w:bottom w:w="0" w:type="dxa"/>
            <w:right w:w="108" w:type="dxa"/>
          </w:tblCellMar>
        </w:tblPrEx>
        <w:trPr>
          <w:trHeight w:val="645" w:hRule="atLeast"/>
        </w:trPr>
        <w:tc>
          <w:tcPr>
            <w:tcW w:w="5224" w:type="dxa"/>
            <w:tcBorders>
              <w:top w:val="single" w:color="auto" w:sz="4" w:space="0"/>
              <w:left w:val="single" w:color="auto" w:sz="4" w:space="0"/>
              <w:bottom w:val="single" w:color="auto" w:sz="4" w:space="0"/>
              <w:right w:val="single" w:color="auto" w:sz="4" w:space="0"/>
            </w:tcBorders>
            <w:vAlign w:val="center"/>
          </w:tcPr>
          <w:p>
            <w:pPr>
              <w:widowControl/>
              <w:jc w:val="center"/>
              <w:rPr>
                <w:rFonts w:ascii="宋体" w:hAnsi="宋体" w:cs="宋体"/>
                <w:b/>
                <w:bCs/>
                <w:kern w:val="0"/>
                <w:sz w:val="22"/>
              </w:rPr>
            </w:pPr>
            <w:r>
              <w:rPr>
                <w:rFonts w:hint="eastAsia" w:ascii="宋体" w:hAnsi="宋体" w:cs="宋体"/>
                <w:b/>
                <w:bCs/>
                <w:kern w:val="0"/>
                <w:sz w:val="22"/>
              </w:rPr>
              <w:t>项目</w:t>
            </w:r>
          </w:p>
        </w:tc>
        <w:tc>
          <w:tcPr>
            <w:tcW w:w="3155" w:type="dxa"/>
            <w:tcBorders>
              <w:top w:val="single" w:color="auto" w:sz="4" w:space="0"/>
              <w:left w:val="nil"/>
              <w:bottom w:val="single" w:color="auto" w:sz="4" w:space="0"/>
              <w:right w:val="single" w:color="auto" w:sz="4" w:space="0"/>
            </w:tcBorders>
            <w:vAlign w:val="center"/>
          </w:tcPr>
          <w:p>
            <w:pPr>
              <w:widowControl/>
              <w:jc w:val="center"/>
              <w:rPr>
                <w:rFonts w:ascii="宋体" w:hAnsi="宋体" w:cs="宋体"/>
                <w:b/>
                <w:bCs/>
                <w:kern w:val="0"/>
                <w:sz w:val="22"/>
              </w:rPr>
            </w:pPr>
            <w:r>
              <w:rPr>
                <w:rFonts w:hint="eastAsia" w:ascii="宋体" w:hAnsi="宋体" w:cs="宋体"/>
                <w:b/>
                <w:bCs/>
                <w:kern w:val="0"/>
                <w:sz w:val="22"/>
              </w:rPr>
              <w:t>数量</w:t>
            </w:r>
          </w:p>
        </w:tc>
        <w:tc>
          <w:tcPr>
            <w:tcW w:w="5103" w:type="dxa"/>
            <w:tcBorders>
              <w:top w:val="single" w:color="auto" w:sz="4" w:space="0"/>
              <w:left w:val="nil"/>
              <w:bottom w:val="single" w:color="auto" w:sz="4" w:space="0"/>
              <w:right w:val="single" w:color="auto" w:sz="4" w:space="0"/>
            </w:tcBorders>
            <w:vAlign w:val="center"/>
          </w:tcPr>
          <w:p>
            <w:pPr>
              <w:widowControl/>
              <w:jc w:val="center"/>
              <w:rPr>
                <w:rFonts w:ascii="宋体" w:hAnsi="宋体" w:cs="宋体"/>
                <w:b/>
                <w:bCs/>
                <w:kern w:val="0"/>
                <w:sz w:val="22"/>
              </w:rPr>
            </w:pPr>
            <w:r>
              <w:rPr>
                <w:rFonts w:hint="eastAsia" w:ascii="宋体" w:hAnsi="宋体" w:cs="宋体"/>
                <w:b/>
                <w:bCs/>
                <w:kern w:val="0"/>
                <w:sz w:val="22"/>
              </w:rPr>
              <w:t>价值（金额单位：万元）</w:t>
            </w:r>
          </w:p>
        </w:tc>
      </w:tr>
      <w:tr>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资产总额</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w:t>
            </w: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hint="eastAsia" w:ascii="Times New Roman" w:hAnsi="Times New Roman" w:eastAsia="仿宋" w:cs="Times New Roman"/>
                <w:kern w:val="0"/>
                <w:sz w:val="22"/>
              </w:rPr>
              <w:t>57.98</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1、房屋（平方米）</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hint="eastAsia" w:ascii="Times New Roman" w:hAnsi="Times New Roman" w:eastAsia="仿宋" w:cs="Times New Roman"/>
                <w:kern w:val="0"/>
                <w:sz w:val="22"/>
              </w:rPr>
              <w:t>0</w:t>
            </w: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hint="eastAsia" w:ascii="Times New Roman" w:hAnsi="Times New Roman" w:eastAsia="仿宋" w:cs="Times New Roman"/>
                <w:kern w:val="0"/>
                <w:sz w:val="22"/>
              </w:rPr>
              <w:t>0</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其中：办公用房（平方米）</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hint="eastAsia" w:ascii="Times New Roman" w:hAnsi="Times New Roman" w:eastAsia="仿宋" w:cs="Times New Roman"/>
                <w:kern w:val="0"/>
                <w:sz w:val="22"/>
              </w:rPr>
              <w:t>0</w:t>
            </w: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hint="eastAsia" w:ascii="Times New Roman" w:hAnsi="Times New Roman" w:eastAsia="仿宋" w:cs="Times New Roman"/>
                <w:kern w:val="0"/>
                <w:sz w:val="22"/>
              </w:rPr>
              <w:t>0</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2、车辆（台、辆）</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hint="eastAsia" w:ascii="Times New Roman" w:hAnsi="Times New Roman" w:eastAsia="仿宋" w:cs="Times New Roman"/>
                <w:kern w:val="0"/>
                <w:sz w:val="22"/>
              </w:rPr>
              <w:t>2</w:t>
            </w: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hint="eastAsia" w:ascii="Times New Roman" w:hAnsi="Times New Roman" w:eastAsia="仿宋" w:cs="Times New Roman"/>
                <w:kern w:val="0"/>
                <w:sz w:val="22"/>
              </w:rPr>
              <w:t>31.98</w:t>
            </w:r>
          </w:p>
        </w:tc>
      </w:tr>
      <w:tr>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3、</w:t>
            </w:r>
            <w:r>
              <w:rPr>
                <w:rFonts w:hint="eastAsia" w:ascii="Times New Roman" w:hAnsi="Times New Roman" w:eastAsia="仿宋" w:cs="Times New Roman"/>
                <w:kern w:val="0"/>
                <w:sz w:val="22"/>
              </w:rPr>
              <w:t>其他设备</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w:t>
            </w: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hint="eastAsia" w:ascii="Times New Roman" w:hAnsi="Times New Roman" w:eastAsia="仿宋" w:cs="Times New Roman"/>
                <w:kern w:val="0"/>
                <w:sz w:val="22"/>
              </w:rPr>
              <w:t>26.00</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4、其他固定资产</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w:t>
            </w: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hint="eastAsia" w:ascii="Times New Roman" w:hAnsi="Times New Roman" w:eastAsia="仿宋" w:cs="Times New Roman"/>
                <w:kern w:val="0"/>
                <w:sz w:val="22"/>
              </w:rPr>
              <w:t>0</w:t>
            </w:r>
          </w:p>
        </w:tc>
      </w:tr>
    </w:tbl>
    <w:p>
      <w:pPr>
        <w:autoSpaceDE w:val="0"/>
        <w:autoSpaceDN w:val="0"/>
        <w:adjustRightInd w:val="0"/>
        <w:ind w:firstLine="640" w:firstLineChars="200"/>
        <w:jc w:val="left"/>
        <w:rPr>
          <w:rFonts w:ascii="黑体" w:hAnsi="黑体" w:eastAsia="黑体" w:cs="Times New Roman"/>
          <w:sz w:val="32"/>
          <w:szCs w:val="32"/>
        </w:rPr>
      </w:pPr>
    </w:p>
    <w:p>
      <w:p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Times New Roman"/>
          <w:sz w:val="32"/>
          <w:szCs w:val="32"/>
        </w:rPr>
        <w:t>八、名词解释</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1、一般公共预算拨款收入：指县级财政当年拨付的资金。</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2、事业收入：指事业单位开展专业业务活动及辅助活动所取得的收入。</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3、其他收入：指除“一般公共预算拨款收入”、“事业收入”等以外的收入。主要是按规定动用的租房收入、存款利息收入等。</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4、基本支出：指为保障机构正常运转、完成日常工作任务而发生的人员支出和公用支出。</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5、项目支出：指在基本支出之外为完成特定行政任务和事业发展目标所发生的支出。</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6、上缴上级支出：指下级单位上缴上级的支出。</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7、“三公”经费：纳入县级财政预算管理的“三公”经费，是指县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8、机关运行费：是指各部门的公用经费，包括办公及印刷费、邮电费、差旅费、会议费、福利费、日常维修费、专用材料及一般设备购置费、办公用房水电费、办公用房取暖费、办公用房物业管理费、公务用车运行维护费以及其他费用。</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9、上年结转：指以前年度尚未完成、结转到本年仍按原规定用途继续使用的资金。</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10、事业单位经营支出：指事业单位在专业业务活动及其辅助活动之外开展非独立核算经营活动发生的支出。</w:t>
      </w:r>
    </w:p>
    <w:p>
      <w:pPr>
        <w:ind w:firstLine="643" w:firstLineChars="200"/>
        <w:rPr>
          <w:rFonts w:ascii="宋体-方正超大字符集" w:hAnsi="宋体-方正超大字符集" w:eastAsia="宋体-方正超大字符集" w:cs="宋体-方正超大字符集"/>
          <w:b/>
          <w:bCs/>
          <w:sz w:val="32"/>
          <w:szCs w:val="32"/>
        </w:rPr>
      </w:pPr>
      <w:r>
        <w:rPr>
          <w:rFonts w:hint="eastAsia" w:ascii="宋体-方正超大字符集" w:hAnsi="宋体-方正超大字符集" w:eastAsia="宋体-方正超大字符集" w:cs="宋体-方正超大字符集"/>
          <w:b/>
          <w:bCs/>
          <w:sz w:val="32"/>
          <w:szCs w:val="32"/>
        </w:rPr>
        <w:t>九、其他需要说明的事项</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我部门无其他需要说明的事项。</w:t>
      </w:r>
    </w:p>
    <w:sectPr>
      <w:footerReference r:id="rId5" w:type="default"/>
      <w:pgSz w:w="16838" w:h="11906" w:orient="landscape"/>
      <w:pgMar w:top="1800" w:right="1440" w:bottom="1800" w:left="144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2000609000000000000"/>
    <w:charset w:val="02"/>
    <w:family w:val="roman"/>
    <w:pitch w:val="default"/>
    <w:sig w:usb0="800000AF" w:usb1="4000204A" w:usb2="00000000" w:usb3="00000000" w:csb0="20000000" w:csb1="00000000"/>
  </w:font>
  <w:font w:name="DejaVu Sans">
    <w:panose1 w:val="020B0603030804020204"/>
    <w:charset w:val="00"/>
    <w:family w:val="auto"/>
    <w:pitch w:val="default"/>
    <w:sig w:usb0="E7006EFF" w:usb1="D200FDFF" w:usb2="0A246029" w:usb3="0400200C" w:csb0="600001FF" w:csb1="DFFF0000"/>
  </w:font>
  <w:font w:name="Calibri">
    <w:altName w:val="微软雅黑"/>
    <w:panose1 w:val="020F0502020204030204"/>
    <w:charset w:val="00"/>
    <w:family w:val="swiss"/>
    <w:pitch w:val="default"/>
    <w:sig w:usb0="00000000" w:usb1="00000000" w:usb2="00000001" w:usb3="00000000" w:csb0="0000019F" w:csb1="00000000"/>
  </w:font>
  <w:font w:name="微软雅黑">
    <w:panose1 w:val="020B0503020204020204"/>
    <w:charset w:val="86"/>
    <w:family w:val="auto"/>
    <w:pitch w:val="default"/>
    <w:sig w:usb0="80000287" w:usb1="2A0F3C52" w:usb2="00000016" w:usb3="00000000" w:csb0="0004001F" w:csb1="00000000"/>
  </w:font>
  <w:font w:name="方正小标宋_GBK">
    <w:panose1 w:val="02000000000000000000"/>
    <w:charset w:val="86"/>
    <w:family w:val="script"/>
    <w:pitch w:val="default"/>
    <w:sig w:usb0="A00002BF" w:usb1="38CF7CFA" w:usb2="00082016" w:usb3="00000000" w:csb0="00040001" w:csb1="00000000"/>
  </w:font>
  <w:font w:name="仿宋">
    <w:panose1 w:val="02010609060101010101"/>
    <w:charset w:val="86"/>
    <w:family w:val="modern"/>
    <w:pitch w:val="default"/>
    <w:sig w:usb0="800002BF" w:usb1="38CF7CFA" w:usb2="00000016" w:usb3="00000000" w:csb0="00040001" w:csb1="00000000"/>
  </w:font>
  <w:font w:name="仿宋_GB2312">
    <w:panose1 w:val="02010609030101010101"/>
    <w:charset w:val="86"/>
    <w:family w:val="modern"/>
    <w:pitch w:val="default"/>
    <w:sig w:usb0="00000001" w:usb1="080E0000" w:usb2="00000000" w:usb3="00000000" w:csb0="00040000" w:csb1="00000000"/>
  </w:font>
  <w:font w:name="方正书宋_GBK">
    <w:panose1 w:val="02000000000000000000"/>
    <w:charset w:val="86"/>
    <w:family w:val="script"/>
    <w:pitch w:val="default"/>
    <w:sig w:usb0="00000001" w:usb1="08000000" w:usb2="00000000" w:usb3="00000000" w:csb0="00040000" w:csb1="00000000"/>
  </w:font>
  <w:font w:name="方正楷体_GBK">
    <w:panose1 w:val="02000000000000000000"/>
    <w:charset w:val="86"/>
    <w:family w:val="roman"/>
    <w:pitch w:val="default"/>
    <w:sig w:usb0="00000001" w:usb1="08000000" w:usb2="00000000" w:usb3="00000000" w:csb0="00040000" w:csb1="00000000"/>
  </w:font>
  <w:font w:name="方正仿宋_GBK">
    <w:panose1 w:val="02000000000000000000"/>
    <w:charset w:val="86"/>
    <w:family w:val="roman"/>
    <w:pitch w:val="default"/>
    <w:sig w:usb0="00000001" w:usb1="08000000" w:usb2="00000000" w:usb3="00000000" w:csb0="00040000" w:csb1="00000000"/>
  </w:font>
  <w:font w:name="宋体-方正超大字符集">
    <w:altName w:val="宋体"/>
    <w:panose1 w:val="00000000000000000000"/>
    <w:charset w:val="86"/>
    <w:family w:val="auto"/>
    <w:pitch w:val="default"/>
    <w:sig w:usb0="00000000" w:usb1="00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framePr w:wrap="around" w:vAnchor="text" w:hAnchor="margin" w:xAlign="outside" w:y="1"/>
      <w:rPr>
        <w:rStyle w:val="11"/>
      </w:rPr>
    </w:pPr>
    <w:r>
      <w:fldChar w:fldCharType="begin"/>
    </w:r>
    <w:r>
      <w:rPr>
        <w:rStyle w:val="11"/>
      </w:rPr>
      <w:instrText xml:space="preserve">PAGE  </w:instrText>
    </w:r>
    <w:r>
      <w:fldChar w:fldCharType="separate"/>
    </w:r>
    <w:r>
      <w:rPr>
        <w:rStyle w:val="11"/>
      </w:rPr>
      <w:t>3</w:t>
    </w:r>
    <w:r>
      <w:fldChar w:fldCharType="end"/>
    </w:r>
  </w:p>
  <w:p>
    <w:pPr>
      <w:pStyle w:val="2"/>
      <w:ind w:right="360"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framePr w:wrap="around" w:vAnchor="text" w:hAnchor="margin" w:xAlign="outside" w:y="1"/>
      <w:rPr>
        <w:rStyle w:val="11"/>
      </w:rPr>
    </w:pPr>
    <w:r>
      <w:fldChar w:fldCharType="begin"/>
    </w:r>
    <w:r>
      <w:rPr>
        <w:rStyle w:val="11"/>
      </w:rPr>
      <w:instrText xml:space="preserve">PAGE  </w:instrText>
    </w:r>
    <w:r>
      <w:fldChar w:fldCharType="separate"/>
    </w:r>
    <w:r>
      <w:rPr>
        <w:rStyle w:val="11"/>
      </w:rPr>
      <w:t>12</w:t>
    </w:r>
    <w:r>
      <w:fldChar w:fldCharType="end"/>
    </w:r>
  </w:p>
  <w:p>
    <w:pPr>
      <w:pStyle w:val="2"/>
      <w:ind w:right="360" w:firstLine="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2">
    <w:p>
      <w:r>
        <w:separator/>
      </w:r>
    </w:p>
  </w:footnote>
  <w:footnote w:type="continuationSeparator" w:id="3">
    <w:p>
      <w:r>
        <w:continuationSeparator/>
      </w:r>
    </w:p>
  </w:footnote>
  <w:footnote w:id="0">
    <w:p>
      <w:pPr>
        <w:pStyle w:val="5"/>
      </w:pPr>
      <w:r>
        <w:rPr>
          <w:rStyle w:val="9"/>
        </w:rPr>
        <w:sym w:font="Symbol" w:char="F020"/>
      </w:r>
      <w:r>
        <w:rPr>
          <w:rFonts w:hint="eastAsia" w:ascii="方正楷体_GBK" w:eastAsia="方正楷体_GBK"/>
          <w:sz w:val="24"/>
        </w:rPr>
        <w:t>备注：表中的年度预算数为项目支出，部门工作活动虽未安排项目支出，但由基本支出保障，由于基本支出无法拆分到相应的工作活动，因此部分工作活动没有列示年度预算数。</w:t>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bordersDoNotSurroundHeader w:val="1"/>
  <w:bordersDoNotSurroundFooter w:val="1"/>
  <w:doNotTrackMoves/>
  <w:documentProtection w:enforcement="0"/>
  <w:defaultTabStop w:val="420"/>
  <w:drawingGridHorizontalSpacing w:val="105"/>
  <w:drawingGridVerticalSpacing w:val="156"/>
  <w:displayHorizontalDrawingGridEvery w:val="0"/>
  <w:displayVerticalDrawingGridEvery w:val="2"/>
  <w:characterSpacingControl w:val="compressPunctuation"/>
  <w:footnotePr>
    <w:footnote w:id="2"/>
    <w:footnote w:id="3"/>
  </w:foot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2IwOGZiMTczM2M4ODYyODE2MDkwZDRiOTQ3NjIwMDcifQ=="/>
  </w:docVars>
  <w:rsids>
    <w:rsidRoot w:val="00EE71BA"/>
    <w:rsid w:val="000C7140"/>
    <w:rsid w:val="001E32B4"/>
    <w:rsid w:val="00323B29"/>
    <w:rsid w:val="0039059E"/>
    <w:rsid w:val="007F0341"/>
    <w:rsid w:val="009A521C"/>
    <w:rsid w:val="00C10987"/>
    <w:rsid w:val="00C5060C"/>
    <w:rsid w:val="00D607DA"/>
    <w:rsid w:val="00DC6EE5"/>
    <w:rsid w:val="00EE71BA"/>
    <w:rsid w:val="00F867E4"/>
    <w:rsid w:val="00FA129B"/>
    <w:rsid w:val="01ED3979"/>
    <w:rsid w:val="056E6DE6"/>
    <w:rsid w:val="062D7B72"/>
    <w:rsid w:val="0662719C"/>
    <w:rsid w:val="066766FD"/>
    <w:rsid w:val="06EB194C"/>
    <w:rsid w:val="081F235E"/>
    <w:rsid w:val="08431471"/>
    <w:rsid w:val="0874174D"/>
    <w:rsid w:val="0AC03289"/>
    <w:rsid w:val="0CE939F3"/>
    <w:rsid w:val="0DC54D97"/>
    <w:rsid w:val="0E8E1AE9"/>
    <w:rsid w:val="106674E4"/>
    <w:rsid w:val="11CC562F"/>
    <w:rsid w:val="13B15A1E"/>
    <w:rsid w:val="149436EB"/>
    <w:rsid w:val="14CB698D"/>
    <w:rsid w:val="196C398A"/>
    <w:rsid w:val="1AA62313"/>
    <w:rsid w:val="1DC67EA2"/>
    <w:rsid w:val="1F9D3655"/>
    <w:rsid w:val="202F5D85"/>
    <w:rsid w:val="20332267"/>
    <w:rsid w:val="21E44700"/>
    <w:rsid w:val="22B858FE"/>
    <w:rsid w:val="22BE29EF"/>
    <w:rsid w:val="25EB47C6"/>
    <w:rsid w:val="25F838A4"/>
    <w:rsid w:val="26937E03"/>
    <w:rsid w:val="269947D4"/>
    <w:rsid w:val="26AE6831"/>
    <w:rsid w:val="2B674EEC"/>
    <w:rsid w:val="2B9D7532"/>
    <w:rsid w:val="2C44276D"/>
    <w:rsid w:val="30D8736F"/>
    <w:rsid w:val="325E1249"/>
    <w:rsid w:val="359B113B"/>
    <w:rsid w:val="3B0E22CD"/>
    <w:rsid w:val="3E7A4AA0"/>
    <w:rsid w:val="3FEE66E1"/>
    <w:rsid w:val="40DD49C6"/>
    <w:rsid w:val="411D53AF"/>
    <w:rsid w:val="41777E60"/>
    <w:rsid w:val="4626384B"/>
    <w:rsid w:val="47DA2804"/>
    <w:rsid w:val="484D0086"/>
    <w:rsid w:val="485B4DAC"/>
    <w:rsid w:val="489F1E7D"/>
    <w:rsid w:val="4998668E"/>
    <w:rsid w:val="4B4E47EE"/>
    <w:rsid w:val="4CB12659"/>
    <w:rsid w:val="4F437E90"/>
    <w:rsid w:val="4F966706"/>
    <w:rsid w:val="50ED3055"/>
    <w:rsid w:val="53A20821"/>
    <w:rsid w:val="560710F7"/>
    <w:rsid w:val="58572687"/>
    <w:rsid w:val="5E85753E"/>
    <w:rsid w:val="67010268"/>
    <w:rsid w:val="69934BB2"/>
    <w:rsid w:val="6D62651B"/>
    <w:rsid w:val="6D700C0B"/>
    <w:rsid w:val="6FA51F9B"/>
    <w:rsid w:val="72024009"/>
    <w:rsid w:val="72C8257E"/>
    <w:rsid w:val="735C3BBC"/>
    <w:rsid w:val="755C1DE8"/>
    <w:rsid w:val="759D3BCE"/>
    <w:rsid w:val="77375FF9"/>
    <w:rsid w:val="7FB96D61"/>
    <w:rsid w:val="7FE6156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nhideWhenUsed="0" w:uiPriority="0" w:semiHidden="0" w:name="footnote text"/>
    <w:lsdException w:uiPriority="99" w:name="annotation text"/>
    <w:lsdException w:qFormat="1" w:unhideWhenUsed="0" w:uiPriority="0" w:semiHidden="0" w:name="header"/>
    <w:lsdException w:qFormat="1" w:unhideWhenUsed="0" w:uiPriority="0"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nhideWhenUsed="0" w:uiPriority="0" w:semiHidden="0"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黑体"/>
      <w:kern w:val="2"/>
      <w:sz w:val="21"/>
      <w:szCs w:val="22"/>
      <w:lang w:val="en-US" w:eastAsia="zh-CN" w:bidi="ar-SA"/>
    </w:rPr>
  </w:style>
  <w:style w:type="character" w:default="1" w:styleId="8">
    <w:name w:val="Default Paragraph Font"/>
    <w:semiHidden/>
    <w:unhideWhenUsed/>
    <w:qFormat/>
    <w:uiPriority w:val="1"/>
  </w:style>
  <w:style w:type="table" w:default="1" w:styleId="7">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12"/>
    <w:qFormat/>
    <w:uiPriority w:val="0"/>
    <w:pPr>
      <w:tabs>
        <w:tab w:val="center" w:pos="4153"/>
        <w:tab w:val="right" w:pos="8306"/>
      </w:tabs>
      <w:snapToGrid w:val="0"/>
      <w:jc w:val="left"/>
    </w:pPr>
    <w:rPr>
      <w:rFonts w:ascii="Times New Roman" w:hAnsi="Times New Roman" w:cs="Times New Roman"/>
      <w:sz w:val="18"/>
      <w:szCs w:val="18"/>
    </w:rPr>
  </w:style>
  <w:style w:type="paragraph" w:styleId="3">
    <w:name w:val="header"/>
    <w:basedOn w:val="1"/>
    <w:link w:val="13"/>
    <w:qFormat/>
    <w:uiPriority w:val="0"/>
    <w:pPr>
      <w:pBdr>
        <w:bottom w:val="single" w:color="auto" w:sz="6" w:space="1"/>
      </w:pBdr>
      <w:tabs>
        <w:tab w:val="center" w:pos="4153"/>
        <w:tab w:val="right" w:pos="8306"/>
      </w:tabs>
      <w:snapToGrid w:val="0"/>
      <w:jc w:val="center"/>
    </w:pPr>
    <w:rPr>
      <w:rFonts w:ascii="Times New Roman" w:hAnsi="Times New Roman" w:cs="Times New Roman"/>
      <w:sz w:val="18"/>
      <w:szCs w:val="18"/>
    </w:rPr>
  </w:style>
  <w:style w:type="paragraph" w:styleId="4">
    <w:name w:val="toc 1"/>
    <w:basedOn w:val="1"/>
    <w:next w:val="1"/>
    <w:qFormat/>
    <w:uiPriority w:val="0"/>
    <w:rPr>
      <w:rFonts w:ascii="Times New Roman" w:hAnsi="Times New Roman" w:cs="Times New Roman"/>
      <w:szCs w:val="24"/>
    </w:rPr>
  </w:style>
  <w:style w:type="paragraph" w:styleId="5">
    <w:name w:val="footnote text"/>
    <w:basedOn w:val="1"/>
    <w:qFormat/>
    <w:uiPriority w:val="0"/>
    <w:pPr>
      <w:snapToGrid w:val="0"/>
      <w:jc w:val="left"/>
    </w:pPr>
    <w:rPr>
      <w:sz w:val="18"/>
      <w:szCs w:val="18"/>
    </w:rPr>
  </w:style>
  <w:style w:type="paragraph" w:styleId="6">
    <w:name w:val="toc 2"/>
    <w:basedOn w:val="1"/>
    <w:next w:val="1"/>
    <w:qFormat/>
    <w:uiPriority w:val="0"/>
    <w:pPr>
      <w:ind w:left="420" w:leftChars="200"/>
    </w:pPr>
    <w:rPr>
      <w:rFonts w:ascii="Times New Roman" w:hAnsi="Times New Roman" w:cs="Times New Roman"/>
      <w:szCs w:val="24"/>
    </w:rPr>
  </w:style>
  <w:style w:type="character" w:styleId="9">
    <w:name w:val="footnote reference"/>
    <w:qFormat/>
    <w:uiPriority w:val="0"/>
    <w:rPr>
      <w:vertAlign w:val="superscript"/>
    </w:rPr>
  </w:style>
  <w:style w:type="paragraph" w:customStyle="1" w:styleId="10">
    <w:name w:val="Char"/>
    <w:basedOn w:val="1"/>
    <w:qFormat/>
    <w:uiPriority w:val="0"/>
    <w:rPr>
      <w:rFonts w:ascii="Times New Roman" w:hAnsi="Times New Roman" w:cs="Times New Roman"/>
      <w:szCs w:val="24"/>
    </w:rPr>
  </w:style>
  <w:style w:type="character" w:customStyle="1" w:styleId="11">
    <w:name w:val="页码1"/>
    <w:qFormat/>
    <w:uiPriority w:val="0"/>
  </w:style>
  <w:style w:type="character" w:customStyle="1" w:styleId="12">
    <w:name w:val="页脚 字符"/>
    <w:link w:val="2"/>
    <w:semiHidden/>
    <w:qFormat/>
    <w:uiPriority w:val="0"/>
    <w:rPr>
      <w:rFonts w:ascii="Times New Roman" w:hAnsi="Times New Roman" w:eastAsia="宋体" w:cs="Times New Roman"/>
      <w:sz w:val="18"/>
      <w:szCs w:val="18"/>
    </w:rPr>
  </w:style>
  <w:style w:type="character" w:customStyle="1" w:styleId="13">
    <w:name w:val="页眉 字符"/>
    <w:link w:val="3"/>
    <w:semiHidden/>
    <w:qFormat/>
    <w:uiPriority w:val="0"/>
    <w:rPr>
      <w:rFonts w:ascii="Times New Roman" w:hAnsi="Times New Roman" w:eastAsia="宋体" w:cs="Times New Roman"/>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theme" Target="theme/theme1.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Company>Microsoft</Company>
  <Pages>13</Pages>
  <Words>5058</Words>
  <Characters>5511</Characters>
  <Lines>41</Lines>
  <Paragraphs>11</Paragraphs>
  <TotalTime>18</TotalTime>
  <ScaleCrop>false</ScaleCrop>
  <LinksUpToDate>false</LinksUpToDate>
  <CharactersWithSpaces>5528</CharactersWithSpaces>
  <Application>WPS Office_11.8.2.1120_F1E327BC-269C-435d-A152-05C5408002CA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2017-01-24T01:29:00Z</dcterms:created>
  <dc:creator>guest</dc:creator>
  <cp:lastModifiedBy>work</cp:lastModifiedBy>
  <cp:lastPrinted>2020-01-10T23:53:00Z</cp:lastPrinted>
  <dcterms:modified xsi:type="dcterms:W3CDTF">2023-09-19T15:22:47Z</dcterms:modified>
  <dc:title>o</dc:title>
  <cp:revision>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2052-11.8.2.1120</vt:lpwstr>
  </property>
  <property fmtid="{D5CDD505-2E9C-101B-9397-08002B2CF9AE}" pid="3" name="ICV">
    <vt:lpwstr>0DDC3A16AB8B681A474C0965A809C08E</vt:lpwstr>
  </property>
</Properties>
</file>