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6"/>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pPr>
        <w:pStyle w:val="36"/>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8</w:t>
      </w:r>
      <w:r>
        <w:fldChar w:fldCharType="end"/>
      </w:r>
    </w:p>
    <w:p>
      <w:pPr>
        <w:pStyle w:val="36"/>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36"/>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2</w:t>
      </w:r>
    </w:p>
    <w:p>
      <w:pPr>
        <w:pStyle w:val="36"/>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4</w:t>
      </w:r>
    </w:p>
    <w:p>
      <w:pPr>
        <w:pStyle w:val="36"/>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6</w:t>
      </w:r>
    </w:p>
    <w:p>
      <w:pPr>
        <w:pStyle w:val="36"/>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7</w:t>
      </w:r>
    </w:p>
    <w:p>
      <w:pPr>
        <w:pStyle w:val="36"/>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8</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6"/>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9</w:t>
      </w:r>
    </w:p>
    <w:p>
      <w:pPr>
        <w:pStyle w:val="36"/>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1</w:t>
      </w:r>
    </w:p>
    <w:p>
      <w:pPr>
        <w:pStyle w:val="36"/>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36"/>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6"/>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36"/>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2</w:t>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33</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3</w:t>
      </w:r>
      <w:r>
        <w:fldChar w:fldCharType="end"/>
      </w:r>
      <w:r>
        <w:fldChar w:fldCharType="end"/>
      </w:r>
    </w:p>
    <w:p>
      <w:pPr>
        <w:pStyle w:val="36"/>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4</w:t>
      </w:r>
    </w:p>
    <w:p>
      <w:pPr>
        <w:sectPr>
          <w:footerReference r:id="rId3" w:type="default"/>
          <w:footerReference r:id="rId4" w:type="even"/>
          <w:pgSz w:w="16840" w:h="11900" w:orient="landscape"/>
          <w:pgMar w:top="1361" w:right="1020" w:bottom="1134" w:left="1020" w:header="720" w:footer="720" w:gutter="0"/>
          <w:cols w:space="720" w:num="1"/>
        </w:sectPr>
      </w:pPr>
      <w:r>
        <w:fldChar w:fldCharType="end"/>
      </w:r>
    </w:p>
    <w:p>
      <w:pPr>
        <w:jc w:val="center"/>
      </w:pPr>
    </w:p>
    <w:p>
      <w:pPr>
        <w:jc w:val="center"/>
      </w:pPr>
    </w:p>
    <w:p>
      <w:pPr>
        <w:jc w:val="center"/>
      </w:pPr>
    </w:p>
    <w:p>
      <w:pPr>
        <w:jc w:val="center"/>
      </w:pPr>
    </w:p>
    <w:p>
      <w:pPr>
        <w:jc w:val="center"/>
      </w:pPr>
    </w:p>
    <w:p>
      <w:pPr>
        <w:jc w:val="center"/>
        <w:outlineLvl w:val="3"/>
      </w:pPr>
      <w:bookmarkStart w:id="0" w:name="_Toc_4_4_0000000019"/>
      <w:r>
        <w:rPr>
          <w:rFonts w:ascii="方正小标宋_GBK" w:hAnsi="方正小标宋_GBK" w:eastAsia="方正小标宋_GBK" w:cs="方正小标宋_GBK"/>
          <w:color w:val="000000"/>
          <w:sz w:val="44"/>
        </w:rPr>
        <w:t>一、隆尧县发展和改革局本级收支预算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303001隆尧县发展和改革局本级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1526.85</w:t>
            </w:r>
          </w:p>
        </w:tc>
        <w:tc>
          <w:tcPr>
            <w:tcW w:w="4535" w:type="dxa"/>
            <w:vAlign w:val="center"/>
          </w:tcPr>
          <w:p>
            <w:pPr>
              <w:pStyle w:val="12"/>
            </w:pPr>
            <w:r>
              <w:t>一、一般公共服务支出</w:t>
            </w:r>
          </w:p>
        </w:tc>
        <w:tc>
          <w:tcPr>
            <w:tcW w:w="2126" w:type="dxa"/>
            <w:vAlign w:val="center"/>
          </w:tcPr>
          <w:p>
            <w:pPr>
              <w:pStyle w:val="11"/>
            </w:pPr>
            <w:r>
              <w:t>674.14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595.66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1526.85</w:t>
            </w:r>
          </w:p>
        </w:tc>
        <w:tc>
          <w:tcPr>
            <w:tcW w:w="4535" w:type="dxa"/>
            <w:vAlign w:val="center"/>
          </w:tcPr>
          <w:p>
            <w:pPr>
              <w:pStyle w:val="14"/>
            </w:pPr>
            <w:r>
              <w:t>本年支出合计</w:t>
            </w:r>
          </w:p>
        </w:tc>
        <w:tc>
          <w:tcPr>
            <w:tcW w:w="2126" w:type="dxa"/>
            <w:vAlign w:val="center"/>
          </w:tcPr>
          <w:p>
            <w:pPr>
              <w:pStyle w:val="15"/>
            </w:pPr>
            <w:r>
              <w:t>1526.85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1526.85</w:t>
            </w:r>
          </w:p>
        </w:tc>
        <w:tc>
          <w:tcPr>
            <w:tcW w:w="4535" w:type="dxa"/>
            <w:vAlign w:val="center"/>
          </w:tcPr>
          <w:p>
            <w:pPr>
              <w:pStyle w:val="14"/>
            </w:pPr>
            <w:r>
              <w:t>支出总计</w:t>
            </w:r>
          </w:p>
        </w:tc>
        <w:tc>
          <w:tcPr>
            <w:tcW w:w="2126" w:type="dxa"/>
            <w:vAlign w:val="center"/>
          </w:tcPr>
          <w:p>
            <w:pPr>
              <w:pStyle w:val="15"/>
            </w:pPr>
            <w:r>
              <w:t>1526.85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303001隆尧县发展和改革局本级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1526.85</w:t>
            </w:r>
          </w:p>
        </w:tc>
        <w:tc>
          <w:tcPr>
            <w:tcW w:w="1134" w:type="dxa"/>
            <w:vAlign w:val="center"/>
          </w:tcPr>
          <w:p>
            <w:pPr>
              <w:pStyle w:val="15"/>
            </w:pPr>
            <w:r>
              <w:t>1526.85</w:t>
            </w:r>
          </w:p>
        </w:tc>
        <w:tc>
          <w:tcPr>
            <w:tcW w:w="1134" w:type="dxa"/>
            <w:vAlign w:val="center"/>
          </w:tcPr>
          <w:p>
            <w:pPr>
              <w:pStyle w:val="15"/>
            </w:pPr>
            <w:r>
              <w:t>1526.85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674.14</w:t>
            </w:r>
          </w:p>
        </w:tc>
        <w:tc>
          <w:tcPr>
            <w:tcW w:w="1134" w:type="dxa"/>
            <w:vAlign w:val="center"/>
          </w:tcPr>
          <w:p>
            <w:pPr>
              <w:pStyle w:val="11"/>
            </w:pPr>
            <w:r>
              <w:t>674.14</w:t>
            </w:r>
          </w:p>
        </w:tc>
        <w:tc>
          <w:tcPr>
            <w:tcW w:w="1134" w:type="dxa"/>
            <w:vAlign w:val="center"/>
          </w:tcPr>
          <w:p>
            <w:pPr>
              <w:pStyle w:val="11"/>
            </w:pPr>
            <w:r>
              <w:t>674.14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674.14</w:t>
            </w:r>
          </w:p>
        </w:tc>
        <w:tc>
          <w:tcPr>
            <w:tcW w:w="1134" w:type="dxa"/>
            <w:vAlign w:val="center"/>
          </w:tcPr>
          <w:p>
            <w:pPr>
              <w:pStyle w:val="11"/>
            </w:pPr>
            <w:r>
              <w:t>674.14</w:t>
            </w:r>
          </w:p>
        </w:tc>
        <w:tc>
          <w:tcPr>
            <w:tcW w:w="1134" w:type="dxa"/>
            <w:vAlign w:val="center"/>
          </w:tcPr>
          <w:p>
            <w:pPr>
              <w:pStyle w:val="11"/>
            </w:pPr>
            <w:r>
              <w:t>674.14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415.66</w:t>
            </w:r>
          </w:p>
        </w:tc>
        <w:tc>
          <w:tcPr>
            <w:tcW w:w="1134" w:type="dxa"/>
            <w:vAlign w:val="center"/>
          </w:tcPr>
          <w:p>
            <w:pPr>
              <w:pStyle w:val="11"/>
            </w:pPr>
            <w:r>
              <w:t>415.66</w:t>
            </w:r>
          </w:p>
        </w:tc>
        <w:tc>
          <w:tcPr>
            <w:tcW w:w="1134" w:type="dxa"/>
            <w:vAlign w:val="center"/>
          </w:tcPr>
          <w:p>
            <w:pPr>
              <w:pStyle w:val="11"/>
            </w:pPr>
            <w:r>
              <w:t>415.66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222.00</w:t>
            </w:r>
          </w:p>
        </w:tc>
        <w:tc>
          <w:tcPr>
            <w:tcW w:w="1134" w:type="dxa"/>
            <w:vAlign w:val="center"/>
          </w:tcPr>
          <w:p>
            <w:pPr>
              <w:pStyle w:val="11"/>
            </w:pPr>
            <w:r>
              <w:t>222.00</w:t>
            </w:r>
          </w:p>
        </w:tc>
        <w:tc>
          <w:tcPr>
            <w:tcW w:w="1134" w:type="dxa"/>
            <w:vAlign w:val="center"/>
          </w:tcPr>
          <w:p>
            <w:pPr>
              <w:pStyle w:val="11"/>
            </w:pPr>
            <w:r>
              <w:t>222.00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26.48</w:t>
            </w:r>
          </w:p>
        </w:tc>
        <w:tc>
          <w:tcPr>
            <w:tcW w:w="1134" w:type="dxa"/>
            <w:vAlign w:val="center"/>
          </w:tcPr>
          <w:p>
            <w:pPr>
              <w:pStyle w:val="11"/>
            </w:pPr>
            <w:r>
              <w:t>26.48</w:t>
            </w:r>
          </w:p>
        </w:tc>
        <w:tc>
          <w:tcPr>
            <w:tcW w:w="1134" w:type="dxa"/>
            <w:vAlign w:val="center"/>
          </w:tcPr>
          <w:p>
            <w:pPr>
              <w:pStyle w:val="11"/>
            </w:pPr>
            <w:r>
              <w:t>26.48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56.70</w:t>
            </w:r>
          </w:p>
        </w:tc>
        <w:tc>
          <w:tcPr>
            <w:tcW w:w="1134" w:type="dxa"/>
            <w:vAlign w:val="center"/>
          </w:tcPr>
          <w:p>
            <w:pPr>
              <w:pStyle w:val="11"/>
            </w:pPr>
            <w:r>
              <w:t>56.70</w:t>
            </w:r>
          </w:p>
        </w:tc>
        <w:tc>
          <w:tcPr>
            <w:tcW w:w="1134" w:type="dxa"/>
            <w:vAlign w:val="center"/>
          </w:tcPr>
          <w:p>
            <w:pPr>
              <w:pStyle w:val="11"/>
            </w:pPr>
            <w:r>
              <w:t>56.70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51.87</w:t>
            </w:r>
          </w:p>
        </w:tc>
        <w:tc>
          <w:tcPr>
            <w:tcW w:w="1134" w:type="dxa"/>
            <w:vAlign w:val="center"/>
          </w:tcPr>
          <w:p>
            <w:pPr>
              <w:pStyle w:val="11"/>
            </w:pPr>
            <w:r>
              <w:t>51.87</w:t>
            </w:r>
          </w:p>
        </w:tc>
        <w:tc>
          <w:tcPr>
            <w:tcW w:w="1134" w:type="dxa"/>
            <w:vAlign w:val="center"/>
          </w:tcPr>
          <w:p>
            <w:pPr>
              <w:pStyle w:val="11"/>
            </w:pPr>
            <w:r>
              <w:t>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45.75</w:t>
            </w:r>
          </w:p>
        </w:tc>
        <w:tc>
          <w:tcPr>
            <w:tcW w:w="1134" w:type="dxa"/>
            <w:vAlign w:val="center"/>
          </w:tcPr>
          <w:p>
            <w:pPr>
              <w:pStyle w:val="11"/>
            </w:pPr>
            <w:r>
              <w:t>45.75</w:t>
            </w:r>
          </w:p>
        </w:tc>
        <w:tc>
          <w:tcPr>
            <w:tcW w:w="1134" w:type="dxa"/>
            <w:vAlign w:val="center"/>
          </w:tcPr>
          <w:p>
            <w:pPr>
              <w:pStyle w:val="11"/>
            </w:pPr>
            <w:r>
              <w:t>45.75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6.12</w:t>
            </w:r>
          </w:p>
        </w:tc>
        <w:tc>
          <w:tcPr>
            <w:tcW w:w="1134" w:type="dxa"/>
            <w:vAlign w:val="center"/>
          </w:tcPr>
          <w:p>
            <w:pPr>
              <w:pStyle w:val="11"/>
            </w:pPr>
            <w:r>
              <w:t>6.12</w:t>
            </w:r>
          </w:p>
        </w:tc>
        <w:tc>
          <w:tcPr>
            <w:tcW w:w="1134" w:type="dxa"/>
            <w:vAlign w:val="center"/>
          </w:tcPr>
          <w:p>
            <w:pPr>
              <w:pStyle w:val="11"/>
            </w:pPr>
            <w:r>
              <w:t>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21699</w:t>
            </w:r>
          </w:p>
        </w:tc>
        <w:tc>
          <w:tcPr>
            <w:tcW w:w="1559" w:type="dxa"/>
            <w:vAlign w:val="center"/>
          </w:tcPr>
          <w:p>
            <w:pPr>
              <w:pStyle w:val="12"/>
            </w:pPr>
            <w:r>
              <w:t>其他商业服务业等支出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2169999</w:t>
            </w:r>
          </w:p>
        </w:tc>
        <w:tc>
          <w:tcPr>
            <w:tcW w:w="1559" w:type="dxa"/>
            <w:vAlign w:val="center"/>
          </w:tcPr>
          <w:p>
            <w:pPr>
              <w:pStyle w:val="12"/>
            </w:pPr>
            <w:r>
              <w:t>其他商业服务业等支出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595.66</w:t>
            </w:r>
          </w:p>
        </w:tc>
        <w:tc>
          <w:tcPr>
            <w:tcW w:w="1134" w:type="dxa"/>
            <w:vAlign w:val="center"/>
          </w:tcPr>
          <w:p>
            <w:pPr>
              <w:pStyle w:val="11"/>
            </w:pPr>
            <w:r>
              <w:t>595.66</w:t>
            </w:r>
          </w:p>
        </w:tc>
        <w:tc>
          <w:tcPr>
            <w:tcW w:w="1134" w:type="dxa"/>
            <w:vAlign w:val="center"/>
          </w:tcPr>
          <w:p>
            <w:pPr>
              <w:pStyle w:val="11"/>
            </w:pPr>
            <w:r>
              <w:t>595.66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575.31</w:t>
            </w:r>
          </w:p>
        </w:tc>
        <w:tc>
          <w:tcPr>
            <w:tcW w:w="1134" w:type="dxa"/>
            <w:vAlign w:val="center"/>
          </w:tcPr>
          <w:p>
            <w:pPr>
              <w:pStyle w:val="11"/>
            </w:pPr>
            <w:r>
              <w:t>575.31</w:t>
            </w:r>
          </w:p>
        </w:tc>
        <w:tc>
          <w:tcPr>
            <w:tcW w:w="1134" w:type="dxa"/>
            <w:vAlign w:val="center"/>
          </w:tcPr>
          <w:p>
            <w:pPr>
              <w:pStyle w:val="11"/>
            </w:pPr>
            <w:r>
              <w:t>575.31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2220403</w:t>
            </w:r>
          </w:p>
        </w:tc>
        <w:tc>
          <w:tcPr>
            <w:tcW w:w="1559" w:type="dxa"/>
            <w:vAlign w:val="center"/>
          </w:tcPr>
          <w:p>
            <w:pPr>
              <w:pStyle w:val="12"/>
            </w:pPr>
            <w:r>
              <w:t>储备粮（油）库建设</w:t>
            </w:r>
          </w:p>
        </w:tc>
        <w:tc>
          <w:tcPr>
            <w:tcW w:w="1134" w:type="dxa"/>
            <w:vAlign w:val="center"/>
          </w:tcPr>
          <w:p>
            <w:pPr>
              <w:pStyle w:val="11"/>
            </w:pPr>
            <w:r>
              <w:t>555.31</w:t>
            </w:r>
          </w:p>
        </w:tc>
        <w:tc>
          <w:tcPr>
            <w:tcW w:w="1134" w:type="dxa"/>
            <w:vAlign w:val="center"/>
          </w:tcPr>
          <w:p>
            <w:pPr>
              <w:pStyle w:val="11"/>
            </w:pPr>
            <w:r>
              <w:t>555.31</w:t>
            </w:r>
          </w:p>
        </w:tc>
        <w:tc>
          <w:tcPr>
            <w:tcW w:w="1134" w:type="dxa"/>
            <w:vAlign w:val="center"/>
          </w:tcPr>
          <w:p>
            <w:pPr>
              <w:pStyle w:val="11"/>
            </w:pPr>
            <w:r>
              <w:t>555.31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22205</w:t>
            </w:r>
          </w:p>
        </w:tc>
        <w:tc>
          <w:tcPr>
            <w:tcW w:w="1559" w:type="dxa"/>
            <w:vAlign w:val="center"/>
          </w:tcPr>
          <w:p>
            <w:pPr>
              <w:pStyle w:val="12"/>
            </w:pPr>
            <w:r>
              <w:t>重要商品储备</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2220511</w:t>
            </w:r>
          </w:p>
        </w:tc>
        <w:tc>
          <w:tcPr>
            <w:tcW w:w="1559" w:type="dxa"/>
            <w:vAlign w:val="center"/>
          </w:tcPr>
          <w:p>
            <w:pPr>
              <w:pStyle w:val="12"/>
            </w:pPr>
            <w:r>
              <w:t>应急物资储备</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1526.85</w:t>
            </w:r>
          </w:p>
        </w:tc>
        <w:tc>
          <w:tcPr>
            <w:tcW w:w="1361" w:type="dxa"/>
            <w:vAlign w:val="center"/>
          </w:tcPr>
          <w:p>
            <w:pPr>
              <w:pStyle w:val="15"/>
            </w:pPr>
            <w:r>
              <w:t>522.71</w:t>
            </w:r>
          </w:p>
        </w:tc>
        <w:tc>
          <w:tcPr>
            <w:tcW w:w="1361" w:type="dxa"/>
            <w:vAlign w:val="center"/>
          </w:tcPr>
          <w:p>
            <w:pPr>
              <w:pStyle w:val="15"/>
            </w:pPr>
            <w:r>
              <w:t>1004.14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674.14</w:t>
            </w:r>
          </w:p>
        </w:tc>
        <w:tc>
          <w:tcPr>
            <w:tcW w:w="1361" w:type="dxa"/>
            <w:vAlign w:val="center"/>
          </w:tcPr>
          <w:p>
            <w:pPr>
              <w:pStyle w:val="11"/>
            </w:pPr>
            <w:r>
              <w:t>415.66</w:t>
            </w:r>
          </w:p>
        </w:tc>
        <w:tc>
          <w:tcPr>
            <w:tcW w:w="1361" w:type="dxa"/>
            <w:vAlign w:val="center"/>
          </w:tcPr>
          <w:p>
            <w:pPr>
              <w:pStyle w:val="11"/>
            </w:pPr>
            <w:r>
              <w:t>258.48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674.14</w:t>
            </w:r>
          </w:p>
        </w:tc>
        <w:tc>
          <w:tcPr>
            <w:tcW w:w="1361" w:type="dxa"/>
            <w:vAlign w:val="center"/>
          </w:tcPr>
          <w:p>
            <w:pPr>
              <w:pStyle w:val="11"/>
            </w:pPr>
            <w:r>
              <w:t>415.66</w:t>
            </w:r>
          </w:p>
        </w:tc>
        <w:tc>
          <w:tcPr>
            <w:tcW w:w="1361" w:type="dxa"/>
            <w:vAlign w:val="center"/>
          </w:tcPr>
          <w:p>
            <w:pPr>
              <w:pStyle w:val="11"/>
            </w:pPr>
            <w:r>
              <w:t>258.48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415.66</w:t>
            </w:r>
          </w:p>
        </w:tc>
        <w:tc>
          <w:tcPr>
            <w:tcW w:w="1361" w:type="dxa"/>
            <w:vAlign w:val="center"/>
          </w:tcPr>
          <w:p>
            <w:pPr>
              <w:pStyle w:val="11"/>
            </w:pPr>
            <w:r>
              <w:t>415.66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222.00</w:t>
            </w:r>
          </w:p>
        </w:tc>
        <w:tc>
          <w:tcPr>
            <w:tcW w:w="1361" w:type="dxa"/>
            <w:vAlign w:val="center"/>
          </w:tcPr>
          <w:p>
            <w:pPr>
              <w:pStyle w:val="11"/>
            </w:pPr>
          </w:p>
        </w:tc>
        <w:tc>
          <w:tcPr>
            <w:tcW w:w="1361" w:type="dxa"/>
            <w:vAlign w:val="center"/>
          </w:tcPr>
          <w:p>
            <w:pPr>
              <w:pStyle w:val="11"/>
            </w:pPr>
            <w:r>
              <w:t>222.00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26.48</w:t>
            </w:r>
          </w:p>
        </w:tc>
        <w:tc>
          <w:tcPr>
            <w:tcW w:w="1361" w:type="dxa"/>
            <w:vAlign w:val="center"/>
          </w:tcPr>
          <w:p>
            <w:pPr>
              <w:pStyle w:val="11"/>
            </w:pPr>
          </w:p>
        </w:tc>
        <w:tc>
          <w:tcPr>
            <w:tcW w:w="1361" w:type="dxa"/>
            <w:vAlign w:val="center"/>
          </w:tcPr>
          <w:p>
            <w:pPr>
              <w:pStyle w:val="11"/>
            </w:pPr>
            <w:r>
              <w:t>26.48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56.70</w:t>
            </w:r>
          </w:p>
        </w:tc>
        <w:tc>
          <w:tcPr>
            <w:tcW w:w="1361" w:type="dxa"/>
            <w:vAlign w:val="center"/>
          </w:tcPr>
          <w:p>
            <w:pPr>
              <w:pStyle w:val="11"/>
            </w:pPr>
            <w:r>
              <w:t>56.70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51.87</w:t>
            </w:r>
          </w:p>
        </w:tc>
        <w:tc>
          <w:tcPr>
            <w:tcW w:w="1361" w:type="dxa"/>
            <w:vAlign w:val="center"/>
          </w:tcPr>
          <w:p>
            <w:pPr>
              <w:pStyle w:val="11"/>
            </w:pPr>
            <w:r>
              <w:t>51.87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45.75</w:t>
            </w:r>
          </w:p>
        </w:tc>
        <w:tc>
          <w:tcPr>
            <w:tcW w:w="1361" w:type="dxa"/>
            <w:vAlign w:val="center"/>
          </w:tcPr>
          <w:p>
            <w:pPr>
              <w:pStyle w:val="11"/>
            </w:pPr>
            <w:r>
              <w:t>45.75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6.12</w:t>
            </w:r>
          </w:p>
        </w:tc>
        <w:tc>
          <w:tcPr>
            <w:tcW w:w="1361" w:type="dxa"/>
            <w:vAlign w:val="center"/>
          </w:tcPr>
          <w:p>
            <w:pPr>
              <w:pStyle w:val="11"/>
            </w:pPr>
            <w:r>
              <w:t>6.12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4.83</w:t>
            </w:r>
          </w:p>
        </w:tc>
        <w:tc>
          <w:tcPr>
            <w:tcW w:w="1361" w:type="dxa"/>
            <w:vAlign w:val="center"/>
          </w:tcPr>
          <w:p>
            <w:pPr>
              <w:pStyle w:val="11"/>
            </w:pPr>
            <w:r>
              <w:t>4.83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4.83</w:t>
            </w:r>
          </w:p>
        </w:tc>
        <w:tc>
          <w:tcPr>
            <w:tcW w:w="1361" w:type="dxa"/>
            <w:vAlign w:val="center"/>
          </w:tcPr>
          <w:p>
            <w:pPr>
              <w:pStyle w:val="11"/>
            </w:pPr>
            <w:r>
              <w:t>4.83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22.35</w:t>
            </w: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22.35</w:t>
            </w: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22.35</w:t>
            </w: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21699</w:t>
            </w:r>
          </w:p>
        </w:tc>
        <w:tc>
          <w:tcPr>
            <w:tcW w:w="4535" w:type="dxa"/>
            <w:vAlign w:val="center"/>
          </w:tcPr>
          <w:p>
            <w:pPr>
              <w:pStyle w:val="12"/>
            </w:pPr>
            <w:r>
              <w:t>其他商业服务业等支出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2169999</w:t>
            </w:r>
          </w:p>
        </w:tc>
        <w:tc>
          <w:tcPr>
            <w:tcW w:w="4535" w:type="dxa"/>
            <w:vAlign w:val="center"/>
          </w:tcPr>
          <w:p>
            <w:pPr>
              <w:pStyle w:val="12"/>
            </w:pPr>
            <w:r>
              <w:t>其他商业服务业等支出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595.66</w:t>
            </w:r>
          </w:p>
        </w:tc>
        <w:tc>
          <w:tcPr>
            <w:tcW w:w="1361" w:type="dxa"/>
            <w:vAlign w:val="center"/>
          </w:tcPr>
          <w:p>
            <w:pPr>
              <w:pStyle w:val="11"/>
            </w:pPr>
          </w:p>
        </w:tc>
        <w:tc>
          <w:tcPr>
            <w:tcW w:w="1361" w:type="dxa"/>
            <w:vAlign w:val="center"/>
          </w:tcPr>
          <w:p>
            <w:pPr>
              <w:pStyle w:val="11"/>
            </w:pPr>
            <w:r>
              <w:t>595.66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14.35</w:t>
            </w:r>
          </w:p>
        </w:tc>
        <w:tc>
          <w:tcPr>
            <w:tcW w:w="1361" w:type="dxa"/>
            <w:vAlign w:val="center"/>
          </w:tcPr>
          <w:p>
            <w:pPr>
              <w:pStyle w:val="11"/>
            </w:pPr>
          </w:p>
        </w:tc>
        <w:tc>
          <w:tcPr>
            <w:tcW w:w="1361" w:type="dxa"/>
            <w:vAlign w:val="center"/>
          </w:tcPr>
          <w:p>
            <w:pPr>
              <w:pStyle w:val="11"/>
            </w:pPr>
            <w:r>
              <w:t>14.35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14.35</w:t>
            </w:r>
          </w:p>
        </w:tc>
        <w:tc>
          <w:tcPr>
            <w:tcW w:w="1361" w:type="dxa"/>
            <w:vAlign w:val="center"/>
          </w:tcPr>
          <w:p>
            <w:pPr>
              <w:pStyle w:val="11"/>
            </w:pPr>
          </w:p>
        </w:tc>
        <w:tc>
          <w:tcPr>
            <w:tcW w:w="1361" w:type="dxa"/>
            <w:vAlign w:val="center"/>
          </w:tcPr>
          <w:p>
            <w:pPr>
              <w:pStyle w:val="11"/>
            </w:pPr>
            <w:r>
              <w:t>14.35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575.31</w:t>
            </w:r>
          </w:p>
        </w:tc>
        <w:tc>
          <w:tcPr>
            <w:tcW w:w="1361" w:type="dxa"/>
            <w:vAlign w:val="center"/>
          </w:tcPr>
          <w:p>
            <w:pPr>
              <w:pStyle w:val="11"/>
            </w:pPr>
          </w:p>
        </w:tc>
        <w:tc>
          <w:tcPr>
            <w:tcW w:w="1361" w:type="dxa"/>
            <w:vAlign w:val="center"/>
          </w:tcPr>
          <w:p>
            <w:pPr>
              <w:pStyle w:val="11"/>
            </w:pPr>
            <w:r>
              <w:t>575.31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2220403</w:t>
            </w:r>
          </w:p>
        </w:tc>
        <w:tc>
          <w:tcPr>
            <w:tcW w:w="4535" w:type="dxa"/>
            <w:vAlign w:val="center"/>
          </w:tcPr>
          <w:p>
            <w:pPr>
              <w:pStyle w:val="12"/>
            </w:pPr>
            <w:r>
              <w:t>储备粮（油）库建设</w:t>
            </w:r>
          </w:p>
        </w:tc>
        <w:tc>
          <w:tcPr>
            <w:tcW w:w="1361" w:type="dxa"/>
            <w:vAlign w:val="center"/>
          </w:tcPr>
          <w:p>
            <w:pPr>
              <w:pStyle w:val="11"/>
            </w:pPr>
            <w:r>
              <w:t>555.31</w:t>
            </w:r>
          </w:p>
        </w:tc>
        <w:tc>
          <w:tcPr>
            <w:tcW w:w="1361" w:type="dxa"/>
            <w:vAlign w:val="center"/>
          </w:tcPr>
          <w:p>
            <w:pPr>
              <w:pStyle w:val="11"/>
            </w:pPr>
          </w:p>
        </w:tc>
        <w:tc>
          <w:tcPr>
            <w:tcW w:w="1361" w:type="dxa"/>
            <w:vAlign w:val="center"/>
          </w:tcPr>
          <w:p>
            <w:pPr>
              <w:pStyle w:val="11"/>
            </w:pPr>
            <w:r>
              <w:t>555.31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22205</w:t>
            </w:r>
          </w:p>
        </w:tc>
        <w:tc>
          <w:tcPr>
            <w:tcW w:w="4535" w:type="dxa"/>
            <w:vAlign w:val="center"/>
          </w:tcPr>
          <w:p>
            <w:pPr>
              <w:pStyle w:val="12"/>
            </w:pPr>
            <w:r>
              <w:t>重要商品储备</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2220511</w:t>
            </w:r>
          </w:p>
        </w:tc>
        <w:tc>
          <w:tcPr>
            <w:tcW w:w="4535" w:type="dxa"/>
            <w:vAlign w:val="center"/>
          </w:tcPr>
          <w:p>
            <w:pPr>
              <w:pStyle w:val="12"/>
            </w:pPr>
            <w:r>
              <w:t>应急物资储备</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1526.85</w:t>
            </w:r>
          </w:p>
        </w:tc>
        <w:tc>
          <w:tcPr>
            <w:tcW w:w="3402" w:type="dxa"/>
            <w:vAlign w:val="center"/>
          </w:tcPr>
          <w:p>
            <w:pPr>
              <w:pStyle w:val="12"/>
            </w:pPr>
            <w:r>
              <w:t>一、一般公共服务支出</w:t>
            </w:r>
          </w:p>
        </w:tc>
        <w:tc>
          <w:tcPr>
            <w:tcW w:w="1474" w:type="dxa"/>
            <w:vAlign w:val="center"/>
          </w:tcPr>
          <w:p>
            <w:pPr>
              <w:pStyle w:val="11"/>
            </w:pPr>
            <w:r>
              <w:t>674.14</w:t>
            </w:r>
          </w:p>
        </w:tc>
        <w:tc>
          <w:tcPr>
            <w:tcW w:w="1474" w:type="dxa"/>
            <w:vAlign w:val="center"/>
          </w:tcPr>
          <w:p>
            <w:pPr>
              <w:pStyle w:val="11"/>
            </w:pPr>
            <w:r>
              <w:t>674.14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56.70</w:t>
            </w:r>
          </w:p>
        </w:tc>
        <w:tc>
          <w:tcPr>
            <w:tcW w:w="1474" w:type="dxa"/>
            <w:vAlign w:val="center"/>
          </w:tcPr>
          <w:p>
            <w:pPr>
              <w:pStyle w:val="11"/>
            </w:pPr>
            <w:r>
              <w:t>56.70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22.35</w:t>
            </w:r>
          </w:p>
        </w:tc>
        <w:tc>
          <w:tcPr>
            <w:tcW w:w="1474" w:type="dxa"/>
            <w:vAlign w:val="center"/>
          </w:tcPr>
          <w:p>
            <w:pPr>
              <w:pStyle w:val="11"/>
            </w:pPr>
            <w:r>
              <w:t>22.35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150.00</w:t>
            </w:r>
          </w:p>
        </w:tc>
        <w:tc>
          <w:tcPr>
            <w:tcW w:w="1474" w:type="dxa"/>
            <w:vAlign w:val="center"/>
          </w:tcPr>
          <w:p>
            <w:pPr>
              <w:pStyle w:val="11"/>
            </w:pPr>
            <w:r>
              <w:t>150.00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28.00</w:t>
            </w:r>
          </w:p>
        </w:tc>
        <w:tc>
          <w:tcPr>
            <w:tcW w:w="1474" w:type="dxa"/>
            <w:vAlign w:val="center"/>
          </w:tcPr>
          <w:p>
            <w:pPr>
              <w:pStyle w:val="11"/>
            </w:pPr>
            <w:r>
              <w:t>28.00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595.66</w:t>
            </w:r>
          </w:p>
        </w:tc>
        <w:tc>
          <w:tcPr>
            <w:tcW w:w="1474" w:type="dxa"/>
            <w:vAlign w:val="center"/>
          </w:tcPr>
          <w:p>
            <w:pPr>
              <w:pStyle w:val="11"/>
            </w:pPr>
            <w:r>
              <w:t>595.66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1526.85</w:t>
            </w:r>
          </w:p>
        </w:tc>
        <w:tc>
          <w:tcPr>
            <w:tcW w:w="3402" w:type="dxa"/>
            <w:vAlign w:val="center"/>
          </w:tcPr>
          <w:p>
            <w:pPr>
              <w:pStyle w:val="14"/>
            </w:pPr>
            <w:r>
              <w:t>本年支出合计</w:t>
            </w:r>
          </w:p>
        </w:tc>
        <w:tc>
          <w:tcPr>
            <w:tcW w:w="1474" w:type="dxa"/>
            <w:vAlign w:val="center"/>
          </w:tcPr>
          <w:p>
            <w:pPr>
              <w:pStyle w:val="15"/>
            </w:pPr>
            <w:r>
              <w:t>1526.85</w:t>
            </w:r>
          </w:p>
        </w:tc>
        <w:tc>
          <w:tcPr>
            <w:tcW w:w="1474" w:type="dxa"/>
            <w:vAlign w:val="center"/>
          </w:tcPr>
          <w:p>
            <w:pPr>
              <w:pStyle w:val="15"/>
            </w:pPr>
            <w:r>
              <w:t>1526.85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1526.85</w:t>
            </w:r>
          </w:p>
        </w:tc>
        <w:tc>
          <w:tcPr>
            <w:tcW w:w="3402" w:type="dxa"/>
            <w:vAlign w:val="center"/>
          </w:tcPr>
          <w:p>
            <w:pPr>
              <w:pStyle w:val="14"/>
            </w:pPr>
            <w:r>
              <w:t>支出总计</w:t>
            </w:r>
          </w:p>
        </w:tc>
        <w:tc>
          <w:tcPr>
            <w:tcW w:w="1474" w:type="dxa"/>
            <w:vAlign w:val="center"/>
          </w:tcPr>
          <w:p>
            <w:pPr>
              <w:pStyle w:val="15"/>
            </w:pPr>
            <w:r>
              <w:t>1526.85</w:t>
            </w:r>
          </w:p>
        </w:tc>
        <w:tc>
          <w:tcPr>
            <w:tcW w:w="1474" w:type="dxa"/>
            <w:vAlign w:val="center"/>
          </w:tcPr>
          <w:p>
            <w:pPr>
              <w:pStyle w:val="15"/>
            </w:pPr>
            <w:r>
              <w:t>1526.85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1526.85</w:t>
            </w:r>
          </w:p>
        </w:tc>
        <w:tc>
          <w:tcPr>
            <w:tcW w:w="2551" w:type="dxa"/>
            <w:vAlign w:val="center"/>
          </w:tcPr>
          <w:p>
            <w:pPr>
              <w:pStyle w:val="15"/>
            </w:pPr>
            <w:r>
              <w:t>522.71</w:t>
            </w:r>
          </w:p>
        </w:tc>
        <w:tc>
          <w:tcPr>
            <w:tcW w:w="2551" w:type="dxa"/>
            <w:vAlign w:val="center"/>
          </w:tcPr>
          <w:p>
            <w:pPr>
              <w:pStyle w:val="15"/>
            </w:pPr>
            <w:r>
              <w:t>1004.14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674.14</w:t>
            </w:r>
          </w:p>
        </w:tc>
        <w:tc>
          <w:tcPr>
            <w:tcW w:w="2551" w:type="dxa"/>
            <w:vAlign w:val="center"/>
          </w:tcPr>
          <w:p>
            <w:pPr>
              <w:pStyle w:val="11"/>
            </w:pPr>
            <w:r>
              <w:t>415.66</w:t>
            </w:r>
          </w:p>
        </w:tc>
        <w:tc>
          <w:tcPr>
            <w:tcW w:w="2551" w:type="dxa"/>
            <w:vAlign w:val="center"/>
          </w:tcPr>
          <w:p>
            <w:pPr>
              <w:pStyle w:val="11"/>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674.14</w:t>
            </w:r>
          </w:p>
        </w:tc>
        <w:tc>
          <w:tcPr>
            <w:tcW w:w="2551" w:type="dxa"/>
            <w:vAlign w:val="center"/>
          </w:tcPr>
          <w:p>
            <w:pPr>
              <w:pStyle w:val="11"/>
            </w:pPr>
            <w:r>
              <w:t>415.66</w:t>
            </w:r>
          </w:p>
        </w:tc>
        <w:tc>
          <w:tcPr>
            <w:tcW w:w="2551" w:type="dxa"/>
            <w:vAlign w:val="center"/>
          </w:tcPr>
          <w:p>
            <w:pPr>
              <w:pStyle w:val="11"/>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415.66</w:t>
            </w:r>
          </w:p>
        </w:tc>
        <w:tc>
          <w:tcPr>
            <w:tcW w:w="2551" w:type="dxa"/>
            <w:vAlign w:val="center"/>
          </w:tcPr>
          <w:p>
            <w:pPr>
              <w:pStyle w:val="11"/>
            </w:pPr>
            <w:r>
              <w:t>415.66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222.00</w:t>
            </w:r>
          </w:p>
        </w:tc>
        <w:tc>
          <w:tcPr>
            <w:tcW w:w="2551" w:type="dxa"/>
            <w:vAlign w:val="center"/>
          </w:tcPr>
          <w:p>
            <w:pPr>
              <w:pStyle w:val="11"/>
            </w:pPr>
          </w:p>
        </w:tc>
        <w:tc>
          <w:tcPr>
            <w:tcW w:w="2551" w:type="dxa"/>
            <w:vAlign w:val="center"/>
          </w:tcPr>
          <w:p>
            <w:pPr>
              <w:pStyle w:val="11"/>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26.48</w:t>
            </w:r>
          </w:p>
        </w:tc>
        <w:tc>
          <w:tcPr>
            <w:tcW w:w="2551" w:type="dxa"/>
            <w:vAlign w:val="center"/>
          </w:tcPr>
          <w:p>
            <w:pPr>
              <w:pStyle w:val="11"/>
            </w:pPr>
          </w:p>
        </w:tc>
        <w:tc>
          <w:tcPr>
            <w:tcW w:w="2551" w:type="dxa"/>
            <w:vAlign w:val="center"/>
          </w:tcPr>
          <w:p>
            <w:pPr>
              <w:pStyle w:val="11"/>
            </w:pPr>
            <w:r>
              <w:t>26.48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56.70</w:t>
            </w:r>
          </w:p>
        </w:tc>
        <w:tc>
          <w:tcPr>
            <w:tcW w:w="2551" w:type="dxa"/>
            <w:vAlign w:val="center"/>
          </w:tcPr>
          <w:p>
            <w:pPr>
              <w:pStyle w:val="11"/>
            </w:pPr>
            <w:r>
              <w:t>56.70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51.87</w:t>
            </w:r>
          </w:p>
        </w:tc>
        <w:tc>
          <w:tcPr>
            <w:tcW w:w="2551" w:type="dxa"/>
            <w:vAlign w:val="center"/>
          </w:tcPr>
          <w:p>
            <w:pPr>
              <w:pStyle w:val="11"/>
            </w:pPr>
            <w:r>
              <w:t>51.87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45.75</w:t>
            </w:r>
          </w:p>
        </w:tc>
        <w:tc>
          <w:tcPr>
            <w:tcW w:w="2551" w:type="dxa"/>
            <w:vAlign w:val="center"/>
          </w:tcPr>
          <w:p>
            <w:pPr>
              <w:pStyle w:val="11"/>
            </w:pPr>
            <w:r>
              <w:t>45.75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6.12</w:t>
            </w:r>
          </w:p>
        </w:tc>
        <w:tc>
          <w:tcPr>
            <w:tcW w:w="2551" w:type="dxa"/>
            <w:vAlign w:val="center"/>
          </w:tcPr>
          <w:p>
            <w:pPr>
              <w:pStyle w:val="11"/>
            </w:pPr>
            <w:r>
              <w:t>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4.83</w:t>
            </w:r>
          </w:p>
        </w:tc>
        <w:tc>
          <w:tcPr>
            <w:tcW w:w="2551" w:type="dxa"/>
            <w:vAlign w:val="center"/>
          </w:tcPr>
          <w:p>
            <w:pPr>
              <w:pStyle w:val="11"/>
            </w:pPr>
            <w:r>
              <w:t>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4.83</w:t>
            </w:r>
          </w:p>
        </w:tc>
        <w:tc>
          <w:tcPr>
            <w:tcW w:w="2551" w:type="dxa"/>
            <w:vAlign w:val="center"/>
          </w:tcPr>
          <w:p>
            <w:pPr>
              <w:pStyle w:val="11"/>
            </w:pPr>
            <w:r>
              <w:t>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22.35</w:t>
            </w:r>
          </w:p>
        </w:tc>
        <w:tc>
          <w:tcPr>
            <w:tcW w:w="2551" w:type="dxa"/>
            <w:vAlign w:val="center"/>
          </w:tcPr>
          <w:p>
            <w:pPr>
              <w:pStyle w:val="11"/>
            </w:pPr>
            <w:r>
              <w:t>22.35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22.35</w:t>
            </w:r>
          </w:p>
        </w:tc>
        <w:tc>
          <w:tcPr>
            <w:tcW w:w="2551" w:type="dxa"/>
            <w:vAlign w:val="center"/>
          </w:tcPr>
          <w:p>
            <w:pPr>
              <w:pStyle w:val="11"/>
            </w:pPr>
            <w:r>
              <w:t>22.35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22.35</w:t>
            </w:r>
          </w:p>
        </w:tc>
        <w:tc>
          <w:tcPr>
            <w:tcW w:w="2551" w:type="dxa"/>
            <w:vAlign w:val="center"/>
          </w:tcPr>
          <w:p>
            <w:pPr>
              <w:pStyle w:val="11"/>
            </w:pPr>
            <w:r>
              <w:t>22.35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21699</w:t>
            </w:r>
          </w:p>
        </w:tc>
        <w:tc>
          <w:tcPr>
            <w:tcW w:w="4535" w:type="dxa"/>
            <w:vAlign w:val="center"/>
          </w:tcPr>
          <w:p>
            <w:pPr>
              <w:pStyle w:val="12"/>
            </w:pPr>
            <w:r>
              <w:t>其他商业服务业等支出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2169999</w:t>
            </w:r>
          </w:p>
        </w:tc>
        <w:tc>
          <w:tcPr>
            <w:tcW w:w="4535" w:type="dxa"/>
            <w:vAlign w:val="center"/>
          </w:tcPr>
          <w:p>
            <w:pPr>
              <w:pStyle w:val="12"/>
            </w:pPr>
            <w:r>
              <w:t>其他商业服务业等支出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595.66</w:t>
            </w:r>
          </w:p>
        </w:tc>
        <w:tc>
          <w:tcPr>
            <w:tcW w:w="2551" w:type="dxa"/>
            <w:vAlign w:val="center"/>
          </w:tcPr>
          <w:p>
            <w:pPr>
              <w:pStyle w:val="11"/>
            </w:pPr>
          </w:p>
        </w:tc>
        <w:tc>
          <w:tcPr>
            <w:tcW w:w="2551" w:type="dxa"/>
            <w:vAlign w:val="center"/>
          </w:tcPr>
          <w:p>
            <w:pPr>
              <w:pStyle w:val="11"/>
            </w:pPr>
            <w:r>
              <w:t>595.66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14.35</w:t>
            </w:r>
          </w:p>
        </w:tc>
        <w:tc>
          <w:tcPr>
            <w:tcW w:w="2551" w:type="dxa"/>
            <w:vAlign w:val="center"/>
          </w:tcPr>
          <w:p>
            <w:pPr>
              <w:pStyle w:val="11"/>
            </w:pPr>
          </w:p>
        </w:tc>
        <w:tc>
          <w:tcPr>
            <w:tcW w:w="2551" w:type="dxa"/>
            <w:vAlign w:val="center"/>
          </w:tcPr>
          <w:p>
            <w:pPr>
              <w:pStyle w:val="11"/>
            </w:pPr>
            <w:r>
              <w:t>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14.35</w:t>
            </w:r>
          </w:p>
        </w:tc>
        <w:tc>
          <w:tcPr>
            <w:tcW w:w="2551" w:type="dxa"/>
            <w:vAlign w:val="center"/>
          </w:tcPr>
          <w:p>
            <w:pPr>
              <w:pStyle w:val="11"/>
            </w:pPr>
          </w:p>
        </w:tc>
        <w:tc>
          <w:tcPr>
            <w:tcW w:w="2551" w:type="dxa"/>
            <w:vAlign w:val="center"/>
          </w:tcPr>
          <w:p>
            <w:pPr>
              <w:pStyle w:val="11"/>
            </w:pPr>
            <w:r>
              <w:t>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575.31</w:t>
            </w:r>
          </w:p>
        </w:tc>
        <w:tc>
          <w:tcPr>
            <w:tcW w:w="2551" w:type="dxa"/>
            <w:vAlign w:val="center"/>
          </w:tcPr>
          <w:p>
            <w:pPr>
              <w:pStyle w:val="11"/>
            </w:pPr>
          </w:p>
        </w:tc>
        <w:tc>
          <w:tcPr>
            <w:tcW w:w="2551" w:type="dxa"/>
            <w:vAlign w:val="center"/>
          </w:tcPr>
          <w:p>
            <w:pPr>
              <w:pStyle w:val="11"/>
            </w:pPr>
            <w:r>
              <w:t>575.31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2220403</w:t>
            </w:r>
          </w:p>
        </w:tc>
        <w:tc>
          <w:tcPr>
            <w:tcW w:w="4535" w:type="dxa"/>
            <w:vAlign w:val="center"/>
          </w:tcPr>
          <w:p>
            <w:pPr>
              <w:pStyle w:val="12"/>
            </w:pPr>
            <w:r>
              <w:t>储备粮（油）库建设</w:t>
            </w:r>
          </w:p>
        </w:tc>
        <w:tc>
          <w:tcPr>
            <w:tcW w:w="2551" w:type="dxa"/>
            <w:vAlign w:val="center"/>
          </w:tcPr>
          <w:p>
            <w:pPr>
              <w:pStyle w:val="11"/>
            </w:pPr>
            <w:r>
              <w:t>555.31</w:t>
            </w:r>
          </w:p>
        </w:tc>
        <w:tc>
          <w:tcPr>
            <w:tcW w:w="2551" w:type="dxa"/>
            <w:vAlign w:val="center"/>
          </w:tcPr>
          <w:p>
            <w:pPr>
              <w:pStyle w:val="11"/>
            </w:pPr>
          </w:p>
        </w:tc>
        <w:tc>
          <w:tcPr>
            <w:tcW w:w="2551" w:type="dxa"/>
            <w:vAlign w:val="center"/>
          </w:tcPr>
          <w:p>
            <w:pPr>
              <w:pStyle w:val="11"/>
            </w:pPr>
            <w:r>
              <w:t>555.31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22205</w:t>
            </w:r>
          </w:p>
        </w:tc>
        <w:tc>
          <w:tcPr>
            <w:tcW w:w="4535" w:type="dxa"/>
            <w:vAlign w:val="center"/>
          </w:tcPr>
          <w:p>
            <w:pPr>
              <w:pStyle w:val="12"/>
            </w:pPr>
            <w:r>
              <w:t>重要商品储备</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2220511</w:t>
            </w:r>
          </w:p>
        </w:tc>
        <w:tc>
          <w:tcPr>
            <w:tcW w:w="4535" w:type="dxa"/>
            <w:vAlign w:val="center"/>
          </w:tcPr>
          <w:p>
            <w:pPr>
              <w:pStyle w:val="12"/>
            </w:pPr>
            <w:r>
              <w:t>应急物资储备</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val="en-US" w:eastAsia="zh-CN"/>
              </w:rPr>
              <w:t>部门</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522.71</w:t>
            </w:r>
          </w:p>
        </w:tc>
        <w:tc>
          <w:tcPr>
            <w:tcW w:w="2551" w:type="dxa"/>
            <w:vAlign w:val="center"/>
          </w:tcPr>
          <w:p>
            <w:pPr>
              <w:pStyle w:val="15"/>
            </w:pPr>
            <w:r>
              <w:t>484.65</w:t>
            </w:r>
          </w:p>
        </w:tc>
        <w:tc>
          <w:tcPr>
            <w:tcW w:w="2551" w:type="dxa"/>
            <w:vAlign w:val="center"/>
          </w:tcPr>
          <w:p>
            <w:pPr>
              <w:pStyle w:val="15"/>
            </w:pPr>
            <w:r>
              <w:t>38.06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468.09</w:t>
            </w:r>
          </w:p>
        </w:tc>
        <w:tc>
          <w:tcPr>
            <w:tcW w:w="2551" w:type="dxa"/>
            <w:vAlign w:val="center"/>
          </w:tcPr>
          <w:p>
            <w:pPr>
              <w:pStyle w:val="11"/>
            </w:pPr>
            <w:r>
              <w:t>468.09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212.53</w:t>
            </w:r>
          </w:p>
        </w:tc>
        <w:tc>
          <w:tcPr>
            <w:tcW w:w="2551" w:type="dxa"/>
            <w:vAlign w:val="center"/>
          </w:tcPr>
          <w:p>
            <w:pPr>
              <w:pStyle w:val="11"/>
            </w:pPr>
            <w:r>
              <w:t>212.53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125.12</w:t>
            </w:r>
          </w:p>
        </w:tc>
        <w:tc>
          <w:tcPr>
            <w:tcW w:w="2551" w:type="dxa"/>
            <w:vAlign w:val="center"/>
          </w:tcPr>
          <w:p>
            <w:pPr>
              <w:pStyle w:val="11"/>
            </w:pPr>
            <w:r>
              <w:t>125.12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12.42</w:t>
            </w:r>
          </w:p>
        </w:tc>
        <w:tc>
          <w:tcPr>
            <w:tcW w:w="2551" w:type="dxa"/>
            <w:vAlign w:val="center"/>
          </w:tcPr>
          <w:p>
            <w:pPr>
              <w:pStyle w:val="11"/>
            </w:pPr>
            <w:r>
              <w:t>12.42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14.62</w:t>
            </w:r>
          </w:p>
        </w:tc>
        <w:tc>
          <w:tcPr>
            <w:tcW w:w="2551" w:type="dxa"/>
            <w:vAlign w:val="center"/>
          </w:tcPr>
          <w:p>
            <w:pPr>
              <w:pStyle w:val="11"/>
            </w:pPr>
            <w:r>
              <w:t>14.62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45.75</w:t>
            </w:r>
          </w:p>
        </w:tc>
        <w:tc>
          <w:tcPr>
            <w:tcW w:w="2551" w:type="dxa"/>
            <w:vAlign w:val="center"/>
          </w:tcPr>
          <w:p>
            <w:pPr>
              <w:pStyle w:val="11"/>
            </w:pPr>
            <w:r>
              <w:t>45.75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6.12</w:t>
            </w:r>
          </w:p>
        </w:tc>
        <w:tc>
          <w:tcPr>
            <w:tcW w:w="2551" w:type="dxa"/>
            <w:vAlign w:val="center"/>
          </w:tcPr>
          <w:p>
            <w:pPr>
              <w:pStyle w:val="11"/>
            </w:pPr>
            <w:r>
              <w:t>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22.35</w:t>
            </w:r>
          </w:p>
        </w:tc>
        <w:tc>
          <w:tcPr>
            <w:tcW w:w="2551" w:type="dxa"/>
            <w:vAlign w:val="center"/>
          </w:tcPr>
          <w:p>
            <w:pPr>
              <w:pStyle w:val="11"/>
            </w:pPr>
            <w:r>
              <w:t>22.35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1.18</w:t>
            </w:r>
          </w:p>
        </w:tc>
        <w:tc>
          <w:tcPr>
            <w:tcW w:w="2551" w:type="dxa"/>
            <w:vAlign w:val="center"/>
          </w:tcPr>
          <w:p>
            <w:pPr>
              <w:pStyle w:val="11"/>
            </w:pPr>
            <w:r>
              <w:t>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38.06</w:t>
            </w:r>
          </w:p>
        </w:tc>
        <w:tc>
          <w:tcPr>
            <w:tcW w:w="2551" w:type="dxa"/>
            <w:vAlign w:val="center"/>
          </w:tcPr>
          <w:p>
            <w:pPr>
              <w:pStyle w:val="11"/>
            </w:pPr>
          </w:p>
        </w:tc>
        <w:tc>
          <w:tcPr>
            <w:tcW w:w="2551" w:type="dxa"/>
            <w:vAlign w:val="center"/>
          </w:tcPr>
          <w:p>
            <w:pPr>
              <w:pStyle w:val="11"/>
            </w:pPr>
            <w:r>
              <w:t>38.06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21.06</w:t>
            </w:r>
          </w:p>
        </w:tc>
        <w:tc>
          <w:tcPr>
            <w:tcW w:w="2551" w:type="dxa"/>
            <w:vAlign w:val="center"/>
          </w:tcPr>
          <w:p>
            <w:pPr>
              <w:pStyle w:val="11"/>
            </w:pPr>
          </w:p>
        </w:tc>
        <w:tc>
          <w:tcPr>
            <w:tcW w:w="2551" w:type="dxa"/>
            <w:vAlign w:val="center"/>
          </w:tcPr>
          <w:p>
            <w:pPr>
              <w:pStyle w:val="11"/>
            </w:pPr>
            <w:r>
              <w:t>21.06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2.68</w:t>
            </w:r>
          </w:p>
        </w:tc>
        <w:tc>
          <w:tcPr>
            <w:tcW w:w="2551" w:type="dxa"/>
            <w:vAlign w:val="center"/>
          </w:tcPr>
          <w:p>
            <w:pPr>
              <w:pStyle w:val="11"/>
            </w:pPr>
          </w:p>
        </w:tc>
        <w:tc>
          <w:tcPr>
            <w:tcW w:w="2551" w:type="dxa"/>
            <w:vAlign w:val="center"/>
          </w:tcPr>
          <w:p>
            <w:pPr>
              <w:pStyle w:val="11"/>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16.56</w:t>
            </w:r>
          </w:p>
        </w:tc>
        <w:tc>
          <w:tcPr>
            <w:tcW w:w="2551" w:type="dxa"/>
            <w:vAlign w:val="center"/>
          </w:tcPr>
          <w:p>
            <w:pPr>
              <w:pStyle w:val="11"/>
            </w:pPr>
            <w:r>
              <w:t>16.56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11.01</w:t>
            </w:r>
          </w:p>
        </w:tc>
        <w:tc>
          <w:tcPr>
            <w:tcW w:w="2551" w:type="dxa"/>
            <w:vAlign w:val="center"/>
          </w:tcPr>
          <w:p>
            <w:pPr>
              <w:pStyle w:val="11"/>
            </w:pPr>
            <w:r>
              <w:t>11.01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4.83</w:t>
            </w:r>
          </w:p>
        </w:tc>
        <w:tc>
          <w:tcPr>
            <w:tcW w:w="2551" w:type="dxa"/>
            <w:vAlign w:val="center"/>
          </w:tcPr>
          <w:p>
            <w:pPr>
              <w:pStyle w:val="11"/>
            </w:pPr>
            <w:r>
              <w:t>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eastAsia="方正书宋_GBK"/>
                <w:lang w:val="en-US" w:eastAsia="zh-CN"/>
              </w:rPr>
            </w:pPr>
            <w:r>
              <w:rPr>
                <w:rFonts w:hint="eastAsia"/>
                <w:lang w:val="en-US" w:eastAsia="zh-CN"/>
              </w:rPr>
              <w:t>0.5</w:t>
            </w:r>
          </w:p>
        </w:tc>
        <w:tc>
          <w:tcPr>
            <w:tcW w:w="2381" w:type="dxa"/>
            <w:vAlign w:val="center"/>
          </w:tcPr>
          <w:p>
            <w:pPr>
              <w:pStyle w:val="15"/>
              <w:rPr>
                <w:rFonts w:hint="default" w:eastAsia="方正书宋_GBK"/>
                <w:lang w:val="en-US" w:eastAsia="zh-CN"/>
              </w:rPr>
            </w:pPr>
            <w:r>
              <w:rPr>
                <w:rFonts w:hint="eastAsia"/>
                <w:lang w:val="en-US" w:eastAsia="zh-CN"/>
              </w:rPr>
              <w:t>0.5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default" w:eastAsia="方正书宋_GBK"/>
                <w:lang w:val="en-US" w:eastAsia="zh-CN"/>
              </w:rPr>
            </w:pPr>
            <w:r>
              <w:rPr>
                <w:rFonts w:hint="eastAsia"/>
                <w:lang w:val="en-US" w:eastAsia="zh-CN"/>
              </w:rPr>
              <w:t>0.5</w:t>
            </w:r>
          </w:p>
        </w:tc>
        <w:tc>
          <w:tcPr>
            <w:tcW w:w="2381" w:type="dxa"/>
            <w:vAlign w:val="center"/>
          </w:tcPr>
          <w:p>
            <w:pPr>
              <w:pStyle w:val="11"/>
              <w:rPr>
                <w:rFonts w:hint="default" w:eastAsia="方正书宋_GBK"/>
                <w:lang w:val="en-US" w:eastAsia="zh-CN"/>
              </w:rPr>
            </w:pPr>
            <w:r>
              <w:rPr>
                <w:rFonts w:hint="eastAsia"/>
                <w:lang w:val="en-US" w:eastAsia="zh-CN"/>
              </w:rPr>
              <w:t>0.5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隆尧县发展和改革局本级2022年单位预算信息公开情况说明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按照《预算法》、《地方预决算公开操作规程》和《关于进一步推进预算公开工作的实施意见》规定，现将隆尧县发展和改革局本级2022年单位预算公开如下：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hint="eastAsia" w:eastAsiaTheme="minorEastAsia"/>
          <w:lang w:eastAsia="zh-CN"/>
        </w:rPr>
      </w:pPr>
      <w:r>
        <w:rPr>
          <w:rFonts w:ascii="方正楷体_GBK" w:hAnsi="方正楷体_GBK" w:eastAsia="方正楷体_GBK" w:cs="方正楷体_GBK"/>
          <w:b/>
          <w:color w:val="000000"/>
          <w:sz w:val="32"/>
        </w:rPr>
        <w:t>单位职责</w:t>
      </w:r>
    </w:p>
    <w:p>
      <w:pPr>
        <w:pStyle w:val="29"/>
      </w:pPr>
      <w:r>
        <w:t>根据《中共邢台市委办公室邢台市人民政府办公室关于印发〈隆尧县机构改革方案〉的通知》（邢办字〔2018〕79号），成立隆尧县发展和改革局（简称县发展和改革局）为县政府工作</w:t>
      </w:r>
      <w:r>
        <w:rPr>
          <w:rFonts w:hint="eastAsia"/>
          <w:lang w:val="en-US" w:eastAsia="zh-CN"/>
        </w:rPr>
        <w:t>部门</w:t>
      </w:r>
      <w:r>
        <w:t>,机构规格正科级，加挂隆尧县粮食和物资储备局牌子。中共隆尧县委财经委员会办公室（简称县委财经办）设在县发展和改革局，接受中共隆尧县委财经委员会的直接领导，承担中共隆尧县委财经委员会具体工作。贯彻落实党中央和省委、市委、县委关于国民经济和社会发展以及粮食流通的方针政策和决策部署，坚持和加强党对发展改革工作的统一领导。主要职责是：</w:t>
      </w:r>
    </w:p>
    <w:p>
      <w:pPr>
        <w:pStyle w:val="29"/>
      </w:pPr>
      <w: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pStyle w:val="29"/>
      </w:pPr>
      <w:r>
        <w:t>（二）贯彻落实国家和省、市宏观调控政策，统筹提出全县国民经济和社会发展主要目标，监测经济和社会发展态势，研究分析经济形势，提出政策建议。</w:t>
      </w:r>
    </w:p>
    <w:p>
      <w:pPr>
        <w:pStyle w:val="29"/>
      </w:pPr>
      <w:r>
        <w:t>（三）指导推进和综合协调经济体制改革有关工作，研究全县经济体制改革的重大问题，组织拟订综合性经济体制改革方案。</w:t>
      </w:r>
    </w:p>
    <w:p>
      <w:pPr>
        <w:pStyle w:val="29"/>
      </w:pPr>
      <w:r>
        <w:t>（四）拟订固定资产投资规模和投资结构的调控目标、政策及措施；安排县重点建设项目，组织申报省、市重点项目；指导和协调全县招标投标工作。</w:t>
      </w:r>
    </w:p>
    <w:p>
      <w:pPr>
        <w:pStyle w:val="29"/>
      </w:pPr>
      <w:r>
        <w:t>（五）推进经济结构战略性调整。组织实施综合性产业政策，负责协调全县第一、二、三产业发展的重大问题并衔接平衡相关发展规划和重大政策，做好与国民经济和社会发展规划、计划的衔接平衡。</w:t>
      </w:r>
    </w:p>
    <w:p>
      <w:pPr>
        <w:pStyle w:val="29"/>
      </w:pPr>
      <w:r>
        <w:t>（六）提出能源发展战略的建议，协调能源发展和改革中的重大问题，负责能源行业节能和资源综合利用。</w:t>
      </w:r>
    </w:p>
    <w:p>
      <w:pPr>
        <w:pStyle w:val="29"/>
      </w:pPr>
      <w:r>
        <w:t>（七）推进可持续发展战略，负责节能综合协调工作；协调发展循环经济、生态建设、能源资源节约和综合利用的重大问题。</w:t>
      </w:r>
    </w:p>
    <w:p>
      <w:pPr>
        <w:pStyle w:val="29"/>
      </w:pPr>
      <w:r>
        <w:t>（八）组织实施全县国民经济动员有关工作；承担县国防动员委员会交办的有关具体工作。</w:t>
      </w:r>
    </w:p>
    <w:p>
      <w:pPr>
        <w:pStyle w:val="29"/>
      </w:pPr>
      <w: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pStyle w:val="29"/>
      </w:pPr>
      <w:r>
        <w:t>（十）组织谋划、实施事关全县经济和社会发展全局的重大建设项目；编制全县重点建设项目年度工作计划并监督执行；调度重点建设项目实施进度，协调解决重大问题。</w:t>
      </w:r>
    </w:p>
    <w:p>
      <w:pPr>
        <w:pStyle w:val="29"/>
      </w:pPr>
      <w: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pStyle w:val="29"/>
      </w:pPr>
      <w: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pStyle w:val="29"/>
      </w:pPr>
      <w:r>
        <w:t>（十三）对贯彻落实有关粮食法律法规、政策制度进行监督检查。负责社会粮食流通执法检查，负责粮食收购、储存、运输环节粮食质量安全和原粮卫生的监督管理，组织实施全县粮食库存检查工作。</w:t>
      </w:r>
    </w:p>
    <w:p>
      <w:pPr>
        <w:pStyle w:val="29"/>
        <w:rPr>
          <w:rFonts w:hint="eastAsia" w:eastAsiaTheme="minorEastAsia"/>
          <w:lang w:val="uk-UA" w:eastAsia="zh-CN"/>
        </w:rPr>
      </w:pPr>
      <w: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按照预算管理有关规定，目前我县</w:t>
      </w:r>
      <w:r>
        <w:rPr>
          <w:rFonts w:hint="eastAsia"/>
          <w:lang w:eastAsia="zh-CN"/>
        </w:rPr>
        <w:t>单位</w:t>
      </w:r>
      <w:r>
        <w:t>预算的编制实行综合预算管理，即全部收入和支出都反映的预算中。隆尧县发展和改革局的收支包含在</w:t>
      </w:r>
      <w:r>
        <w:rPr>
          <w:rFonts w:hint="eastAsia"/>
          <w:lang w:eastAsia="zh-CN"/>
        </w:rPr>
        <w:t>单位</w:t>
      </w:r>
      <w:r>
        <w:t>预算中。</w:t>
      </w:r>
    </w:p>
    <w:p>
      <w:pPr>
        <w:pStyle w:val="30"/>
      </w:pPr>
      <w:r>
        <w:t>1、收入说明</w:t>
      </w:r>
    </w:p>
    <w:p>
      <w:pPr>
        <w:pStyle w:val="30"/>
      </w:pPr>
      <w:r>
        <w:t>反映本</w:t>
      </w:r>
      <w:r>
        <w:rPr>
          <w:rFonts w:hint="eastAsia"/>
          <w:lang w:eastAsia="zh-CN"/>
        </w:rPr>
        <w:t>单位</w:t>
      </w:r>
      <w:r>
        <w:t>当年全部收入。2022年预算收入1526.85万元，其中：一般公共预算收入1526.85万元，基金预算收入0万元，财政专户核拨收入0万元，其他来源收入0万元。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收支预算总表支出栏、基本支出表、项目支出表按经济分类和支出功能分类科目编制，反映隆尧县发展和改革局年度</w:t>
      </w:r>
      <w:r>
        <w:rPr>
          <w:rFonts w:hint="eastAsia"/>
          <w:lang w:eastAsia="zh-CN"/>
        </w:rPr>
        <w:t>单位</w:t>
      </w:r>
      <w:r>
        <w:t>预算中支出预算的总体情况。2022年</w:t>
      </w:r>
      <w:r>
        <w:rPr>
          <w:rFonts w:hint="eastAsia"/>
          <w:lang w:eastAsia="zh-CN"/>
        </w:rPr>
        <w:t>单位</w:t>
      </w:r>
      <w:r>
        <w:t>支出预算为1526.85万元，其中基本支出522.71万元，包括人员经费484.65万元和日常公用经费38.06万元；项目支出1004.14万元，主要为双创双服活动2万元、退役军人专岗12.48万元、成品粮储备费用补贴20万元、全县重点项目建设经费17万元、重点项目固定资产投资核查核心投资考核成本监审(第三方购买服务)5万元、听证会经费（城乡公交车出租车票价）1万元、价格认定经费6万元、第三方成本核算 （联村供水出租车运行农村客运班车成本）3万元、粮食安全责任制考核及粮食质量安全监测管理及流通执法3万元、隆尧县粮油质检站项目11.35万元、全县食盐储备资金项目14万元、隆尧县救灾物资储备管理6万元，隆尧县政策指导咨询服务项目198万元，河北宝信物流有限公司城市与乡村共同配送项目150万元，冀财建【2021】181号/隆尧县京隆粮油购销有限公司仓储扩建项目455.3</w:t>
      </w:r>
      <w:r>
        <w:rPr>
          <w:rFonts w:hint="eastAsia"/>
          <w:lang w:val="en-US" w:eastAsia="zh-CN"/>
        </w:rPr>
        <w:t>1</w:t>
      </w:r>
      <w:r>
        <w:t>万元，冀财建【2021】181号/扩建2万吨仓容量的标准仓房100万元。</w:t>
      </w:r>
    </w:p>
    <w:p>
      <w:pPr>
        <w:pStyle w:val="30"/>
      </w:pPr>
      <w:r>
        <w:t>3、比上年增减情况</w:t>
      </w:r>
    </w:p>
    <w:p>
      <w:pPr>
        <w:pStyle w:val="30"/>
        <w:rPr>
          <w:rFonts w:hint="eastAsia" w:eastAsiaTheme="minorEastAsia"/>
          <w:lang w:eastAsia="zh-CN"/>
        </w:rPr>
      </w:pPr>
      <w:r>
        <w:t>2022年</w:t>
      </w:r>
      <w:r>
        <w:rPr>
          <w:rFonts w:hint="eastAsia"/>
          <w:lang w:val="en-US" w:eastAsia="zh-CN"/>
        </w:rPr>
        <w:t>我局</w:t>
      </w:r>
      <w:r>
        <w:t>预算收支安排1526.85万元，较2021年增加697.56万元，其中：基本支出增加180.22万元，主要经费自理人员经费由项目经费调至基本支出；项目支出增加517.35万元，主要是京隆粮油购销有限公司仓储扩建项目经费增加。</w:t>
      </w:r>
    </w:p>
    <w:p>
      <w:pPr>
        <w:spacing w:before="10" w:after="10"/>
        <w:ind w:firstLine="640"/>
        <w:outlineLvl w:val="5"/>
      </w:pPr>
      <w:r>
        <w:rPr>
          <w:rFonts w:ascii="黑体" w:hAnsi="黑体" w:eastAsia="黑体" w:cs="黑体"/>
          <w:color w:val="000000"/>
          <w:sz w:val="32"/>
        </w:rPr>
        <w:t>三、机关运行经费安排情况</w:t>
      </w:r>
    </w:p>
    <w:p>
      <w:pPr>
        <w:pStyle w:val="31"/>
      </w:pPr>
      <w:r>
        <w:t>2022年,我局</w:t>
      </w:r>
      <w:r>
        <w:rPr>
          <w:rFonts w:hint="eastAsia" w:eastAsiaTheme="minorEastAsia"/>
          <w:lang w:eastAsia="zh-CN"/>
        </w:rPr>
        <w:t>机关</w:t>
      </w:r>
      <w:r>
        <w:t>运行经费共计安排38.06万元，主要用于日常维修、办公费、邮电费、劳务费、印刷费、差旅费、办公用房取暖费、党组织活动经费、工会经费、福利费、其他商品和服务支出及公务交通补贴等日常运行支出。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2022年，我局财政拨款“三公”经费预算安排0.5万元，其中因公出国（境）费0万元，公务用车购置及运行费0万元</w:t>
      </w:r>
      <w:r>
        <w:rPr>
          <w:rFonts w:hint="eastAsia"/>
          <w:lang w:eastAsia="zh-CN"/>
        </w:rPr>
        <w:t>（</w:t>
      </w:r>
      <w:r>
        <w:rPr>
          <w:rFonts w:hint="eastAsia"/>
          <w:lang w:val="en-US" w:eastAsia="zh-CN"/>
        </w:rPr>
        <w:t>其中：公务用车购置费为0万元，公务用车运维费0万元</w:t>
      </w:r>
      <w:r>
        <w:rPr>
          <w:rFonts w:hint="eastAsia"/>
          <w:lang w:eastAsia="zh-CN"/>
        </w:rPr>
        <w:t>）</w:t>
      </w:r>
      <w:r>
        <w:t>，公务接待费0.5万元。与2021年相比</w:t>
      </w:r>
      <w:r>
        <w:rPr>
          <w:rFonts w:hint="eastAsia"/>
          <w:lang w:val="en-US" w:eastAsia="zh-CN"/>
        </w:rPr>
        <w:t>减少0.5万元</w:t>
      </w:r>
      <w:r>
        <w:rPr>
          <w:rFonts w:hint="eastAsia"/>
          <w:lang w:eastAsia="zh-CN"/>
        </w:rPr>
        <w:t>，</w:t>
      </w:r>
      <w:r>
        <w:rPr>
          <w:rFonts w:hint="eastAsia"/>
          <w:lang w:val="en-US" w:eastAsia="zh-CN"/>
        </w:rPr>
        <w:t>减少的主要原因是：根据公务接待实际情况减少公务接待费预算。</w:t>
      </w:r>
    </w:p>
    <w:p>
      <w:pPr>
        <w:pStyle w:val="32"/>
      </w:pP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1、成品粮储备费用补贴绩效目标表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1.提高我县应对自然灾害防控能力，保障面粉市场供应</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储存面粉数量</w:t>
            </w:r>
          </w:p>
        </w:tc>
        <w:tc>
          <w:tcPr>
            <w:tcW w:w="2835" w:type="dxa"/>
            <w:vAlign w:val="center"/>
          </w:tcPr>
          <w:p>
            <w:pPr>
              <w:pStyle w:val="26"/>
            </w:pPr>
            <w:r>
              <w:t>应急储备面粉数量（吨）</w:t>
            </w:r>
          </w:p>
        </w:tc>
        <w:tc>
          <w:tcPr>
            <w:tcW w:w="2551" w:type="dxa"/>
            <w:vAlign w:val="center"/>
          </w:tcPr>
          <w:p>
            <w:pPr>
              <w:pStyle w:val="26"/>
            </w:pPr>
            <w:r>
              <w:t>2000</w:t>
            </w:r>
          </w:p>
        </w:tc>
        <w:tc>
          <w:tcPr>
            <w:tcW w:w="2268" w:type="dxa"/>
            <w:vAlign w:val="center"/>
          </w:tcPr>
          <w:p>
            <w:pPr>
              <w:pStyle w:val="26"/>
            </w:pPr>
            <w:r>
              <w:t>清查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质量安全率</w:t>
            </w:r>
          </w:p>
        </w:tc>
        <w:tc>
          <w:tcPr>
            <w:tcW w:w="2835" w:type="dxa"/>
            <w:vAlign w:val="center"/>
          </w:tcPr>
          <w:p>
            <w:pPr>
              <w:pStyle w:val="26"/>
            </w:pPr>
            <w:r>
              <w:t>储存安全面粉数量/储存面粉数量*100%</w:t>
            </w:r>
          </w:p>
        </w:tc>
        <w:tc>
          <w:tcPr>
            <w:tcW w:w="2551" w:type="dxa"/>
            <w:vAlign w:val="center"/>
          </w:tcPr>
          <w:p>
            <w:pPr>
              <w:pStyle w:val="26"/>
            </w:pPr>
            <w:r>
              <w:t>100</w:t>
            </w:r>
          </w:p>
        </w:tc>
        <w:tc>
          <w:tcPr>
            <w:tcW w:w="2268" w:type="dxa"/>
            <w:vAlign w:val="center"/>
          </w:tcPr>
          <w:p>
            <w:pPr>
              <w:pStyle w:val="26"/>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任务完成及时率</w:t>
            </w:r>
          </w:p>
        </w:tc>
        <w:tc>
          <w:tcPr>
            <w:tcW w:w="2835" w:type="dxa"/>
            <w:vAlign w:val="center"/>
          </w:tcPr>
          <w:p>
            <w:pPr>
              <w:pStyle w:val="26"/>
            </w:pPr>
            <w:r>
              <w:t>任务完成程度</w:t>
            </w:r>
          </w:p>
        </w:tc>
        <w:tc>
          <w:tcPr>
            <w:tcW w:w="2551" w:type="dxa"/>
            <w:vAlign w:val="center"/>
          </w:tcPr>
          <w:p>
            <w:pPr>
              <w:pStyle w:val="26"/>
            </w:pPr>
            <w:r>
              <w:t>2000保证经常储存量2000吨</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预算总成本</w:t>
            </w:r>
          </w:p>
          <w:p>
            <w:pPr>
              <w:pStyle w:val="26"/>
            </w:pPr>
          </w:p>
        </w:tc>
        <w:tc>
          <w:tcPr>
            <w:tcW w:w="2835" w:type="dxa"/>
            <w:vAlign w:val="center"/>
          </w:tcPr>
          <w:p>
            <w:pPr>
              <w:pStyle w:val="26"/>
            </w:pPr>
            <w:r>
              <w:t>预算总成本20万元</w:t>
            </w:r>
          </w:p>
        </w:tc>
        <w:tc>
          <w:tcPr>
            <w:tcW w:w="2551" w:type="dxa"/>
            <w:vAlign w:val="center"/>
          </w:tcPr>
          <w:p>
            <w:pPr>
              <w:pStyle w:val="26"/>
            </w:pPr>
            <w:r>
              <w:t>2000000补贴总额20万元</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100保障市场供应</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企业满意度</w:t>
            </w:r>
          </w:p>
        </w:tc>
        <w:tc>
          <w:tcPr>
            <w:tcW w:w="2835" w:type="dxa"/>
            <w:vAlign w:val="center"/>
          </w:tcPr>
          <w:p>
            <w:pPr>
              <w:pStyle w:val="26"/>
            </w:pPr>
            <w:r>
              <w:t>企业满意度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2、第三方成本核算（联村供水出租车运行农村客运班车成本）绩效目标表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1.完成联村供水、农村客运成本、出租车运行成本核算</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需要成本核算数量</w:t>
            </w:r>
          </w:p>
        </w:tc>
        <w:tc>
          <w:tcPr>
            <w:tcW w:w="2835" w:type="dxa"/>
            <w:vAlign w:val="center"/>
          </w:tcPr>
          <w:p>
            <w:pPr>
              <w:pStyle w:val="26"/>
            </w:pPr>
            <w:r>
              <w:t>全年完成成本核算数量</w:t>
            </w:r>
          </w:p>
        </w:tc>
        <w:tc>
          <w:tcPr>
            <w:tcW w:w="2551" w:type="dxa"/>
            <w:vAlign w:val="center"/>
          </w:tcPr>
          <w:p>
            <w:pPr>
              <w:pStyle w:val="26"/>
            </w:pPr>
            <w:r>
              <w:t>3个</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完成率</w:t>
            </w:r>
          </w:p>
        </w:tc>
        <w:tc>
          <w:tcPr>
            <w:tcW w:w="2835" w:type="dxa"/>
            <w:vAlign w:val="center"/>
          </w:tcPr>
          <w:p>
            <w:pPr>
              <w:pStyle w:val="26"/>
            </w:pPr>
            <w:r>
              <w:t>完成量占计划比例</w:t>
            </w:r>
          </w:p>
        </w:tc>
        <w:tc>
          <w:tcPr>
            <w:tcW w:w="2551" w:type="dxa"/>
            <w:vAlign w:val="center"/>
          </w:tcPr>
          <w:p>
            <w:pPr>
              <w:pStyle w:val="26"/>
            </w:pPr>
            <w:r>
              <w:t>≥90%</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工作任务完成及时率</w:t>
            </w:r>
          </w:p>
        </w:tc>
        <w:tc>
          <w:tcPr>
            <w:tcW w:w="2551" w:type="dxa"/>
            <w:vAlign w:val="center"/>
          </w:tcPr>
          <w:p>
            <w:pPr>
              <w:pStyle w:val="26"/>
            </w:pPr>
            <w:r>
              <w:t>≥95%</w:t>
            </w:r>
          </w:p>
        </w:tc>
        <w:tc>
          <w:tcPr>
            <w:tcW w:w="2268" w:type="dxa"/>
            <w:vAlign w:val="center"/>
          </w:tcPr>
          <w:p>
            <w:pPr>
              <w:pStyle w:val="26"/>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项目总预算</w:t>
            </w:r>
          </w:p>
        </w:tc>
        <w:tc>
          <w:tcPr>
            <w:tcW w:w="2835" w:type="dxa"/>
            <w:vAlign w:val="center"/>
          </w:tcPr>
          <w:p>
            <w:pPr>
              <w:pStyle w:val="26"/>
            </w:pPr>
            <w:r>
              <w:t>完成各项任务所需费用</w:t>
            </w:r>
          </w:p>
        </w:tc>
        <w:tc>
          <w:tcPr>
            <w:tcW w:w="2551" w:type="dxa"/>
            <w:vAlign w:val="center"/>
          </w:tcPr>
          <w:p>
            <w:pPr>
              <w:pStyle w:val="26"/>
            </w:pPr>
            <w:r>
              <w:t>≤1万元</w:t>
            </w:r>
          </w:p>
        </w:tc>
        <w:tc>
          <w:tcPr>
            <w:tcW w:w="2268" w:type="dxa"/>
            <w:vAlign w:val="center"/>
          </w:tcPr>
          <w:p>
            <w:pPr>
              <w:pStyle w:val="26"/>
            </w:pPr>
            <w:r>
              <w:t>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政府定价的合理性</w:t>
            </w:r>
          </w:p>
        </w:tc>
        <w:tc>
          <w:tcPr>
            <w:tcW w:w="2835" w:type="dxa"/>
            <w:vAlign w:val="center"/>
          </w:tcPr>
          <w:p>
            <w:pPr>
              <w:pStyle w:val="26"/>
            </w:pPr>
            <w:r>
              <w:t>实现政府定价透明合理</w:t>
            </w:r>
          </w:p>
        </w:tc>
        <w:tc>
          <w:tcPr>
            <w:tcW w:w="2551" w:type="dxa"/>
            <w:vAlign w:val="center"/>
          </w:tcPr>
          <w:p>
            <w:pPr>
              <w:pStyle w:val="26"/>
            </w:pPr>
            <w:r>
              <w:t>完成成本核算实现定价公平合理</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3、河北宝信物流有限公司城市与乡村高效共同配送项目绩效目标表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1.发展物流产业，促进经济发展</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分拨中心数量</w:t>
            </w:r>
          </w:p>
        </w:tc>
        <w:tc>
          <w:tcPr>
            <w:tcW w:w="2835" w:type="dxa"/>
            <w:vAlign w:val="center"/>
          </w:tcPr>
          <w:p>
            <w:pPr>
              <w:pStyle w:val="26"/>
            </w:pPr>
            <w:r>
              <w:t>已完成市级分拨中心数量</w:t>
            </w:r>
          </w:p>
        </w:tc>
        <w:tc>
          <w:tcPr>
            <w:tcW w:w="2551" w:type="dxa"/>
            <w:vAlign w:val="center"/>
          </w:tcPr>
          <w:p>
            <w:pPr>
              <w:pStyle w:val="26"/>
            </w:pPr>
            <w:r>
              <w:t>≥5个</w:t>
            </w:r>
          </w:p>
        </w:tc>
        <w:tc>
          <w:tcPr>
            <w:tcW w:w="2268" w:type="dxa"/>
            <w:vAlign w:val="center"/>
          </w:tcPr>
          <w:p>
            <w:pPr>
              <w:pStyle w:val="26"/>
            </w:pPr>
            <w:r>
              <w:t>项目布局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验收通过率</w:t>
            </w:r>
          </w:p>
        </w:tc>
        <w:tc>
          <w:tcPr>
            <w:tcW w:w="2835" w:type="dxa"/>
            <w:vAlign w:val="center"/>
          </w:tcPr>
          <w:p>
            <w:pPr>
              <w:pStyle w:val="26"/>
            </w:pPr>
            <w:r>
              <w:t>项目验收通过率</w:t>
            </w:r>
          </w:p>
        </w:tc>
        <w:tc>
          <w:tcPr>
            <w:tcW w:w="2551" w:type="dxa"/>
            <w:vAlign w:val="center"/>
          </w:tcPr>
          <w:p>
            <w:pPr>
              <w:pStyle w:val="26"/>
            </w:pPr>
            <w:r>
              <w:t>≥95%</w:t>
            </w:r>
          </w:p>
        </w:tc>
        <w:tc>
          <w:tcPr>
            <w:tcW w:w="2268" w:type="dxa"/>
            <w:vAlign w:val="center"/>
          </w:tcPr>
          <w:p>
            <w:pPr>
              <w:pStyle w:val="26"/>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完工时间</w:t>
            </w:r>
          </w:p>
        </w:tc>
        <w:tc>
          <w:tcPr>
            <w:tcW w:w="2835" w:type="dxa"/>
            <w:vAlign w:val="center"/>
          </w:tcPr>
          <w:p>
            <w:pPr>
              <w:pStyle w:val="26"/>
            </w:pPr>
            <w:r>
              <w:t>项目预计完工时间</w:t>
            </w:r>
          </w:p>
        </w:tc>
        <w:tc>
          <w:tcPr>
            <w:tcW w:w="2551" w:type="dxa"/>
            <w:vAlign w:val="center"/>
          </w:tcPr>
          <w:p>
            <w:pPr>
              <w:pStyle w:val="26"/>
            </w:pPr>
            <w:r>
              <w:t>≤6月</w:t>
            </w:r>
          </w:p>
        </w:tc>
        <w:tc>
          <w:tcPr>
            <w:tcW w:w="2268" w:type="dxa"/>
            <w:vAlign w:val="center"/>
          </w:tcPr>
          <w:p>
            <w:pPr>
              <w:pStyle w:val="26"/>
            </w:pPr>
            <w:r>
              <w:t>项目单位预计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项目总预算</w:t>
            </w:r>
          </w:p>
        </w:tc>
        <w:tc>
          <w:tcPr>
            <w:tcW w:w="2835" w:type="dxa"/>
            <w:vAlign w:val="center"/>
          </w:tcPr>
          <w:p>
            <w:pPr>
              <w:pStyle w:val="26"/>
            </w:pPr>
            <w:r>
              <w:t>项目投入资金</w:t>
            </w:r>
          </w:p>
        </w:tc>
        <w:tc>
          <w:tcPr>
            <w:tcW w:w="2551" w:type="dxa"/>
            <w:vAlign w:val="center"/>
          </w:tcPr>
          <w:p>
            <w:pPr>
              <w:pStyle w:val="26"/>
            </w:pPr>
            <w:r>
              <w:t>≥5000万</w:t>
            </w:r>
          </w:p>
        </w:tc>
        <w:tc>
          <w:tcPr>
            <w:tcW w:w="2268" w:type="dxa"/>
            <w:vAlign w:val="center"/>
          </w:tcPr>
          <w:p>
            <w:pPr>
              <w:pStyle w:val="26"/>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带动社会资金投资额</w:t>
            </w:r>
          </w:p>
        </w:tc>
        <w:tc>
          <w:tcPr>
            <w:tcW w:w="2835" w:type="dxa"/>
            <w:vAlign w:val="center"/>
          </w:tcPr>
          <w:p>
            <w:pPr>
              <w:pStyle w:val="26"/>
            </w:pPr>
            <w:r>
              <w:t>带动社会资金数额</w:t>
            </w:r>
          </w:p>
        </w:tc>
        <w:tc>
          <w:tcPr>
            <w:tcW w:w="2551" w:type="dxa"/>
            <w:vAlign w:val="center"/>
          </w:tcPr>
          <w:p>
            <w:pPr>
              <w:pStyle w:val="26"/>
            </w:pPr>
            <w:r>
              <w:t>≥4200万</w:t>
            </w:r>
          </w:p>
        </w:tc>
        <w:tc>
          <w:tcPr>
            <w:tcW w:w="2268" w:type="dxa"/>
            <w:vAlign w:val="center"/>
          </w:tcPr>
          <w:p>
            <w:pPr>
              <w:pStyle w:val="26"/>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4、冀财建[2021]181号/扩建2万吨仓容量的标准仓房绩效目标表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1.增强我县仓储、仓容量，缓解农民卖粮难，提高科学储粮水平，加强粮食质量管理</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质量良好率</w:t>
            </w:r>
          </w:p>
        </w:tc>
        <w:tc>
          <w:tcPr>
            <w:tcW w:w="2835" w:type="dxa"/>
            <w:vAlign w:val="center"/>
          </w:tcPr>
          <w:p>
            <w:pPr>
              <w:pStyle w:val="26"/>
            </w:pPr>
            <w:r>
              <w:t>良好粮食数量/粮食总数量*100%</w:t>
            </w:r>
          </w:p>
        </w:tc>
        <w:tc>
          <w:tcPr>
            <w:tcW w:w="2551" w:type="dxa"/>
            <w:vAlign w:val="center"/>
          </w:tcPr>
          <w:p>
            <w:pPr>
              <w:pStyle w:val="26"/>
            </w:pPr>
            <w:r>
              <w:t>≥98</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科学储量率</w:t>
            </w:r>
          </w:p>
        </w:tc>
        <w:tc>
          <w:tcPr>
            <w:tcW w:w="2835" w:type="dxa"/>
            <w:vAlign w:val="center"/>
          </w:tcPr>
          <w:p>
            <w:pPr>
              <w:pStyle w:val="26"/>
            </w:pPr>
            <w:r>
              <w:t>科学储量数量/粮食总数量*100%</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工程完工率</w:t>
            </w:r>
          </w:p>
        </w:tc>
        <w:tc>
          <w:tcPr>
            <w:tcW w:w="2835" w:type="dxa"/>
            <w:vAlign w:val="center"/>
          </w:tcPr>
          <w:p>
            <w:pPr>
              <w:pStyle w:val="26"/>
            </w:pPr>
            <w:r>
              <w:t>工程完工程度</w:t>
            </w:r>
          </w:p>
        </w:tc>
        <w:tc>
          <w:tcPr>
            <w:tcW w:w="2551" w:type="dxa"/>
            <w:vAlign w:val="center"/>
          </w:tcPr>
          <w:p>
            <w:pPr>
              <w:pStyle w:val="26"/>
            </w:pPr>
            <w:r>
              <w:t>100及时完成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实际发生成本</w:t>
            </w:r>
          </w:p>
        </w:tc>
        <w:tc>
          <w:tcPr>
            <w:tcW w:w="2551" w:type="dxa"/>
            <w:vAlign w:val="center"/>
          </w:tcPr>
          <w:p>
            <w:pPr>
              <w:pStyle w:val="26"/>
            </w:pPr>
            <w:r>
              <w:t>100按实际发生成本</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利润增长率</w:t>
            </w:r>
          </w:p>
        </w:tc>
        <w:tc>
          <w:tcPr>
            <w:tcW w:w="2835" w:type="dxa"/>
            <w:vAlign w:val="center"/>
          </w:tcPr>
          <w:p>
            <w:pPr>
              <w:pStyle w:val="26"/>
            </w:pPr>
            <w:r>
              <w:t>利润增长率</w:t>
            </w:r>
          </w:p>
        </w:tc>
        <w:tc>
          <w:tcPr>
            <w:tcW w:w="2551" w:type="dxa"/>
            <w:vAlign w:val="center"/>
          </w:tcPr>
          <w:p>
            <w:pPr>
              <w:pStyle w:val="26"/>
            </w:pPr>
            <w:r>
              <w:t>≥5</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5、冀财建[2021]181号/隆尧县京隆粮油购销有限责任公司仓储扩建项目绩效目标表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1.增强我县仓储、仓容，缓解农民卖粮难</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质量良好率</w:t>
            </w:r>
          </w:p>
        </w:tc>
        <w:tc>
          <w:tcPr>
            <w:tcW w:w="2835" w:type="dxa"/>
            <w:vAlign w:val="center"/>
          </w:tcPr>
          <w:p>
            <w:pPr>
              <w:pStyle w:val="26"/>
            </w:pPr>
            <w:r>
              <w:t>良好粮食数量/粮食总数量*100%</w:t>
            </w:r>
          </w:p>
        </w:tc>
        <w:tc>
          <w:tcPr>
            <w:tcW w:w="2551" w:type="dxa"/>
            <w:vAlign w:val="center"/>
          </w:tcPr>
          <w:p>
            <w:pPr>
              <w:pStyle w:val="26"/>
            </w:pPr>
            <w:r>
              <w:t>≥98</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科学储粮率</w:t>
            </w:r>
          </w:p>
        </w:tc>
        <w:tc>
          <w:tcPr>
            <w:tcW w:w="2835" w:type="dxa"/>
            <w:vAlign w:val="center"/>
          </w:tcPr>
          <w:p>
            <w:pPr>
              <w:pStyle w:val="26"/>
            </w:pPr>
            <w:r>
              <w:t>科学储粮率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工程完工率</w:t>
            </w:r>
          </w:p>
        </w:tc>
        <w:tc>
          <w:tcPr>
            <w:tcW w:w="2835" w:type="dxa"/>
            <w:vAlign w:val="center"/>
          </w:tcPr>
          <w:p>
            <w:pPr>
              <w:pStyle w:val="26"/>
            </w:pPr>
            <w:r>
              <w:t>工程完工程度</w:t>
            </w:r>
          </w:p>
        </w:tc>
        <w:tc>
          <w:tcPr>
            <w:tcW w:w="2551" w:type="dxa"/>
            <w:vAlign w:val="center"/>
          </w:tcPr>
          <w:p>
            <w:pPr>
              <w:pStyle w:val="26"/>
            </w:pPr>
            <w:r>
              <w:t>100及时完成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实际发生成本</w:t>
            </w:r>
          </w:p>
        </w:tc>
        <w:tc>
          <w:tcPr>
            <w:tcW w:w="2551" w:type="dxa"/>
            <w:vAlign w:val="center"/>
          </w:tcPr>
          <w:p>
            <w:pPr>
              <w:pStyle w:val="26"/>
            </w:pPr>
            <w:r>
              <w:t>100按实际发生成本</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利润增长率</w:t>
            </w:r>
          </w:p>
        </w:tc>
        <w:tc>
          <w:tcPr>
            <w:tcW w:w="2835" w:type="dxa"/>
            <w:vAlign w:val="center"/>
          </w:tcPr>
          <w:p>
            <w:pPr>
              <w:pStyle w:val="26"/>
            </w:pPr>
            <w:r>
              <w:t>利润增长率</w:t>
            </w:r>
          </w:p>
        </w:tc>
        <w:tc>
          <w:tcPr>
            <w:tcW w:w="2551" w:type="dxa"/>
            <w:vAlign w:val="center"/>
          </w:tcPr>
          <w:p>
            <w:pPr>
              <w:pStyle w:val="26"/>
            </w:pPr>
            <w:r>
              <w:t>≥10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6、价格认定经费项目绩效目标表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1.制定价格标准</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进行价格认定的次数</w:t>
            </w:r>
          </w:p>
        </w:tc>
        <w:tc>
          <w:tcPr>
            <w:tcW w:w="2835" w:type="dxa"/>
            <w:vAlign w:val="center"/>
          </w:tcPr>
          <w:p>
            <w:pPr>
              <w:pStyle w:val="26"/>
            </w:pPr>
            <w:r>
              <w:t>全年进行价格认定的次数</w:t>
            </w:r>
          </w:p>
        </w:tc>
        <w:tc>
          <w:tcPr>
            <w:tcW w:w="2551" w:type="dxa"/>
            <w:vAlign w:val="center"/>
          </w:tcPr>
          <w:p>
            <w:pPr>
              <w:pStyle w:val="26"/>
            </w:pPr>
            <w:r>
              <w:t>≥100个</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刑案鉴定率</w:t>
            </w:r>
          </w:p>
        </w:tc>
        <w:tc>
          <w:tcPr>
            <w:tcW w:w="2835" w:type="dxa"/>
            <w:vAlign w:val="center"/>
          </w:tcPr>
          <w:p>
            <w:pPr>
              <w:pStyle w:val="26"/>
            </w:pPr>
            <w:r>
              <w:t>刑案鉴定率</w:t>
            </w:r>
          </w:p>
        </w:tc>
        <w:tc>
          <w:tcPr>
            <w:tcW w:w="2551" w:type="dxa"/>
            <w:vAlign w:val="center"/>
          </w:tcPr>
          <w:p>
            <w:pPr>
              <w:pStyle w:val="26"/>
            </w:pPr>
            <w:r>
              <w:t>≥95%</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案件鉴证时间</w:t>
            </w:r>
          </w:p>
        </w:tc>
        <w:tc>
          <w:tcPr>
            <w:tcW w:w="2835" w:type="dxa"/>
            <w:vAlign w:val="center"/>
          </w:tcPr>
          <w:p>
            <w:pPr>
              <w:pStyle w:val="26"/>
            </w:pPr>
            <w:r>
              <w:t>案件鉴证时间</w:t>
            </w:r>
          </w:p>
        </w:tc>
        <w:tc>
          <w:tcPr>
            <w:tcW w:w="2551" w:type="dxa"/>
            <w:vAlign w:val="center"/>
          </w:tcPr>
          <w:p>
            <w:pPr>
              <w:pStyle w:val="26"/>
            </w:pPr>
            <w:r>
              <w:t>≤3天</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项目总投入</w:t>
            </w:r>
          </w:p>
        </w:tc>
        <w:tc>
          <w:tcPr>
            <w:tcW w:w="2835" w:type="dxa"/>
            <w:vAlign w:val="center"/>
          </w:tcPr>
          <w:p>
            <w:pPr>
              <w:pStyle w:val="26"/>
            </w:pPr>
            <w:r>
              <w:t>全年项目总投入</w:t>
            </w:r>
          </w:p>
        </w:tc>
        <w:tc>
          <w:tcPr>
            <w:tcW w:w="2551" w:type="dxa"/>
            <w:vAlign w:val="center"/>
          </w:tcPr>
          <w:p>
            <w:pPr>
              <w:pStyle w:val="26"/>
            </w:pPr>
            <w:r>
              <w:t>≤6万元</w:t>
            </w:r>
          </w:p>
        </w:tc>
        <w:tc>
          <w:tcPr>
            <w:tcW w:w="2268" w:type="dxa"/>
            <w:vAlign w:val="center"/>
          </w:tcPr>
          <w:p>
            <w:pPr>
              <w:pStyle w:val="2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在全县范围内得到群众认可</w:t>
            </w:r>
          </w:p>
        </w:tc>
        <w:tc>
          <w:tcPr>
            <w:tcW w:w="2551" w:type="dxa"/>
            <w:vAlign w:val="center"/>
          </w:tcPr>
          <w:p>
            <w:pPr>
              <w:pStyle w:val="26"/>
            </w:pPr>
            <w:r>
              <w:t>得到广大群众的认可程度</w:t>
            </w:r>
          </w:p>
        </w:tc>
        <w:tc>
          <w:tcPr>
            <w:tcW w:w="2268" w:type="dxa"/>
            <w:vAlign w:val="center"/>
          </w:tcPr>
          <w:p>
            <w:pPr>
              <w:pStyle w:val="26"/>
            </w:pPr>
            <w:r>
              <w:t>项目社会影响力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7、粮食安全责任制考核及粮食质量安全监测和粮食流通执法监督检查绩效目标表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1.对全县粮食流通进行监督检查,做好粮食安全责任制考核,确保粮食质量安全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粮食企业检查率</w:t>
            </w:r>
          </w:p>
        </w:tc>
        <w:tc>
          <w:tcPr>
            <w:tcW w:w="2835" w:type="dxa"/>
            <w:vAlign w:val="center"/>
          </w:tcPr>
          <w:p>
            <w:pPr>
              <w:pStyle w:val="26"/>
            </w:pPr>
            <w:r>
              <w:t>检查企业数量/全县企业数量*100%</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粮食安全率</w:t>
            </w:r>
          </w:p>
        </w:tc>
        <w:tc>
          <w:tcPr>
            <w:tcW w:w="2835" w:type="dxa"/>
            <w:vAlign w:val="center"/>
          </w:tcPr>
          <w:p>
            <w:pPr>
              <w:pStyle w:val="26"/>
            </w:pPr>
            <w:r>
              <w:t>安全粮食数量/全县粮食数量*100%</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完成时效</w:t>
            </w:r>
          </w:p>
        </w:tc>
        <w:tc>
          <w:tcPr>
            <w:tcW w:w="2835" w:type="dxa"/>
            <w:vAlign w:val="center"/>
          </w:tcPr>
          <w:p>
            <w:pPr>
              <w:pStyle w:val="26"/>
            </w:pPr>
            <w:r>
              <w:t>各项工作完成及时程度</w:t>
            </w:r>
          </w:p>
        </w:tc>
        <w:tc>
          <w:tcPr>
            <w:tcW w:w="2551" w:type="dxa"/>
            <w:vAlign w:val="center"/>
          </w:tcPr>
          <w:p>
            <w:pPr>
              <w:pStyle w:val="26"/>
            </w:pPr>
            <w:r>
              <w:t>100及时完成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项目预算控制数</w:t>
            </w:r>
          </w:p>
        </w:tc>
        <w:tc>
          <w:tcPr>
            <w:tcW w:w="2835" w:type="dxa"/>
            <w:vAlign w:val="center"/>
          </w:tcPr>
          <w:p>
            <w:pPr>
              <w:pStyle w:val="26"/>
            </w:pPr>
            <w:r>
              <w:t>按预算成本支出</w:t>
            </w:r>
          </w:p>
        </w:tc>
        <w:tc>
          <w:tcPr>
            <w:tcW w:w="2551" w:type="dxa"/>
            <w:vAlign w:val="center"/>
          </w:tcPr>
          <w:p>
            <w:pPr>
              <w:pStyle w:val="26"/>
            </w:pPr>
            <w:r>
              <w:t>100不超预算标准</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粮食安全科学储粮率</w:t>
            </w:r>
          </w:p>
        </w:tc>
        <w:tc>
          <w:tcPr>
            <w:tcW w:w="2835" w:type="dxa"/>
            <w:vAlign w:val="center"/>
          </w:tcPr>
          <w:p>
            <w:pPr>
              <w:pStyle w:val="26"/>
            </w:pPr>
            <w:r>
              <w:t>安全科学储粮数量占全部粮食数量比例</w:t>
            </w:r>
          </w:p>
        </w:tc>
        <w:tc>
          <w:tcPr>
            <w:tcW w:w="2551" w:type="dxa"/>
            <w:vAlign w:val="center"/>
          </w:tcPr>
          <w:p>
            <w:pPr>
              <w:pStyle w:val="26"/>
            </w:pPr>
            <w:r>
              <w:t>≥95</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8、隆尧县救灾物资储备管理项目绩效目标表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1.加强救灾物资储备管理保障应急运用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救灾物资保管安全率</w:t>
            </w:r>
          </w:p>
        </w:tc>
        <w:tc>
          <w:tcPr>
            <w:tcW w:w="2835" w:type="dxa"/>
            <w:vAlign w:val="center"/>
          </w:tcPr>
          <w:p>
            <w:pPr>
              <w:pStyle w:val="26"/>
            </w:pPr>
            <w:r>
              <w:t>物资安全数量/救灾物资总数量*100%</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验收合格率</w:t>
            </w:r>
          </w:p>
        </w:tc>
        <w:tc>
          <w:tcPr>
            <w:tcW w:w="2835" w:type="dxa"/>
            <w:vAlign w:val="center"/>
          </w:tcPr>
          <w:p>
            <w:pPr>
              <w:pStyle w:val="26"/>
            </w:pPr>
            <w:r>
              <w:t>验收合格率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完成时效</w:t>
            </w:r>
          </w:p>
        </w:tc>
        <w:tc>
          <w:tcPr>
            <w:tcW w:w="2835" w:type="dxa"/>
            <w:vAlign w:val="center"/>
          </w:tcPr>
          <w:p>
            <w:pPr>
              <w:pStyle w:val="26"/>
            </w:pPr>
            <w:r>
              <w:t>各项工作完成及时程度</w:t>
            </w:r>
          </w:p>
        </w:tc>
        <w:tc>
          <w:tcPr>
            <w:tcW w:w="2551" w:type="dxa"/>
            <w:vAlign w:val="center"/>
          </w:tcPr>
          <w:p>
            <w:pPr>
              <w:pStyle w:val="26"/>
            </w:pPr>
            <w:r>
              <w:t>100及时完成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实际发生成本</w:t>
            </w:r>
          </w:p>
        </w:tc>
        <w:tc>
          <w:tcPr>
            <w:tcW w:w="2551" w:type="dxa"/>
            <w:vAlign w:val="center"/>
          </w:tcPr>
          <w:p>
            <w:pPr>
              <w:pStyle w:val="26"/>
            </w:pPr>
            <w:r>
              <w:t>100按实际发生成本</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9、隆尧县粮油质检站项目绩效目标表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1.加强粮食质量安全监测</w:t>
            </w:r>
            <w:r>
              <w:tab/>
            </w:r>
            <w:r>
              <w:tab/>
            </w:r>
            <w:r>
              <w:tab/>
            </w:r>
            <w:r>
              <w:tab/>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工程完工率</w:t>
            </w:r>
          </w:p>
        </w:tc>
        <w:tc>
          <w:tcPr>
            <w:tcW w:w="2835" w:type="dxa"/>
            <w:vAlign w:val="center"/>
          </w:tcPr>
          <w:p>
            <w:pPr>
              <w:pStyle w:val="26"/>
            </w:pPr>
            <w:r>
              <w:t>工程完工程度</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工程验收合格率</w:t>
            </w:r>
          </w:p>
        </w:tc>
        <w:tc>
          <w:tcPr>
            <w:tcW w:w="2835" w:type="dxa"/>
            <w:vAlign w:val="center"/>
          </w:tcPr>
          <w:p>
            <w:pPr>
              <w:pStyle w:val="26"/>
            </w:pPr>
            <w:r>
              <w:t>达到工程验收标准</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项目完成时间</w:t>
            </w:r>
          </w:p>
        </w:tc>
        <w:tc>
          <w:tcPr>
            <w:tcW w:w="2835" w:type="dxa"/>
            <w:vAlign w:val="center"/>
          </w:tcPr>
          <w:p>
            <w:pPr>
              <w:pStyle w:val="26"/>
            </w:pPr>
            <w:r>
              <w:t>项目完成时间</w:t>
            </w:r>
          </w:p>
        </w:tc>
        <w:tc>
          <w:tcPr>
            <w:tcW w:w="2551" w:type="dxa"/>
            <w:vAlign w:val="center"/>
          </w:tcPr>
          <w:p>
            <w:pPr>
              <w:pStyle w:val="26"/>
            </w:pPr>
            <w:r>
              <w:t>1006月份完成</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不超预算支出数</w:t>
            </w:r>
          </w:p>
        </w:tc>
        <w:tc>
          <w:tcPr>
            <w:tcW w:w="2551" w:type="dxa"/>
            <w:vAlign w:val="center"/>
          </w:tcPr>
          <w:p>
            <w:pPr>
              <w:pStyle w:val="26"/>
            </w:pPr>
            <w:r>
              <w:t>100实际成本不超预算</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提高效率</w:t>
            </w:r>
          </w:p>
        </w:tc>
        <w:tc>
          <w:tcPr>
            <w:tcW w:w="2835" w:type="dxa"/>
            <w:vAlign w:val="center"/>
          </w:tcPr>
          <w:p>
            <w:pPr>
              <w:pStyle w:val="26"/>
            </w:pPr>
            <w:r>
              <w:t>提高效率</w:t>
            </w:r>
          </w:p>
        </w:tc>
        <w:tc>
          <w:tcPr>
            <w:tcW w:w="2551" w:type="dxa"/>
            <w:vAlign w:val="center"/>
          </w:tcPr>
          <w:p>
            <w:pPr>
              <w:pStyle w:val="26"/>
            </w:pPr>
            <w:r>
              <w:t>100提高粮油质检业务效率</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社会影响力</w:t>
            </w:r>
          </w:p>
        </w:tc>
        <w:tc>
          <w:tcPr>
            <w:tcW w:w="2551" w:type="dxa"/>
            <w:vAlign w:val="center"/>
          </w:tcPr>
          <w:p>
            <w:pPr>
              <w:pStyle w:val="26"/>
            </w:pPr>
            <w:r>
              <w:t>100带动当地农业发展</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群众对该项目满意度调查</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10、隆尧县政策指导咨询服务项目绩效目标表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1.促进县域经济发展</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建立区域政策谋划分析资源</w:t>
            </w:r>
          </w:p>
        </w:tc>
        <w:tc>
          <w:tcPr>
            <w:tcW w:w="2835" w:type="dxa"/>
            <w:vAlign w:val="center"/>
          </w:tcPr>
          <w:p>
            <w:pPr>
              <w:pStyle w:val="26"/>
            </w:pPr>
            <w:r>
              <w:t>储备数量</w:t>
            </w:r>
          </w:p>
        </w:tc>
        <w:tc>
          <w:tcPr>
            <w:tcW w:w="2551" w:type="dxa"/>
            <w:vAlign w:val="center"/>
          </w:tcPr>
          <w:p>
            <w:pPr>
              <w:pStyle w:val="26"/>
            </w:pPr>
            <w:r>
              <w:t>≥30项</w:t>
            </w:r>
          </w:p>
        </w:tc>
        <w:tc>
          <w:tcPr>
            <w:tcW w:w="2268" w:type="dxa"/>
            <w:vAlign w:val="center"/>
          </w:tcPr>
          <w:p>
            <w:pPr>
              <w:pStyle w:val="26"/>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谋划项目、诊断项目情况</w:t>
            </w:r>
          </w:p>
        </w:tc>
        <w:tc>
          <w:tcPr>
            <w:tcW w:w="2835" w:type="dxa"/>
            <w:vAlign w:val="center"/>
          </w:tcPr>
          <w:p>
            <w:pPr>
              <w:pStyle w:val="26"/>
            </w:pPr>
            <w:r>
              <w:t>项目数量</w:t>
            </w:r>
          </w:p>
        </w:tc>
        <w:tc>
          <w:tcPr>
            <w:tcW w:w="2551" w:type="dxa"/>
            <w:vAlign w:val="center"/>
          </w:tcPr>
          <w:p>
            <w:pPr>
              <w:pStyle w:val="26"/>
            </w:pPr>
            <w:r>
              <w:t>≥30个</w:t>
            </w:r>
          </w:p>
        </w:tc>
        <w:tc>
          <w:tcPr>
            <w:tcW w:w="2268" w:type="dxa"/>
            <w:vAlign w:val="center"/>
          </w:tcPr>
          <w:p>
            <w:pPr>
              <w:pStyle w:val="26"/>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服务时长</w:t>
            </w:r>
          </w:p>
        </w:tc>
        <w:tc>
          <w:tcPr>
            <w:tcW w:w="2835" w:type="dxa"/>
            <w:vAlign w:val="center"/>
          </w:tcPr>
          <w:p>
            <w:pPr>
              <w:pStyle w:val="26"/>
            </w:pPr>
            <w:r>
              <w:t>服务时限</w:t>
            </w:r>
          </w:p>
        </w:tc>
        <w:tc>
          <w:tcPr>
            <w:tcW w:w="2551" w:type="dxa"/>
            <w:vAlign w:val="center"/>
          </w:tcPr>
          <w:p>
            <w:pPr>
              <w:pStyle w:val="26"/>
            </w:pPr>
            <w:r>
              <w:t>1年</w:t>
            </w:r>
          </w:p>
        </w:tc>
        <w:tc>
          <w:tcPr>
            <w:tcW w:w="2268" w:type="dxa"/>
            <w:vAlign w:val="center"/>
          </w:tcPr>
          <w:p>
            <w:pPr>
              <w:pStyle w:val="26"/>
            </w:pPr>
            <w:r>
              <w:t>服务机制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委托成本</w:t>
            </w:r>
          </w:p>
        </w:tc>
        <w:tc>
          <w:tcPr>
            <w:tcW w:w="2835" w:type="dxa"/>
            <w:vAlign w:val="center"/>
          </w:tcPr>
          <w:p>
            <w:pPr>
              <w:pStyle w:val="26"/>
            </w:pPr>
            <w:r>
              <w:t>服务费用总额</w:t>
            </w:r>
          </w:p>
        </w:tc>
        <w:tc>
          <w:tcPr>
            <w:tcW w:w="2551" w:type="dxa"/>
            <w:vAlign w:val="center"/>
          </w:tcPr>
          <w:p>
            <w:pPr>
              <w:pStyle w:val="26"/>
            </w:pPr>
            <w:r>
              <w:t>≤198万</w:t>
            </w:r>
          </w:p>
        </w:tc>
        <w:tc>
          <w:tcPr>
            <w:tcW w:w="2268" w:type="dxa"/>
            <w:vAlign w:val="center"/>
          </w:tcPr>
          <w:p>
            <w:pPr>
              <w:pStyle w:val="2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服务效果评价</w:t>
            </w:r>
          </w:p>
        </w:tc>
        <w:tc>
          <w:tcPr>
            <w:tcW w:w="2835" w:type="dxa"/>
            <w:vAlign w:val="center"/>
          </w:tcPr>
          <w:p>
            <w:pPr>
              <w:pStyle w:val="26"/>
            </w:pPr>
            <w:r>
              <w:t>储备项目、申报项目对比增长率</w:t>
            </w:r>
          </w:p>
        </w:tc>
        <w:tc>
          <w:tcPr>
            <w:tcW w:w="2551" w:type="dxa"/>
            <w:vAlign w:val="center"/>
          </w:tcPr>
          <w:p>
            <w:pPr>
              <w:pStyle w:val="26"/>
            </w:pPr>
            <w:r>
              <w:t>≥10%</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对区域经济和社会发展的积极作用</w:t>
            </w:r>
          </w:p>
        </w:tc>
        <w:tc>
          <w:tcPr>
            <w:tcW w:w="2835" w:type="dxa"/>
            <w:vAlign w:val="center"/>
          </w:tcPr>
          <w:p>
            <w:pPr>
              <w:pStyle w:val="26"/>
            </w:pPr>
            <w:r>
              <w:t>通过项目的完成促进县域规划实施和建设发展从而带动就业，提高发展效能</w:t>
            </w:r>
          </w:p>
        </w:tc>
        <w:tc>
          <w:tcPr>
            <w:tcW w:w="2551" w:type="dxa"/>
            <w:vAlign w:val="center"/>
          </w:tcPr>
          <w:p>
            <w:pPr>
              <w:pStyle w:val="26"/>
            </w:pPr>
            <w:r>
              <w:t>稳定发展</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资源生产力提升效果</w:t>
            </w:r>
          </w:p>
        </w:tc>
        <w:tc>
          <w:tcPr>
            <w:tcW w:w="2835" w:type="dxa"/>
            <w:vAlign w:val="center"/>
          </w:tcPr>
          <w:p>
            <w:pPr>
              <w:pStyle w:val="26"/>
            </w:pPr>
            <w:r>
              <w:t>服务价值增加不涉及对环境的冲击，通过服务可有效提高具体谋划的项目对生态效益指标的提升</w:t>
            </w:r>
          </w:p>
        </w:tc>
        <w:tc>
          <w:tcPr>
            <w:tcW w:w="2551" w:type="dxa"/>
            <w:vAlign w:val="center"/>
          </w:tcPr>
          <w:p>
            <w:pPr>
              <w:pStyle w:val="26"/>
            </w:pPr>
            <w:r>
              <w:t>稳步提升</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11、全县食盐储备资金项目绩效目标表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1.应对突发事件、自然灾害保障食盐市场稳定</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储存食盐数量</w:t>
            </w:r>
          </w:p>
        </w:tc>
        <w:tc>
          <w:tcPr>
            <w:tcW w:w="2835" w:type="dxa"/>
            <w:vAlign w:val="center"/>
          </w:tcPr>
          <w:p>
            <w:pPr>
              <w:pStyle w:val="26"/>
            </w:pPr>
            <w:r>
              <w:t>储存食盐数量（吨）</w:t>
            </w:r>
          </w:p>
        </w:tc>
        <w:tc>
          <w:tcPr>
            <w:tcW w:w="2551" w:type="dxa"/>
            <w:vAlign w:val="center"/>
          </w:tcPr>
          <w:p>
            <w:pPr>
              <w:pStyle w:val="26"/>
            </w:pPr>
            <w:r>
              <w:t>≥150</w:t>
            </w:r>
          </w:p>
        </w:tc>
        <w:tc>
          <w:tcPr>
            <w:tcW w:w="2268" w:type="dxa"/>
            <w:vAlign w:val="center"/>
          </w:tcPr>
          <w:p>
            <w:pPr>
              <w:pStyle w:val="26"/>
            </w:pPr>
            <w:r>
              <w:t>清查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合格率</w:t>
            </w:r>
          </w:p>
        </w:tc>
        <w:tc>
          <w:tcPr>
            <w:tcW w:w="2835" w:type="dxa"/>
            <w:vAlign w:val="center"/>
          </w:tcPr>
          <w:p>
            <w:pPr>
              <w:pStyle w:val="26"/>
            </w:pPr>
            <w:r>
              <w:t>储备食盐合格数量/储备食盐数量*100%</w:t>
            </w:r>
          </w:p>
        </w:tc>
        <w:tc>
          <w:tcPr>
            <w:tcW w:w="2551" w:type="dxa"/>
            <w:vAlign w:val="center"/>
          </w:tcPr>
          <w:p>
            <w:pPr>
              <w:pStyle w:val="26"/>
            </w:pPr>
            <w:r>
              <w:t>100</w:t>
            </w:r>
          </w:p>
        </w:tc>
        <w:tc>
          <w:tcPr>
            <w:tcW w:w="2268" w:type="dxa"/>
            <w:vAlign w:val="center"/>
          </w:tcPr>
          <w:p>
            <w:pPr>
              <w:pStyle w:val="26"/>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市场价格稳定</w:t>
            </w:r>
          </w:p>
        </w:tc>
        <w:tc>
          <w:tcPr>
            <w:tcW w:w="2835" w:type="dxa"/>
            <w:vAlign w:val="center"/>
          </w:tcPr>
          <w:p>
            <w:pPr>
              <w:pStyle w:val="26"/>
            </w:pPr>
            <w:r>
              <w:t>食盐市场价格稳定情况</w:t>
            </w:r>
          </w:p>
        </w:tc>
        <w:tc>
          <w:tcPr>
            <w:tcW w:w="2551" w:type="dxa"/>
            <w:vAlign w:val="center"/>
          </w:tcPr>
          <w:p>
            <w:pPr>
              <w:pStyle w:val="26"/>
            </w:pPr>
            <w:r>
              <w:t>100市场稳定</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w:t>
            </w:r>
          </w:p>
        </w:tc>
        <w:tc>
          <w:tcPr>
            <w:tcW w:w="2835" w:type="dxa"/>
            <w:vAlign w:val="center"/>
          </w:tcPr>
          <w:p>
            <w:pPr>
              <w:pStyle w:val="26"/>
            </w:pPr>
            <w:r>
              <w:t>资金成本</w:t>
            </w:r>
          </w:p>
        </w:tc>
        <w:tc>
          <w:tcPr>
            <w:tcW w:w="2551" w:type="dxa"/>
            <w:vAlign w:val="center"/>
          </w:tcPr>
          <w:p>
            <w:pPr>
              <w:pStyle w:val="26"/>
            </w:pPr>
            <w:r>
              <w:t>100资金支出实际</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应急保障率</w:t>
            </w:r>
          </w:p>
        </w:tc>
        <w:tc>
          <w:tcPr>
            <w:tcW w:w="2835" w:type="dxa"/>
            <w:vAlign w:val="center"/>
          </w:tcPr>
          <w:p>
            <w:pPr>
              <w:pStyle w:val="26"/>
            </w:pPr>
            <w:r>
              <w:t>应急保障率</w:t>
            </w:r>
          </w:p>
        </w:tc>
        <w:tc>
          <w:tcPr>
            <w:tcW w:w="2551" w:type="dxa"/>
            <w:vAlign w:val="center"/>
          </w:tcPr>
          <w:p>
            <w:pPr>
              <w:pStyle w:val="26"/>
            </w:pPr>
            <w:r>
              <w:t>100保障市场供应</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社会公众满意度</w:t>
            </w:r>
          </w:p>
        </w:tc>
        <w:tc>
          <w:tcPr>
            <w:tcW w:w="2835" w:type="dxa"/>
            <w:vAlign w:val="center"/>
          </w:tcPr>
          <w:p>
            <w:pPr>
              <w:pStyle w:val="26"/>
            </w:pPr>
            <w:r>
              <w:t>社会公众满意度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12、全县重点项目建设经费绩效目标表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1.申报省重点项目4个以上，市重点项目项目10个以上</w:t>
            </w:r>
            <w:r>
              <w:tab/>
            </w:r>
            <w:r>
              <w:tab/>
            </w:r>
            <w:r>
              <w:tab/>
            </w:r>
            <w:r>
              <w:tab/>
            </w:r>
          </w:p>
          <w:p>
            <w:pPr>
              <w:pStyle w:val="26"/>
            </w:pP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开工项目个数</w:t>
            </w:r>
          </w:p>
        </w:tc>
        <w:tc>
          <w:tcPr>
            <w:tcW w:w="2835" w:type="dxa"/>
            <w:vAlign w:val="center"/>
          </w:tcPr>
          <w:p>
            <w:pPr>
              <w:pStyle w:val="26"/>
            </w:pPr>
            <w:r>
              <w:t>全年新开工项目个数</w:t>
            </w:r>
          </w:p>
        </w:tc>
        <w:tc>
          <w:tcPr>
            <w:tcW w:w="2551" w:type="dxa"/>
            <w:vAlign w:val="center"/>
          </w:tcPr>
          <w:p>
            <w:pPr>
              <w:pStyle w:val="26"/>
            </w:pPr>
            <w:r>
              <w:t>≥100个</w:t>
            </w:r>
          </w:p>
        </w:tc>
        <w:tc>
          <w:tcPr>
            <w:tcW w:w="2268" w:type="dxa"/>
            <w:vAlign w:val="center"/>
          </w:tcPr>
          <w:p>
            <w:pPr>
              <w:pStyle w:val="26"/>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项目验收合格率</w:t>
            </w:r>
          </w:p>
        </w:tc>
        <w:tc>
          <w:tcPr>
            <w:tcW w:w="2835" w:type="dxa"/>
            <w:vAlign w:val="center"/>
          </w:tcPr>
          <w:p>
            <w:pPr>
              <w:pStyle w:val="26"/>
            </w:pPr>
            <w:r>
              <w:t>项目完工验收合格率</w:t>
            </w:r>
          </w:p>
        </w:tc>
        <w:tc>
          <w:tcPr>
            <w:tcW w:w="2551" w:type="dxa"/>
            <w:vAlign w:val="center"/>
          </w:tcPr>
          <w:p>
            <w:pPr>
              <w:pStyle w:val="26"/>
            </w:pPr>
            <w:r>
              <w:t>≥95%</w:t>
            </w:r>
          </w:p>
        </w:tc>
        <w:tc>
          <w:tcPr>
            <w:tcW w:w="2268" w:type="dxa"/>
            <w:vAlign w:val="center"/>
          </w:tcPr>
          <w:p>
            <w:pPr>
              <w:pStyle w:val="26"/>
            </w:pPr>
            <w:r>
              <w:t>项目验收率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项目投产率</w:t>
            </w:r>
          </w:p>
        </w:tc>
        <w:tc>
          <w:tcPr>
            <w:tcW w:w="2835" w:type="dxa"/>
            <w:vAlign w:val="center"/>
          </w:tcPr>
          <w:p>
            <w:pPr>
              <w:pStyle w:val="26"/>
            </w:pPr>
            <w:r>
              <w:t>全年项目完工率</w:t>
            </w:r>
          </w:p>
        </w:tc>
        <w:tc>
          <w:tcPr>
            <w:tcW w:w="2551" w:type="dxa"/>
            <w:vAlign w:val="center"/>
          </w:tcPr>
          <w:p>
            <w:pPr>
              <w:pStyle w:val="26"/>
            </w:pPr>
            <w:r>
              <w:t>≥40%</w:t>
            </w:r>
          </w:p>
        </w:tc>
        <w:tc>
          <w:tcPr>
            <w:tcW w:w="2268" w:type="dxa"/>
            <w:vAlign w:val="center"/>
          </w:tcPr>
          <w:p>
            <w:pPr>
              <w:pStyle w:val="26"/>
            </w:pPr>
            <w:r>
              <w:t>项目完工率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项目总投入</w:t>
            </w:r>
          </w:p>
        </w:tc>
        <w:tc>
          <w:tcPr>
            <w:tcW w:w="2835" w:type="dxa"/>
            <w:vAlign w:val="center"/>
          </w:tcPr>
          <w:p>
            <w:pPr>
              <w:pStyle w:val="26"/>
            </w:pPr>
            <w:r>
              <w:t>全年项目经费总投入</w:t>
            </w:r>
          </w:p>
        </w:tc>
        <w:tc>
          <w:tcPr>
            <w:tcW w:w="2551" w:type="dxa"/>
            <w:vAlign w:val="center"/>
          </w:tcPr>
          <w:p>
            <w:pPr>
              <w:pStyle w:val="26"/>
            </w:pPr>
            <w:r>
              <w:t>≤20万</w:t>
            </w:r>
          </w:p>
        </w:tc>
        <w:tc>
          <w:tcPr>
            <w:tcW w:w="2268" w:type="dxa"/>
            <w:vAlign w:val="center"/>
          </w:tcPr>
          <w:p>
            <w:pPr>
              <w:pStyle w:val="2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对全县经济社会发展贡献率</w:t>
            </w:r>
          </w:p>
        </w:tc>
        <w:tc>
          <w:tcPr>
            <w:tcW w:w="2835" w:type="dxa"/>
            <w:vAlign w:val="center"/>
          </w:tcPr>
          <w:p>
            <w:pPr>
              <w:pStyle w:val="26"/>
            </w:pPr>
            <w:r>
              <w:t>拉动经济增长百分比</w:t>
            </w:r>
          </w:p>
        </w:tc>
        <w:tc>
          <w:tcPr>
            <w:tcW w:w="2551" w:type="dxa"/>
            <w:vAlign w:val="center"/>
          </w:tcPr>
          <w:p>
            <w:pPr>
              <w:pStyle w:val="26"/>
            </w:pPr>
            <w:r>
              <w:t>≥3%</w:t>
            </w:r>
          </w:p>
        </w:tc>
        <w:tc>
          <w:tcPr>
            <w:tcW w:w="2268" w:type="dxa"/>
            <w:vAlign w:val="center"/>
          </w:tcPr>
          <w:p>
            <w:pPr>
              <w:pStyle w:val="26"/>
            </w:pPr>
            <w:r>
              <w:t>官方公布经济数据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13、双创双服活动绩效目标表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1.实施20项民心工程,解决相关问题.</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民心工程数量</w:t>
            </w:r>
          </w:p>
        </w:tc>
        <w:tc>
          <w:tcPr>
            <w:tcW w:w="2835" w:type="dxa"/>
            <w:vAlign w:val="center"/>
          </w:tcPr>
          <w:p>
            <w:pPr>
              <w:pStyle w:val="26"/>
            </w:pPr>
            <w:r>
              <w:t>全年实施民心工程数量</w:t>
            </w:r>
          </w:p>
        </w:tc>
        <w:tc>
          <w:tcPr>
            <w:tcW w:w="2551" w:type="dxa"/>
            <w:vAlign w:val="center"/>
          </w:tcPr>
          <w:p>
            <w:pPr>
              <w:pStyle w:val="26"/>
            </w:pPr>
            <w:r>
              <w:t>≥20个</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民心工程质量</w:t>
            </w:r>
          </w:p>
        </w:tc>
        <w:tc>
          <w:tcPr>
            <w:tcW w:w="2835" w:type="dxa"/>
            <w:vAlign w:val="center"/>
          </w:tcPr>
          <w:p>
            <w:pPr>
              <w:pStyle w:val="26"/>
            </w:pPr>
            <w:r>
              <w:t>全年完成民心工程质量</w:t>
            </w:r>
          </w:p>
        </w:tc>
        <w:tc>
          <w:tcPr>
            <w:tcW w:w="2551" w:type="dxa"/>
            <w:vAlign w:val="center"/>
          </w:tcPr>
          <w:p>
            <w:pPr>
              <w:pStyle w:val="26"/>
            </w:pPr>
            <w:r>
              <w:t>全年完成民心工程总水平</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按时完成率</w:t>
            </w:r>
          </w:p>
        </w:tc>
        <w:tc>
          <w:tcPr>
            <w:tcW w:w="2835" w:type="dxa"/>
            <w:vAlign w:val="center"/>
          </w:tcPr>
          <w:p>
            <w:pPr>
              <w:pStyle w:val="26"/>
            </w:pPr>
            <w:r>
              <w:t>全年各任务完成时限</w:t>
            </w:r>
          </w:p>
        </w:tc>
        <w:tc>
          <w:tcPr>
            <w:tcW w:w="2551" w:type="dxa"/>
            <w:vAlign w:val="center"/>
          </w:tcPr>
          <w:p>
            <w:pPr>
              <w:pStyle w:val="26"/>
            </w:pPr>
            <w:r>
              <w:t>≥95%</w:t>
            </w:r>
          </w:p>
        </w:tc>
        <w:tc>
          <w:tcPr>
            <w:tcW w:w="2268" w:type="dxa"/>
            <w:vAlign w:val="center"/>
          </w:tcPr>
          <w:p>
            <w:pPr>
              <w:pStyle w:val="26"/>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项目总预算</w:t>
            </w:r>
          </w:p>
        </w:tc>
        <w:tc>
          <w:tcPr>
            <w:tcW w:w="2835" w:type="dxa"/>
            <w:vAlign w:val="center"/>
          </w:tcPr>
          <w:p>
            <w:pPr>
              <w:pStyle w:val="26"/>
            </w:pPr>
            <w:r>
              <w:t>完成各项任务所需费用</w:t>
            </w:r>
          </w:p>
        </w:tc>
        <w:tc>
          <w:tcPr>
            <w:tcW w:w="2551" w:type="dxa"/>
            <w:vAlign w:val="center"/>
          </w:tcPr>
          <w:p>
            <w:pPr>
              <w:pStyle w:val="26"/>
            </w:pPr>
            <w:r>
              <w:t>≤2万</w:t>
            </w:r>
          </w:p>
        </w:tc>
        <w:tc>
          <w:tcPr>
            <w:tcW w:w="2268" w:type="dxa"/>
            <w:vAlign w:val="center"/>
          </w:tcPr>
          <w:p>
            <w:pPr>
              <w:pStyle w:val="26"/>
            </w:pPr>
            <w:r>
              <w:t>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重点工作完成率</w:t>
            </w:r>
          </w:p>
        </w:tc>
        <w:tc>
          <w:tcPr>
            <w:tcW w:w="2835" w:type="dxa"/>
            <w:vAlign w:val="center"/>
          </w:tcPr>
          <w:p>
            <w:pPr>
              <w:pStyle w:val="26"/>
            </w:pPr>
            <w:r>
              <w:t>重点工作完成数占总任务比重</w:t>
            </w:r>
          </w:p>
        </w:tc>
        <w:tc>
          <w:tcPr>
            <w:tcW w:w="2551" w:type="dxa"/>
            <w:vAlign w:val="center"/>
          </w:tcPr>
          <w:p>
            <w:pPr>
              <w:pStyle w:val="26"/>
            </w:pPr>
            <w:r>
              <w:t>≥95%</w:t>
            </w:r>
          </w:p>
        </w:tc>
        <w:tc>
          <w:tcPr>
            <w:tcW w:w="2268" w:type="dxa"/>
            <w:vAlign w:val="center"/>
          </w:tcPr>
          <w:p>
            <w:pPr>
              <w:pStyle w:val="26"/>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14、听证会经费（城乡出租车公交车票价）绩效目标表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1.召开城乡公交出租车票价听证会，制定价格标准</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召开听证会次数</w:t>
            </w:r>
          </w:p>
        </w:tc>
        <w:tc>
          <w:tcPr>
            <w:tcW w:w="2835" w:type="dxa"/>
            <w:vAlign w:val="center"/>
          </w:tcPr>
          <w:p>
            <w:pPr>
              <w:pStyle w:val="26"/>
            </w:pPr>
            <w:r>
              <w:t>全年召开听证会次数</w:t>
            </w:r>
          </w:p>
        </w:tc>
        <w:tc>
          <w:tcPr>
            <w:tcW w:w="2551" w:type="dxa"/>
            <w:vAlign w:val="center"/>
          </w:tcPr>
          <w:p>
            <w:pPr>
              <w:pStyle w:val="26"/>
            </w:pPr>
            <w:r>
              <w:t>≥2次</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会议议程实现率</w:t>
            </w:r>
          </w:p>
        </w:tc>
        <w:tc>
          <w:tcPr>
            <w:tcW w:w="2835" w:type="dxa"/>
            <w:vAlign w:val="center"/>
          </w:tcPr>
          <w:p>
            <w:pPr>
              <w:pStyle w:val="26"/>
            </w:pPr>
            <w:r>
              <w:t>会议议程实现率</w:t>
            </w:r>
          </w:p>
        </w:tc>
        <w:tc>
          <w:tcPr>
            <w:tcW w:w="2551" w:type="dxa"/>
            <w:vAlign w:val="center"/>
          </w:tcPr>
          <w:p>
            <w:pPr>
              <w:pStyle w:val="26"/>
            </w:pPr>
            <w:r>
              <w:t>≥95%</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召开的及时性</w:t>
            </w:r>
          </w:p>
        </w:tc>
        <w:tc>
          <w:tcPr>
            <w:tcW w:w="2835" w:type="dxa"/>
            <w:vAlign w:val="center"/>
          </w:tcPr>
          <w:p>
            <w:pPr>
              <w:pStyle w:val="26"/>
            </w:pPr>
            <w:r>
              <w:t>会议召开及时性</w:t>
            </w:r>
          </w:p>
        </w:tc>
        <w:tc>
          <w:tcPr>
            <w:tcW w:w="2551" w:type="dxa"/>
            <w:vAlign w:val="center"/>
          </w:tcPr>
          <w:p>
            <w:pPr>
              <w:pStyle w:val="26"/>
            </w:pPr>
            <w:r>
              <w:t>≥90%</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项目总投入</w:t>
            </w:r>
          </w:p>
        </w:tc>
        <w:tc>
          <w:tcPr>
            <w:tcW w:w="2835" w:type="dxa"/>
            <w:vAlign w:val="center"/>
          </w:tcPr>
          <w:p>
            <w:pPr>
              <w:pStyle w:val="26"/>
            </w:pPr>
            <w:r>
              <w:t>全年项目总投入</w:t>
            </w:r>
          </w:p>
        </w:tc>
        <w:tc>
          <w:tcPr>
            <w:tcW w:w="2551" w:type="dxa"/>
            <w:vAlign w:val="center"/>
          </w:tcPr>
          <w:p>
            <w:pPr>
              <w:pStyle w:val="26"/>
            </w:pPr>
            <w:r>
              <w:t>≤1万</w:t>
            </w:r>
          </w:p>
        </w:tc>
        <w:tc>
          <w:tcPr>
            <w:tcW w:w="2268" w:type="dxa"/>
            <w:vAlign w:val="center"/>
          </w:tcPr>
          <w:p>
            <w:pPr>
              <w:pStyle w:val="2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在全县范围内得到群众认可</w:t>
            </w:r>
          </w:p>
        </w:tc>
        <w:tc>
          <w:tcPr>
            <w:tcW w:w="2551" w:type="dxa"/>
            <w:vAlign w:val="center"/>
          </w:tcPr>
          <w:p>
            <w:pPr>
              <w:pStyle w:val="26"/>
            </w:pPr>
            <w:r>
              <w:t>≥95%</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15、退役军人专岗绩效目标表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1.保障退役军人公益岗待遇，促进社会稳定</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支出完成率</w:t>
            </w:r>
          </w:p>
        </w:tc>
        <w:tc>
          <w:tcPr>
            <w:tcW w:w="2835" w:type="dxa"/>
            <w:vAlign w:val="center"/>
          </w:tcPr>
          <w:p>
            <w:pPr>
              <w:pStyle w:val="26"/>
            </w:pPr>
            <w:r>
              <w:t>按时有序支付</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财政拨款保障率</w:t>
            </w:r>
          </w:p>
        </w:tc>
        <w:tc>
          <w:tcPr>
            <w:tcW w:w="2835" w:type="dxa"/>
            <w:vAlign w:val="center"/>
          </w:tcPr>
          <w:p>
            <w:pPr>
              <w:pStyle w:val="26"/>
            </w:pPr>
            <w:r>
              <w:t>财政拨款保障率</w:t>
            </w:r>
          </w:p>
        </w:tc>
        <w:tc>
          <w:tcPr>
            <w:tcW w:w="2551" w:type="dxa"/>
            <w:vAlign w:val="center"/>
          </w:tcPr>
          <w:p>
            <w:pPr>
              <w:pStyle w:val="26"/>
            </w:pPr>
            <w:r>
              <w:t>100</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服务的完成度</w:t>
            </w:r>
          </w:p>
        </w:tc>
        <w:tc>
          <w:tcPr>
            <w:tcW w:w="2835" w:type="dxa"/>
            <w:vAlign w:val="center"/>
          </w:tcPr>
          <w:p>
            <w:pPr>
              <w:pStyle w:val="26"/>
            </w:pPr>
            <w:r>
              <w:t>服务的完成度</w:t>
            </w:r>
          </w:p>
        </w:tc>
        <w:tc>
          <w:tcPr>
            <w:tcW w:w="2551" w:type="dxa"/>
            <w:vAlign w:val="center"/>
          </w:tcPr>
          <w:p>
            <w:pPr>
              <w:pStyle w:val="26"/>
            </w:pPr>
            <w:r>
              <w:t>≥95及时服务</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实际发生成本</w:t>
            </w:r>
          </w:p>
        </w:tc>
        <w:tc>
          <w:tcPr>
            <w:tcW w:w="2835" w:type="dxa"/>
            <w:vAlign w:val="center"/>
          </w:tcPr>
          <w:p>
            <w:pPr>
              <w:pStyle w:val="26"/>
            </w:pPr>
            <w:r>
              <w:t>实际发生成本</w:t>
            </w:r>
          </w:p>
        </w:tc>
        <w:tc>
          <w:tcPr>
            <w:tcW w:w="2551" w:type="dxa"/>
            <w:vAlign w:val="center"/>
          </w:tcPr>
          <w:p>
            <w:pPr>
              <w:pStyle w:val="26"/>
            </w:pPr>
            <w:r>
              <w:t>100实际支出成本</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促进就业</w:t>
            </w:r>
          </w:p>
        </w:tc>
        <w:tc>
          <w:tcPr>
            <w:tcW w:w="2835" w:type="dxa"/>
            <w:vAlign w:val="center"/>
          </w:tcPr>
          <w:p>
            <w:pPr>
              <w:pStyle w:val="26"/>
            </w:pPr>
            <w:r>
              <w:t>促进社会稳定、就业</w:t>
            </w:r>
          </w:p>
        </w:tc>
        <w:tc>
          <w:tcPr>
            <w:tcW w:w="2551" w:type="dxa"/>
            <w:vAlign w:val="center"/>
          </w:tcPr>
          <w:p>
            <w:pPr>
              <w:pStyle w:val="26"/>
            </w:pPr>
            <w:r>
              <w:t>100促进就业、落实退役军人待遇</w:t>
            </w:r>
          </w:p>
        </w:tc>
        <w:tc>
          <w:tcPr>
            <w:tcW w:w="2268" w:type="dxa"/>
            <w:vAlign w:val="center"/>
          </w:tcPr>
          <w:p>
            <w:pPr>
              <w:pStyle w:val="2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群众满意程度</w:t>
            </w:r>
          </w:p>
        </w:tc>
        <w:tc>
          <w:tcPr>
            <w:tcW w:w="2551" w:type="dxa"/>
            <w:vAlign w:val="center"/>
          </w:tcPr>
          <w:p>
            <w:pPr>
              <w:pStyle w:val="26"/>
            </w:pPr>
            <w:r>
              <w:t>100</w:t>
            </w:r>
          </w:p>
        </w:tc>
        <w:tc>
          <w:tcPr>
            <w:tcW w:w="2268" w:type="dxa"/>
            <w:vAlign w:val="center"/>
          </w:tcPr>
          <w:p>
            <w:pPr>
              <w:pStyle w:val="26"/>
            </w:pPr>
            <w:r>
              <w:t>评定</w:t>
            </w:r>
          </w:p>
        </w:tc>
      </w:tr>
    </w:tbl>
    <w:p>
      <w:pPr>
        <w:pStyle w:val="24"/>
      </w:pPr>
    </w:p>
    <w:p>
      <w:pPr>
        <w:pStyle w:val="24"/>
        <w:ind w:firstLine="560"/>
      </w:pPr>
      <w:r>
        <w:rPr>
          <w:rFonts w:ascii="方正仿宋_GBK" w:hAnsi="方正仿宋_GBK" w:eastAsia="方正仿宋_GBK" w:cs="方正仿宋_GBK"/>
          <w:b/>
          <w:color w:val="000000"/>
          <w:sz w:val="28"/>
        </w:rPr>
        <w:t>16、重点项目固定资产投资核查、核心投资考核、成本监审（第三方购买服务）绩效目标表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1.争取核查项目3个,落实县级政策.</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核查项目个数</w:t>
            </w:r>
          </w:p>
        </w:tc>
        <w:tc>
          <w:tcPr>
            <w:tcW w:w="2835" w:type="dxa"/>
            <w:vAlign w:val="center"/>
          </w:tcPr>
          <w:p>
            <w:pPr>
              <w:pStyle w:val="26"/>
            </w:pPr>
            <w:r>
              <w:t>年内核查项目个数</w:t>
            </w:r>
          </w:p>
        </w:tc>
        <w:tc>
          <w:tcPr>
            <w:tcW w:w="2551" w:type="dxa"/>
            <w:vAlign w:val="center"/>
          </w:tcPr>
          <w:p>
            <w:pPr>
              <w:pStyle w:val="26"/>
            </w:pPr>
            <w:r>
              <w:t>≥3个</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核查项目完成率</w:t>
            </w:r>
          </w:p>
        </w:tc>
        <w:tc>
          <w:tcPr>
            <w:tcW w:w="2835" w:type="dxa"/>
            <w:vAlign w:val="center"/>
          </w:tcPr>
          <w:p>
            <w:pPr>
              <w:pStyle w:val="26"/>
            </w:pPr>
            <w:r>
              <w:t>年内核查项目完成率</w:t>
            </w:r>
          </w:p>
        </w:tc>
        <w:tc>
          <w:tcPr>
            <w:tcW w:w="2551" w:type="dxa"/>
            <w:vAlign w:val="center"/>
          </w:tcPr>
          <w:p>
            <w:pPr>
              <w:pStyle w:val="26"/>
            </w:pPr>
            <w:r>
              <w:t>≥95%</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核查项目及时率</w:t>
            </w:r>
          </w:p>
        </w:tc>
        <w:tc>
          <w:tcPr>
            <w:tcW w:w="2835" w:type="dxa"/>
            <w:vAlign w:val="center"/>
          </w:tcPr>
          <w:p>
            <w:pPr>
              <w:pStyle w:val="26"/>
            </w:pPr>
            <w:r>
              <w:t>核查项目及时率</w:t>
            </w:r>
          </w:p>
        </w:tc>
        <w:tc>
          <w:tcPr>
            <w:tcW w:w="2551" w:type="dxa"/>
            <w:vAlign w:val="center"/>
          </w:tcPr>
          <w:p>
            <w:pPr>
              <w:pStyle w:val="26"/>
            </w:pPr>
            <w:r>
              <w:t>≥95%</w:t>
            </w:r>
          </w:p>
        </w:tc>
        <w:tc>
          <w:tcPr>
            <w:tcW w:w="2268" w:type="dxa"/>
            <w:vAlign w:val="center"/>
          </w:tcPr>
          <w:p>
            <w:pPr>
              <w:pStyle w:val="26"/>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核查项目成本</w:t>
            </w:r>
          </w:p>
        </w:tc>
        <w:tc>
          <w:tcPr>
            <w:tcW w:w="2835" w:type="dxa"/>
            <w:vAlign w:val="center"/>
          </w:tcPr>
          <w:p>
            <w:pPr>
              <w:pStyle w:val="26"/>
            </w:pPr>
            <w:r>
              <w:t>每个核查项目成本</w:t>
            </w:r>
          </w:p>
        </w:tc>
        <w:tc>
          <w:tcPr>
            <w:tcW w:w="2551" w:type="dxa"/>
            <w:vAlign w:val="center"/>
          </w:tcPr>
          <w:p>
            <w:pPr>
              <w:pStyle w:val="26"/>
            </w:pPr>
            <w:r>
              <w:t>≤3万</w:t>
            </w:r>
          </w:p>
        </w:tc>
        <w:tc>
          <w:tcPr>
            <w:tcW w:w="2268" w:type="dxa"/>
            <w:vAlign w:val="center"/>
          </w:tcPr>
          <w:p>
            <w:pPr>
              <w:pStyle w:val="26"/>
            </w:pPr>
            <w:r>
              <w:t>根据合同确定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落实优惠政策助力企业发展</w:t>
            </w:r>
          </w:p>
        </w:tc>
        <w:tc>
          <w:tcPr>
            <w:tcW w:w="2835" w:type="dxa"/>
            <w:vAlign w:val="center"/>
          </w:tcPr>
          <w:p>
            <w:pPr>
              <w:pStyle w:val="26"/>
            </w:pPr>
            <w:r>
              <w:t>根据固投核查政策落实项目奖励政策</w:t>
            </w:r>
          </w:p>
        </w:tc>
        <w:tc>
          <w:tcPr>
            <w:tcW w:w="2551" w:type="dxa"/>
            <w:vAlign w:val="center"/>
          </w:tcPr>
          <w:p>
            <w:pPr>
              <w:pStyle w:val="26"/>
            </w:pPr>
            <w:r>
              <w:t>投资额</w:t>
            </w:r>
          </w:p>
        </w:tc>
        <w:tc>
          <w:tcPr>
            <w:tcW w:w="2268" w:type="dxa"/>
            <w:vAlign w:val="center"/>
          </w:tcPr>
          <w:p>
            <w:pPr>
              <w:pStyle w:val="26"/>
            </w:pPr>
            <w:r>
              <w:t>优惠政策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群众对该项目满意程度调查</w:t>
            </w:r>
          </w:p>
        </w:tc>
        <w:tc>
          <w:tcPr>
            <w:tcW w:w="2551" w:type="dxa"/>
            <w:vAlign w:val="center"/>
          </w:tcPr>
          <w:p>
            <w:pPr>
              <w:pStyle w:val="26"/>
            </w:pPr>
            <w:r>
              <w:t>≥90%</w:t>
            </w:r>
          </w:p>
        </w:tc>
        <w:tc>
          <w:tcPr>
            <w:tcW w:w="2268" w:type="dxa"/>
            <w:vAlign w:val="center"/>
          </w:tcPr>
          <w:p>
            <w:pPr>
              <w:pStyle w:val="26"/>
            </w:pPr>
            <w:r>
              <w:t>问卷调查</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2022年，隆尧县发展和改革局本级安排政府采购预算663.94万元。具体内容见下表。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303001隆尧县发展和改革局本级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663.94</w:t>
            </w:r>
          </w:p>
        </w:tc>
        <w:tc>
          <w:tcPr>
            <w:tcW w:w="964" w:type="dxa"/>
            <w:vAlign w:val="center"/>
          </w:tcPr>
          <w:p>
            <w:pPr>
              <w:pStyle w:val="15"/>
            </w:pPr>
            <w:r>
              <w:t>663.94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465.94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663.94</w:t>
            </w:r>
          </w:p>
        </w:tc>
        <w:tc>
          <w:tcPr>
            <w:tcW w:w="964" w:type="dxa"/>
            <w:vAlign w:val="center"/>
          </w:tcPr>
          <w:p>
            <w:pPr>
              <w:pStyle w:val="15"/>
            </w:pPr>
            <w:r>
              <w:t>663.94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465.94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冀财建[2021]181号/扩建2万吨仓容量的标准仓房</w:t>
            </w:r>
          </w:p>
        </w:tc>
        <w:tc>
          <w:tcPr>
            <w:tcW w:w="964" w:type="dxa"/>
            <w:vAlign w:val="center"/>
          </w:tcPr>
          <w:p>
            <w:pPr>
              <w:pStyle w:val="11"/>
            </w:pPr>
            <w:r>
              <w:t>100.00</w:t>
            </w:r>
          </w:p>
        </w:tc>
        <w:tc>
          <w:tcPr>
            <w:tcW w:w="1134" w:type="dxa"/>
            <w:vAlign w:val="center"/>
          </w:tcPr>
          <w:p>
            <w:pPr>
              <w:pStyle w:val="12"/>
            </w:pPr>
            <w:r>
              <w:t>农林牧渔业用房施工</w:t>
            </w:r>
          </w:p>
        </w:tc>
        <w:tc>
          <w:tcPr>
            <w:tcW w:w="1134" w:type="dxa"/>
            <w:vAlign w:val="center"/>
          </w:tcPr>
          <w:p>
            <w:pPr>
              <w:pStyle w:val="12"/>
            </w:pPr>
            <w:r>
              <w:t>B010102</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70.00</w:t>
            </w:r>
          </w:p>
        </w:tc>
        <w:tc>
          <w:tcPr>
            <w:tcW w:w="964" w:type="dxa"/>
            <w:vAlign w:val="center"/>
          </w:tcPr>
          <w:p>
            <w:pPr>
              <w:pStyle w:val="11"/>
            </w:pPr>
            <w:r>
              <w:t>70.00</w:t>
            </w:r>
          </w:p>
        </w:tc>
        <w:tc>
          <w:tcPr>
            <w:tcW w:w="964" w:type="dxa"/>
            <w:vAlign w:val="center"/>
          </w:tcPr>
          <w:p>
            <w:pPr>
              <w:pStyle w:val="11"/>
            </w:pPr>
            <w:r>
              <w:t>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冀财建[2021]181号/隆尧县京隆粮油购销有限责任公司仓储扩建项目</w:t>
            </w:r>
          </w:p>
        </w:tc>
        <w:tc>
          <w:tcPr>
            <w:tcW w:w="964" w:type="dxa"/>
            <w:vAlign w:val="center"/>
          </w:tcPr>
          <w:p>
            <w:pPr>
              <w:pStyle w:val="11"/>
            </w:pPr>
            <w:r>
              <w:t>455.31</w:t>
            </w:r>
          </w:p>
        </w:tc>
        <w:tc>
          <w:tcPr>
            <w:tcW w:w="1134" w:type="dxa"/>
            <w:vAlign w:val="center"/>
          </w:tcPr>
          <w:p>
            <w:pPr>
              <w:pStyle w:val="12"/>
            </w:pPr>
            <w:r>
              <w:t>农林牧渔业用房施工</w:t>
            </w:r>
          </w:p>
        </w:tc>
        <w:tc>
          <w:tcPr>
            <w:tcW w:w="1134" w:type="dxa"/>
            <w:vAlign w:val="center"/>
          </w:tcPr>
          <w:p>
            <w:pPr>
              <w:pStyle w:val="12"/>
            </w:pPr>
            <w:r>
              <w:t>B010102</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381.59</w:t>
            </w:r>
          </w:p>
        </w:tc>
        <w:tc>
          <w:tcPr>
            <w:tcW w:w="964" w:type="dxa"/>
            <w:vAlign w:val="center"/>
          </w:tcPr>
          <w:p>
            <w:pPr>
              <w:pStyle w:val="11"/>
            </w:pPr>
            <w:r>
              <w:t>381.59</w:t>
            </w:r>
          </w:p>
        </w:tc>
        <w:tc>
          <w:tcPr>
            <w:tcW w:w="964" w:type="dxa"/>
            <w:vAlign w:val="center"/>
          </w:tcPr>
          <w:p>
            <w:pPr>
              <w:pStyle w:val="11"/>
            </w:pPr>
            <w:r>
              <w:t>381.59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隆尧县粮油质检站项目</w:t>
            </w:r>
          </w:p>
        </w:tc>
        <w:tc>
          <w:tcPr>
            <w:tcW w:w="964" w:type="dxa"/>
            <w:vAlign w:val="center"/>
          </w:tcPr>
          <w:p>
            <w:pPr>
              <w:pStyle w:val="11"/>
            </w:pPr>
            <w:r>
              <w:t>11.35</w:t>
            </w:r>
          </w:p>
        </w:tc>
        <w:tc>
          <w:tcPr>
            <w:tcW w:w="1134" w:type="dxa"/>
            <w:vAlign w:val="center"/>
          </w:tcPr>
          <w:p>
            <w:pPr>
              <w:pStyle w:val="12"/>
            </w:pPr>
            <w:r>
              <w:t>农林牧渔业用房施工</w:t>
            </w:r>
          </w:p>
        </w:tc>
        <w:tc>
          <w:tcPr>
            <w:tcW w:w="1134" w:type="dxa"/>
            <w:vAlign w:val="center"/>
          </w:tcPr>
          <w:p>
            <w:pPr>
              <w:pStyle w:val="12"/>
            </w:pPr>
            <w:r>
              <w:t>B010102</w:t>
            </w:r>
          </w:p>
        </w:tc>
        <w:tc>
          <w:tcPr>
            <w:tcW w:w="709" w:type="dxa"/>
            <w:vAlign w:val="center"/>
          </w:tcPr>
          <w:p>
            <w:pPr>
              <w:pStyle w:val="13"/>
            </w:pPr>
            <w:r>
              <w:t>座</w:t>
            </w:r>
          </w:p>
        </w:tc>
        <w:tc>
          <w:tcPr>
            <w:tcW w:w="850" w:type="dxa"/>
            <w:vAlign w:val="center"/>
          </w:tcPr>
          <w:p>
            <w:pPr>
              <w:pStyle w:val="11"/>
            </w:pPr>
            <w:r>
              <w:t>1</w:t>
            </w:r>
          </w:p>
        </w:tc>
        <w:tc>
          <w:tcPr>
            <w:tcW w:w="850" w:type="dxa"/>
            <w:vAlign w:val="center"/>
          </w:tcPr>
          <w:p>
            <w:pPr>
              <w:pStyle w:val="11"/>
            </w:pPr>
            <w:r>
              <w:t>11.35</w:t>
            </w:r>
          </w:p>
        </w:tc>
        <w:tc>
          <w:tcPr>
            <w:tcW w:w="964" w:type="dxa"/>
            <w:vAlign w:val="center"/>
          </w:tcPr>
          <w:p>
            <w:pPr>
              <w:pStyle w:val="11"/>
            </w:pPr>
            <w:r>
              <w:t>11.35</w:t>
            </w:r>
          </w:p>
        </w:tc>
        <w:tc>
          <w:tcPr>
            <w:tcW w:w="964" w:type="dxa"/>
            <w:vAlign w:val="center"/>
          </w:tcPr>
          <w:p>
            <w:pPr>
              <w:pStyle w:val="11"/>
            </w:pPr>
            <w:r>
              <w:t>11.35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隆尧县政策指导咨询服务项目</w:t>
            </w:r>
          </w:p>
        </w:tc>
        <w:tc>
          <w:tcPr>
            <w:tcW w:w="964" w:type="dxa"/>
            <w:vAlign w:val="center"/>
          </w:tcPr>
          <w:p>
            <w:pPr>
              <w:pStyle w:val="11"/>
            </w:pPr>
            <w:r>
              <w:t>198.00</w:t>
            </w:r>
          </w:p>
        </w:tc>
        <w:tc>
          <w:tcPr>
            <w:tcW w:w="1134" w:type="dxa"/>
            <w:vAlign w:val="center"/>
          </w:tcPr>
          <w:p>
            <w:pPr>
              <w:pStyle w:val="12"/>
            </w:pPr>
            <w:r>
              <w:t>社会与管理咨询服务</w:t>
            </w:r>
          </w:p>
        </w:tc>
        <w:tc>
          <w:tcPr>
            <w:tcW w:w="1134" w:type="dxa"/>
            <w:vAlign w:val="center"/>
          </w:tcPr>
          <w:p>
            <w:pPr>
              <w:pStyle w:val="12"/>
            </w:pPr>
            <w:r>
              <w:t>C0808</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198.00</w:t>
            </w:r>
          </w:p>
        </w:tc>
        <w:tc>
          <w:tcPr>
            <w:tcW w:w="964" w:type="dxa"/>
            <w:vAlign w:val="center"/>
          </w:tcPr>
          <w:p>
            <w:pPr>
              <w:pStyle w:val="11"/>
            </w:pPr>
            <w:r>
              <w:t>198.00</w:t>
            </w:r>
          </w:p>
        </w:tc>
        <w:tc>
          <w:tcPr>
            <w:tcW w:w="964" w:type="dxa"/>
            <w:vAlign w:val="center"/>
          </w:tcPr>
          <w:p>
            <w:pPr>
              <w:pStyle w:val="11"/>
            </w:pPr>
            <w:r>
              <w:t>198.00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万元</w:t>
            </w:r>
          </w:p>
        </w:tc>
        <w:tc>
          <w:tcPr>
            <w:tcW w:w="850" w:type="dxa"/>
            <w:vAlign w:val="center"/>
          </w:tcPr>
          <w:p>
            <w:pPr>
              <w:pStyle w:val="11"/>
            </w:pPr>
            <w:r>
              <w:t>8</w:t>
            </w:r>
          </w:p>
        </w:tc>
        <w:tc>
          <w:tcPr>
            <w:tcW w:w="850" w:type="dxa"/>
            <w:vAlign w:val="center"/>
          </w:tcPr>
          <w:p>
            <w:pPr>
              <w:pStyle w:val="11"/>
            </w:pPr>
            <w:r>
              <w:t>0.35</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line="500" w:lineRule="exact"/>
        <w:ind w:firstLine="420"/>
        <w:rPr>
          <w:rFonts w:hint="eastAsia" w:eastAsiaTheme="minorEastAsia"/>
          <w:lang w:val="uk-UA" w:eastAsia="zh-CN"/>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隆尧县发展和改革局本级上年末固定资产金额为11</w:t>
      </w:r>
      <w:r>
        <w:rPr>
          <w:rFonts w:hint="eastAsia" w:eastAsia="方正仿宋_GBK"/>
          <w:color w:val="000000"/>
          <w:sz w:val="28"/>
          <w:lang w:val="en-US" w:eastAsia="zh-CN"/>
        </w:rPr>
        <w:t>9</w:t>
      </w:r>
      <w:r>
        <w:rPr>
          <w:rFonts w:eastAsia="方正仿宋_GBK"/>
          <w:color w:val="000000"/>
          <w:sz w:val="28"/>
        </w:rPr>
        <w:t>.09万元（详见下表）。本年度拟购置固定资产总额为3.00万元，已按要求列入政府采购预算，详见政府采购预算表。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303001隆尧县发展和改革局本级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w:t>
            </w:r>
            <w:r>
              <w:rPr>
                <w:rFonts w:hint="eastAsia"/>
                <w:lang w:val="en-US" w:eastAsia="zh-CN"/>
              </w:rPr>
              <w:t>9</w:t>
            </w:r>
            <w:r>
              <w:t>.09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292</w:t>
            </w:r>
          </w:p>
        </w:tc>
        <w:tc>
          <w:tcPr>
            <w:tcW w:w="2835" w:type="dxa"/>
            <w:vAlign w:val="center"/>
          </w:tcPr>
          <w:p>
            <w:pPr>
              <w:pStyle w:val="11"/>
            </w:pPr>
            <w:r>
              <w:t>119.09</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w:t>
      </w:r>
      <w:bookmarkStart w:id="1" w:name="_GoBack"/>
      <w:bookmarkEnd w:id="1"/>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JkNzBlNDJmOWRhNmM1YmI3OTEwOTM2OTI3MDBkYzIifQ=="/>
  </w:docVars>
  <w:rsids>
    <w:rsidRoot w:val="005A4EC2"/>
    <w:rsid w:val="005A4EC2"/>
    <w:rsid w:val="005E0DE9"/>
    <w:rsid w:val="006C6D25"/>
    <w:rsid w:val="008A46F6"/>
    <w:rsid w:val="00A257AD"/>
    <w:rsid w:val="00BC2CDB"/>
    <w:rsid w:val="00C27676"/>
    <w:rsid w:val="00FC276E"/>
    <w:rsid w:val="01236AF3"/>
    <w:rsid w:val="035F6345"/>
    <w:rsid w:val="05542478"/>
    <w:rsid w:val="05BD0058"/>
    <w:rsid w:val="07926B92"/>
    <w:rsid w:val="07B0770E"/>
    <w:rsid w:val="08B56111"/>
    <w:rsid w:val="08FE1AFB"/>
    <w:rsid w:val="0A7C0570"/>
    <w:rsid w:val="0AF9693B"/>
    <w:rsid w:val="0DE47E66"/>
    <w:rsid w:val="0E19495D"/>
    <w:rsid w:val="0EC24DC3"/>
    <w:rsid w:val="0F01240B"/>
    <w:rsid w:val="10863702"/>
    <w:rsid w:val="11A94D65"/>
    <w:rsid w:val="175C56A1"/>
    <w:rsid w:val="1AC84685"/>
    <w:rsid w:val="1CA309E8"/>
    <w:rsid w:val="1F136AA8"/>
    <w:rsid w:val="1FFB37C4"/>
    <w:rsid w:val="204A716A"/>
    <w:rsid w:val="234E00AF"/>
    <w:rsid w:val="24261E15"/>
    <w:rsid w:val="24882458"/>
    <w:rsid w:val="25EC42CD"/>
    <w:rsid w:val="277359D1"/>
    <w:rsid w:val="282F0838"/>
    <w:rsid w:val="2AA03CB8"/>
    <w:rsid w:val="2BD17ACF"/>
    <w:rsid w:val="2D333A24"/>
    <w:rsid w:val="2D4B2462"/>
    <w:rsid w:val="2D4D2A86"/>
    <w:rsid w:val="30330D58"/>
    <w:rsid w:val="30982105"/>
    <w:rsid w:val="38BD1CBC"/>
    <w:rsid w:val="392B1383"/>
    <w:rsid w:val="39DB2803"/>
    <w:rsid w:val="3C143C9F"/>
    <w:rsid w:val="3F8F762D"/>
    <w:rsid w:val="3FCC262F"/>
    <w:rsid w:val="3FDD4F93"/>
    <w:rsid w:val="43B62F3D"/>
    <w:rsid w:val="458F56C9"/>
    <w:rsid w:val="459C2AA4"/>
    <w:rsid w:val="466510E8"/>
    <w:rsid w:val="47040901"/>
    <w:rsid w:val="474A1F92"/>
    <w:rsid w:val="48DD58AD"/>
    <w:rsid w:val="4A280B43"/>
    <w:rsid w:val="4A983241"/>
    <w:rsid w:val="4AE660EE"/>
    <w:rsid w:val="4C6E4D74"/>
    <w:rsid w:val="4EBF446B"/>
    <w:rsid w:val="4FE237A9"/>
    <w:rsid w:val="50700DB5"/>
    <w:rsid w:val="514A5AAA"/>
    <w:rsid w:val="517F598E"/>
    <w:rsid w:val="533005A3"/>
    <w:rsid w:val="53592617"/>
    <w:rsid w:val="557430F6"/>
    <w:rsid w:val="55D6205B"/>
    <w:rsid w:val="56EB4802"/>
    <w:rsid w:val="59582B32"/>
    <w:rsid w:val="5CD46081"/>
    <w:rsid w:val="64F53702"/>
    <w:rsid w:val="6539721F"/>
    <w:rsid w:val="66633E9A"/>
    <w:rsid w:val="667473F9"/>
    <w:rsid w:val="673F7E26"/>
    <w:rsid w:val="69D81C0D"/>
    <w:rsid w:val="69EE2949"/>
    <w:rsid w:val="6AC712D3"/>
    <w:rsid w:val="6B3D74C9"/>
    <w:rsid w:val="6D9B170F"/>
    <w:rsid w:val="6FE777CA"/>
    <w:rsid w:val="74A40EAA"/>
    <w:rsid w:val="74BA06CD"/>
    <w:rsid w:val="74E526A5"/>
    <w:rsid w:val="75C0371D"/>
    <w:rsid w:val="75C32AA9"/>
    <w:rsid w:val="762D60C6"/>
    <w:rsid w:val="76C770D1"/>
    <w:rsid w:val="76D92AA1"/>
    <w:rsid w:val="771D13E7"/>
    <w:rsid w:val="7792468C"/>
    <w:rsid w:val="782D0561"/>
    <w:rsid w:val="78C95383"/>
    <w:rsid w:val="79A419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9f74be25-ac39-449d-aabf-d3615fcb9d8b"/>
    <w:qFormat/>
    <w:uiPriority w:val="0"/>
    <w:rPr>
      <w:rFonts w:ascii="Times New Roman" w:hAnsi="Times New Roman" w:eastAsia="Times New Roman" w:cs="Times New Roman"/>
      <w:sz w:val="24"/>
      <w:szCs w:val="24"/>
      <w:lang w:val="en-US" w:eastAsia="uk-UA" w:bidi="ar-SA"/>
    </w:rPr>
  </w:style>
  <w:style w:type="paragraph" w:customStyle="1" w:styleId="25">
    <w:name w:val="单元格样式1_5108628c-292f-451e-895a-d5f604ba0a74"/>
    <w:basedOn w:val="1"/>
    <w:qFormat/>
    <w:uiPriority w:val="0"/>
    <w:pPr>
      <w:jc w:val="center"/>
    </w:pPr>
    <w:rPr>
      <w:rFonts w:ascii="方正书宋_GBK" w:hAnsi="方正书宋_GBK" w:eastAsia="方正书宋_GBK" w:cs="方正书宋_GBK"/>
      <w:b/>
      <w:sz w:val="21"/>
    </w:rPr>
  </w:style>
  <w:style w:type="paragraph" w:customStyle="1" w:styleId="26">
    <w:name w:val="单元格样式2_86258d18-1298-4a04-8ba4-7de2d52832f2"/>
    <w:basedOn w:val="1"/>
    <w:qFormat/>
    <w:uiPriority w:val="0"/>
    <w:rPr>
      <w:rFonts w:ascii="方正书宋_GBK" w:hAnsi="方正书宋_GBK" w:eastAsia="方正书宋_GBK" w:cs="方正书宋_GBK"/>
      <w:sz w:val="21"/>
    </w:rPr>
  </w:style>
  <w:style w:type="paragraph" w:customStyle="1" w:styleId="27">
    <w:name w:val="单元格样式3_096095d4-7d7a-4f62-a1a0-7c3df9f24519"/>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2022-02-15T13:41:40Z</dcterms:created>
  <dcterms:modified xsi:type="dcterms:W3CDTF">2022-02-15T05:41:40Z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2022-02-15T13:41:35Z</dcterms:created>
  <dcterms:modified xsi:type="dcterms:W3CDTF">2022-02-15T05:41:35Z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2022-02-15T13:41:42Z</dcterms:created>
  <dcterms:modified xsi:type="dcterms:W3CDTF">2022-02-15T05:41:42Z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2022-02-15T13:41:38Z</dcterms:created>
  <dcterms:modified xsi:type="dcterms:W3CDTF">2022-02-15T05:41:38Z</dcterms:modified>
</cp:coreProperties>
</file>

<file path=customXml/itemProps1.xml><?xml version="1.0" encoding="utf-8"?>
<ds:datastoreItem xmlns:ds="http://schemas.openxmlformats.org/officeDocument/2006/customXml" ds:itemID="{2046C414-5639-4E3F-8BAA-769A47D89DB7}">
  <ds:schemaRefs/>
</ds:datastoreItem>
</file>

<file path=customXml/itemProps2.xml><?xml version="1.0" encoding="utf-8"?>
<ds:datastoreItem xmlns:ds="http://schemas.openxmlformats.org/officeDocument/2006/customXml" ds:itemID="{3F023F67-6780-4610-86C5-9F2BC8F49FA7}">
  <ds:schemaRefs/>
</ds:datastoreItem>
</file>

<file path=customXml/itemProps3.xml><?xml version="1.0" encoding="utf-8"?>
<ds:datastoreItem xmlns:ds="http://schemas.openxmlformats.org/officeDocument/2006/customXml" ds:itemID="{CFE54730-EB32-4A91-839A-0FFE406AE90D}">
  <ds:schemaRefs/>
</ds:datastoreItem>
</file>

<file path=customXml/itemProps4.xml><?xml version="1.0" encoding="utf-8"?>
<ds:datastoreItem xmlns:ds="http://schemas.openxmlformats.org/officeDocument/2006/customXml" ds:itemID="{2056064A-8421-4129-BFB7-6A4BFB7F1E59}">
  <ds:schemaRefs/>
</ds:datastoreItem>
</file>

<file path=customXml/itemProps5.xml><?xml version="1.0" encoding="utf-8"?>
<ds:datastoreItem xmlns:ds="http://schemas.openxmlformats.org/officeDocument/2006/customXml" ds:itemID="{AB652FBD-367A-4680-80A7-551595550D89}">
  <ds:schemaRefs/>
</ds:datastoreItem>
</file>

<file path=customXml/itemProps6.xml><?xml version="1.0" encoding="utf-8"?>
<ds:datastoreItem xmlns:ds="http://schemas.openxmlformats.org/officeDocument/2006/customXml" ds:itemID="{33835F13-9C5A-4E26-BD6D-0BEFA45160AE}">
  <ds:schemaRefs/>
</ds:datastoreItem>
</file>

<file path=customXml/itemProps7.xml><?xml version="1.0" encoding="utf-8"?>
<ds:datastoreItem xmlns:ds="http://schemas.openxmlformats.org/officeDocument/2006/customXml" ds:itemID="{0E760E16-61AE-41C3-8FDB-2055FD19BAE5}">
  <ds:schemaRefs/>
</ds:datastoreItem>
</file>

<file path=customXml/itemProps8.xml><?xml version="1.0" encoding="utf-8"?>
<ds:datastoreItem xmlns:ds="http://schemas.openxmlformats.org/officeDocument/2006/customXml" ds:itemID="{08D69636-3251-443A-A1FE-716413CA9310}">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34</Pages>
  <Words>11378</Words>
  <Characters>14044</Characters>
  <Lines>268</Lines>
  <Paragraphs>75</Paragraphs>
  <TotalTime>67</TotalTime>
  <ScaleCrop>false</ScaleCrop>
  <LinksUpToDate>false</LinksUpToDate>
  <CharactersWithSpaces>14212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2022-02-15T06:27:00Z</dcterms:created>
  <dc:creator>Administrator</dc:creator>
  <cp:lastModifiedBy>汪欢欢</cp:lastModifiedBy>
  <dcterms:modified xsi:type="dcterms:W3CDTF">2023-09-05T09:16:09Z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3B4F93BBE7DA45CA9356A4DC5FF717B7</vt:lpwstr>
  </property>
</Properties>
</file>