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r>
        <w:rPr>
          <w:rFonts w:hint="eastAsia" w:ascii="黑体" w:hAnsi="黑体" w:eastAsia="黑体"/>
          <w:sz w:val="44"/>
          <w:szCs w:val="44"/>
        </w:rPr>
        <w:t>隆尧县城市管理综合行政执法局</w:t>
      </w:r>
    </w:p>
    <w:p>
      <w:pPr>
        <w:jc w:val="center"/>
        <w:rPr>
          <w:rFonts w:ascii="黑体" w:hAnsi="黑体" w:eastAsia="黑体"/>
          <w:sz w:val="44"/>
          <w:szCs w:val="44"/>
        </w:rPr>
      </w:pPr>
      <w:r>
        <w:rPr>
          <w:rFonts w:hint="eastAsia" w:ascii="黑体" w:hAnsi="黑体" w:eastAsia="黑体"/>
          <w:sz w:val="44"/>
          <w:szCs w:val="44"/>
        </w:rPr>
        <w:t>2023年“双随机、一公开”</w:t>
      </w:r>
    </w:p>
    <w:p>
      <w:pPr>
        <w:jc w:val="center"/>
        <w:rPr>
          <w:rFonts w:ascii="黑体" w:hAnsi="黑体" w:eastAsia="黑体"/>
          <w:sz w:val="44"/>
          <w:szCs w:val="44"/>
        </w:rPr>
      </w:pPr>
      <w:r>
        <w:rPr>
          <w:rFonts w:hint="eastAsia" w:ascii="黑体" w:hAnsi="黑体" w:eastAsia="黑体"/>
          <w:sz w:val="44"/>
          <w:szCs w:val="44"/>
        </w:rPr>
        <w:t>工作抽查实施方案</w:t>
      </w:r>
    </w:p>
    <w:p>
      <w:pPr>
        <w:jc w:val="center"/>
        <w:rPr>
          <w:rFonts w:ascii="黑体" w:hAnsi="黑体" w:eastAsia="黑体"/>
          <w:sz w:val="44"/>
          <w:szCs w:val="44"/>
        </w:rPr>
      </w:pPr>
    </w:p>
    <w:p>
      <w:pPr>
        <w:ind w:firstLine="640" w:firstLineChars="200"/>
        <w:rPr>
          <w:rFonts w:ascii="仿宋_GB2312" w:eastAsia="仿宋_GB2312"/>
          <w:sz w:val="32"/>
          <w:szCs w:val="32"/>
        </w:rPr>
      </w:pPr>
      <w:r>
        <w:rPr>
          <w:rStyle w:val="10"/>
        </w:rPr>
        <w:t>为认真贯彻落实国务院</w:t>
      </w:r>
      <w:r>
        <w:rPr>
          <w:rStyle w:val="10"/>
          <w:rFonts w:hint="eastAsia"/>
        </w:rPr>
        <w:t>、</w:t>
      </w:r>
      <w:r>
        <w:rPr>
          <w:rStyle w:val="10"/>
        </w:rPr>
        <w:t>省委省政府</w:t>
      </w:r>
      <w:r>
        <w:rPr>
          <w:rStyle w:val="10"/>
          <w:rFonts w:hint="eastAsia"/>
        </w:rPr>
        <w:t>、市委市政府和省市场监管局</w:t>
      </w:r>
      <w:r>
        <w:rPr>
          <w:rStyle w:val="10"/>
        </w:rPr>
        <w:t>关于“双随机、一公开”监管工作的部署要求，持续深化“放管服”改革、优化营商环境</w:t>
      </w:r>
      <w:r>
        <w:rPr>
          <w:rFonts w:hint="eastAsia" w:ascii="仿宋_GB2312" w:eastAsia="仿宋_GB2312"/>
          <w:sz w:val="32"/>
          <w:szCs w:val="32"/>
        </w:rPr>
        <w:t xml:space="preserve">，细化我局推广双随机抽查的工作和时间进度，结合我局工作实际，特制定2023年“双随机、一公开”实施方案。 </w:t>
      </w:r>
    </w:p>
    <w:p>
      <w:pPr>
        <w:ind w:firstLine="640" w:firstLineChars="200"/>
        <w:rPr>
          <w:rFonts w:ascii="仿宋_GB2312" w:eastAsia="仿宋_GB2312"/>
          <w:sz w:val="32"/>
          <w:szCs w:val="32"/>
        </w:rPr>
      </w:pPr>
      <w:r>
        <w:rPr>
          <w:rFonts w:hint="eastAsia" w:ascii="仿宋_GB2312" w:eastAsia="仿宋_GB2312"/>
          <w:sz w:val="32"/>
          <w:szCs w:val="32"/>
        </w:rPr>
        <w:t>一、指导思想</w:t>
      </w:r>
    </w:p>
    <w:p>
      <w:pPr>
        <w:ind w:firstLine="640" w:firstLineChars="200"/>
        <w:rPr>
          <w:rFonts w:ascii="仿宋_GB2312" w:eastAsia="仿宋_GB2312"/>
          <w:sz w:val="32"/>
          <w:szCs w:val="32"/>
        </w:rPr>
      </w:pPr>
      <w:r>
        <w:rPr>
          <w:rFonts w:hint="eastAsia" w:ascii="仿宋_GB2312" w:eastAsia="仿宋_GB2312"/>
          <w:sz w:val="32"/>
          <w:szCs w:val="32"/>
        </w:rPr>
        <w:t>认真贯彻落实党的</w:t>
      </w:r>
      <w:r>
        <w:rPr>
          <w:rFonts w:hint="eastAsia" w:ascii="仿宋_GB2312" w:eastAsia="仿宋_GB2312"/>
          <w:sz w:val="32"/>
          <w:szCs w:val="32"/>
          <w:lang w:eastAsia="zh-CN"/>
        </w:rPr>
        <w:t>二十</w:t>
      </w:r>
      <w:r>
        <w:rPr>
          <w:rFonts w:hint="eastAsia" w:ascii="仿宋_GB2312" w:eastAsia="仿宋_GB2312"/>
          <w:sz w:val="32"/>
          <w:szCs w:val="32"/>
        </w:rPr>
        <w:t>大精神，按</w:t>
      </w:r>
      <w:bookmarkStart w:id="0" w:name="_GoBack"/>
      <w:bookmarkEnd w:id="0"/>
      <w:r>
        <w:rPr>
          <w:rFonts w:hint="eastAsia" w:ascii="仿宋_GB2312" w:eastAsia="仿宋_GB2312"/>
          <w:sz w:val="32"/>
          <w:szCs w:val="32"/>
        </w:rPr>
        <w:t>照国务院和省、市政府简政放权、放管结合有关文件的要求，大力推广“随机抽取检查对象、随机选派检查人员”的“双随机”抽查机制，严格限制自由裁量权，规范监管行为，创新管理方式，强化市场主体自律和社会监督，着力解决群众反映强烈的突出问题，提高监管效能，激发市场活力。</w:t>
      </w:r>
    </w:p>
    <w:p>
      <w:pPr>
        <w:ind w:firstLine="640" w:firstLineChars="200"/>
        <w:rPr>
          <w:rFonts w:ascii="仿宋_GB2312" w:eastAsia="仿宋_GB2312"/>
          <w:sz w:val="32"/>
          <w:szCs w:val="32"/>
        </w:rPr>
      </w:pPr>
      <w:r>
        <w:rPr>
          <w:rFonts w:hint="eastAsia" w:ascii="仿宋_GB2312" w:eastAsia="仿宋_GB2312"/>
          <w:sz w:val="32"/>
          <w:szCs w:val="32"/>
        </w:rPr>
        <w:t>二、随机抽查对象</w:t>
      </w:r>
    </w:p>
    <w:p>
      <w:pPr>
        <w:ind w:firstLine="640" w:firstLineChars="200"/>
        <w:rPr>
          <w:rFonts w:ascii="仿宋_GB2312" w:eastAsia="仿宋_GB2312"/>
          <w:sz w:val="32"/>
          <w:szCs w:val="32"/>
        </w:rPr>
      </w:pPr>
      <w:r>
        <w:rPr>
          <w:rFonts w:hint="eastAsia" w:ascii="仿宋_GB2312" w:eastAsia="仿宋_GB2312"/>
          <w:sz w:val="32"/>
          <w:szCs w:val="32"/>
        </w:rPr>
        <w:t>经营企业单位和个人。</w:t>
      </w:r>
    </w:p>
    <w:p>
      <w:pPr>
        <w:ind w:firstLine="640" w:firstLineChars="200"/>
        <w:rPr>
          <w:rFonts w:ascii="仿宋_GB2312" w:eastAsia="仿宋_GB2312"/>
          <w:sz w:val="32"/>
          <w:szCs w:val="32"/>
        </w:rPr>
      </w:pPr>
      <w:r>
        <w:rPr>
          <w:rFonts w:hint="eastAsia" w:ascii="仿宋_GB2312" w:eastAsia="仿宋_GB2312"/>
          <w:sz w:val="32"/>
          <w:szCs w:val="32"/>
        </w:rPr>
        <w:t>三、抽查事项和内容</w:t>
      </w:r>
    </w:p>
    <w:p>
      <w:pPr>
        <w:ind w:firstLine="640" w:firstLineChars="200"/>
        <w:rPr>
          <w:rFonts w:ascii="楷体_GB2312" w:eastAsia="楷体_GB2312"/>
          <w:sz w:val="32"/>
          <w:szCs w:val="32"/>
        </w:rPr>
      </w:pPr>
      <w:r>
        <w:rPr>
          <w:rFonts w:hint="eastAsia" w:ascii="楷体_GB2312" w:eastAsia="楷体_GB2312"/>
          <w:sz w:val="32"/>
          <w:szCs w:val="32"/>
        </w:rPr>
        <w:t>1、城市建筑垃圾收集、运输核准许可后的监督检查。</w:t>
      </w:r>
    </w:p>
    <w:p>
      <w:pPr>
        <w:ind w:firstLine="640" w:firstLineChars="200"/>
        <w:rPr>
          <w:rFonts w:ascii="仿宋_GB2312" w:eastAsia="仿宋_GB2312"/>
          <w:sz w:val="32"/>
          <w:szCs w:val="32"/>
        </w:rPr>
      </w:pPr>
      <w:r>
        <w:rPr>
          <w:rFonts w:hint="eastAsia" w:ascii="仿宋_GB2312" w:eastAsia="仿宋_GB2312"/>
          <w:sz w:val="32"/>
          <w:szCs w:val="32"/>
        </w:rPr>
        <w:t>是否取得道路运输经营许可证、车辆行驶证；是否有与经核准从事建筑垃圾运输单位签订的合同；其他有关内容。</w:t>
      </w:r>
    </w:p>
    <w:p>
      <w:pPr>
        <w:ind w:firstLine="640" w:firstLineChars="200"/>
        <w:rPr>
          <w:rFonts w:ascii="楷体_GB2312" w:eastAsia="楷体_GB2312"/>
          <w:sz w:val="32"/>
          <w:szCs w:val="32"/>
        </w:rPr>
      </w:pPr>
      <w:r>
        <w:rPr>
          <w:rFonts w:hint="eastAsia" w:ascii="楷体_GB2312" w:eastAsia="楷体_GB2312"/>
          <w:sz w:val="32"/>
          <w:szCs w:val="32"/>
        </w:rPr>
        <w:t>2、城镇排水与污水处理监督检查。</w:t>
      </w:r>
    </w:p>
    <w:p>
      <w:pPr>
        <w:ind w:firstLine="640" w:firstLineChars="200"/>
        <w:rPr>
          <w:rFonts w:ascii="仿宋_GB2312" w:eastAsia="仿宋_GB2312"/>
          <w:sz w:val="32"/>
          <w:szCs w:val="32"/>
        </w:rPr>
      </w:pPr>
      <w:r>
        <w:rPr>
          <w:rFonts w:hint="eastAsia" w:ascii="仿宋_GB2312" w:eastAsia="仿宋_GB2312"/>
          <w:sz w:val="32"/>
          <w:szCs w:val="32"/>
        </w:rPr>
        <w:t>城市防汛工作情况是否符合规定要求;城镇污水排入排水管网许可落实及具体实施情况；排水许可资料归档情况。</w:t>
      </w:r>
    </w:p>
    <w:p>
      <w:pPr>
        <w:ind w:firstLine="640" w:firstLineChars="200"/>
        <w:rPr>
          <w:rFonts w:ascii="仿宋_GB2312" w:eastAsia="仿宋_GB2312"/>
          <w:sz w:val="32"/>
          <w:szCs w:val="32"/>
        </w:rPr>
      </w:pPr>
      <w:r>
        <w:rPr>
          <w:rFonts w:hint="eastAsia" w:ascii="仿宋_GB2312" w:eastAsia="仿宋_GB2312"/>
          <w:sz w:val="32"/>
          <w:szCs w:val="32"/>
        </w:rPr>
        <w:t>四、随机抽查方式</w:t>
      </w:r>
    </w:p>
    <w:p>
      <w:pPr>
        <w:ind w:firstLine="640" w:firstLineChars="200"/>
        <w:rPr>
          <w:rFonts w:ascii="仿宋_GB2312" w:eastAsia="仿宋_GB2312"/>
          <w:sz w:val="32"/>
          <w:szCs w:val="32"/>
        </w:rPr>
      </w:pPr>
      <w:r>
        <w:rPr>
          <w:rFonts w:hint="eastAsia" w:ascii="仿宋_GB2312" w:eastAsia="仿宋_GB2312"/>
          <w:sz w:val="32"/>
          <w:szCs w:val="32"/>
        </w:rPr>
        <w:t>1、定向抽查和不定向抽查方式的结合：定向抽查是指按照被监管对象的生产经营规模、信用风险等级等特定条件，随机确定待查对象名单，对其进行执法检查。不定向抽查是指不设定条件，随机确定待查对象名单，对其进行执法检查。</w:t>
      </w:r>
    </w:p>
    <w:p>
      <w:pPr>
        <w:ind w:firstLine="640" w:firstLineChars="200"/>
        <w:rPr>
          <w:rFonts w:ascii="仿宋_GB2312" w:eastAsia="仿宋_GB2312"/>
          <w:sz w:val="32"/>
          <w:szCs w:val="32"/>
        </w:rPr>
      </w:pPr>
      <w:r>
        <w:rPr>
          <w:rFonts w:hint="eastAsia" w:ascii="仿宋_GB2312" w:eastAsia="仿宋_GB2312"/>
          <w:sz w:val="32"/>
          <w:szCs w:val="32"/>
        </w:rPr>
        <w:t>2、自查和直接检查相结合：对随机抽查对象，城管局可以直接检查，也可要求其先行自查，再组织重点检查。</w:t>
      </w:r>
    </w:p>
    <w:p>
      <w:pPr>
        <w:ind w:firstLine="640" w:firstLineChars="200"/>
        <w:rPr>
          <w:rFonts w:ascii="仿宋_GB2312" w:eastAsia="仿宋_GB2312"/>
          <w:sz w:val="32"/>
          <w:szCs w:val="32"/>
        </w:rPr>
      </w:pPr>
      <w:r>
        <w:rPr>
          <w:rFonts w:hint="eastAsia" w:ascii="仿宋_GB2312" w:eastAsia="仿宋_GB2312"/>
          <w:sz w:val="32"/>
          <w:szCs w:val="32"/>
        </w:rPr>
        <w:t>五、随机抽查的频次和比例</w:t>
      </w:r>
    </w:p>
    <w:p>
      <w:pPr>
        <w:ind w:firstLine="640" w:firstLineChars="200"/>
        <w:rPr>
          <w:rFonts w:ascii="仿宋_GB2312" w:eastAsia="仿宋_GB2312"/>
          <w:sz w:val="32"/>
          <w:szCs w:val="32"/>
        </w:rPr>
      </w:pPr>
      <w:r>
        <w:rPr>
          <w:rFonts w:hint="eastAsia" w:ascii="仿宋_GB2312" w:eastAsia="仿宋_GB2312"/>
          <w:sz w:val="32"/>
          <w:szCs w:val="32"/>
        </w:rPr>
        <w:t>1、</w:t>
      </w:r>
      <w:r>
        <w:rPr>
          <w:rStyle w:val="10"/>
        </w:rPr>
        <w:t>运用企业信用风险分类开展随机抽查次数占总抽查次数的比例不低于</w:t>
      </w:r>
      <w:r>
        <w:rPr>
          <w:rStyle w:val="10"/>
          <w:rFonts w:hint="eastAsia"/>
        </w:rPr>
        <w:t>90</w:t>
      </w:r>
      <w:r>
        <w:rPr>
          <w:rStyle w:val="10"/>
        </w:rPr>
        <w:t>%，提高抽查检查结果发现问题率；全系统年度抽查企业占比不低于3%，抽查结果按时公示率100%，抽查检查发现问题后续处置率100%，</w:t>
      </w:r>
      <w:r>
        <w:rPr>
          <w:rStyle w:val="10"/>
          <w:rFonts w:hint="eastAsia"/>
        </w:rPr>
        <w:t>进一步</w:t>
      </w:r>
      <w:r>
        <w:rPr>
          <w:rStyle w:val="10"/>
        </w:rPr>
        <w:t>提升随机抽查效能</w:t>
      </w:r>
      <w:r>
        <w:rPr>
          <w:rFonts w:hint="eastAsia" w:ascii="仿宋_GB2312" w:eastAsia="仿宋_GB2312"/>
          <w:sz w:val="32"/>
          <w:szCs w:val="32"/>
        </w:rPr>
        <w:t>。</w:t>
      </w:r>
    </w:p>
    <w:p>
      <w:pPr>
        <w:ind w:firstLine="640" w:firstLineChars="200"/>
        <w:rPr>
          <w:rFonts w:ascii="仿宋_GB2312" w:eastAsia="仿宋_GB2312"/>
          <w:sz w:val="32"/>
          <w:szCs w:val="32"/>
        </w:rPr>
      </w:pPr>
      <w:r>
        <w:rPr>
          <w:rFonts w:hint="eastAsia" w:ascii="仿宋_GB2312" w:eastAsia="仿宋_GB2312"/>
          <w:sz w:val="32"/>
          <w:szCs w:val="32"/>
        </w:rPr>
        <w:t>2、被列入重点的企业和对象不定期开展执法检查。</w:t>
      </w:r>
    </w:p>
    <w:p>
      <w:pPr>
        <w:ind w:firstLine="640" w:firstLineChars="200"/>
        <w:rPr>
          <w:rFonts w:ascii="仿宋_GB2312" w:eastAsia="仿宋_GB2312"/>
          <w:sz w:val="32"/>
          <w:szCs w:val="32"/>
        </w:rPr>
      </w:pPr>
      <w:r>
        <w:rPr>
          <w:rFonts w:hint="eastAsia" w:ascii="仿宋_GB2312" w:eastAsia="仿宋_GB2312"/>
          <w:sz w:val="32"/>
          <w:szCs w:val="32"/>
        </w:rPr>
        <w:t>3、对被投诉、举报的，可随时进行检查。</w:t>
      </w:r>
    </w:p>
    <w:p>
      <w:pPr>
        <w:ind w:firstLine="640" w:firstLineChars="200"/>
        <w:rPr>
          <w:rFonts w:ascii="仿宋_GB2312" w:eastAsia="仿宋_GB2312"/>
          <w:sz w:val="32"/>
          <w:szCs w:val="32"/>
        </w:rPr>
      </w:pPr>
      <w:r>
        <w:rPr>
          <w:rFonts w:hint="eastAsia" w:ascii="仿宋_GB2312" w:eastAsia="仿宋_GB2312"/>
          <w:sz w:val="32"/>
          <w:szCs w:val="32"/>
        </w:rPr>
        <w:t>六、随机抽查的结果运用</w:t>
      </w:r>
    </w:p>
    <w:p>
      <w:pPr>
        <w:ind w:firstLine="640" w:firstLineChars="200"/>
        <w:rPr>
          <w:rFonts w:ascii="仿宋_GB2312" w:eastAsia="仿宋_GB2312"/>
          <w:sz w:val="32"/>
          <w:szCs w:val="32"/>
        </w:rPr>
      </w:pPr>
      <w:r>
        <w:rPr>
          <w:rFonts w:hint="eastAsia" w:ascii="仿宋_GB2312" w:eastAsia="仿宋_GB2312"/>
          <w:sz w:val="32"/>
          <w:szCs w:val="32"/>
        </w:rPr>
        <w:t>1.对抽查发现的违法违规行为，依法依规严格惩处，接受社会监督，形成有效震慑，增强市场主体守法的自觉性。</w:t>
      </w:r>
    </w:p>
    <w:p>
      <w:pPr>
        <w:ind w:firstLine="640" w:firstLineChars="200"/>
        <w:rPr>
          <w:rFonts w:ascii="仿宋_GB2312" w:eastAsia="仿宋_GB2312"/>
          <w:sz w:val="32"/>
          <w:szCs w:val="32"/>
        </w:rPr>
      </w:pPr>
      <w:r>
        <w:rPr>
          <w:rFonts w:hint="eastAsia" w:ascii="仿宋_GB2312" w:eastAsia="仿宋_GB2312"/>
          <w:sz w:val="32"/>
          <w:szCs w:val="32"/>
        </w:rPr>
        <w:t>2.通过政府公开平台官方网站及时向社会公布抽查结果，记录在市场主体公示信息中。</w:t>
      </w:r>
    </w:p>
    <w:p>
      <w:pPr>
        <w:ind w:firstLine="640" w:firstLineChars="200"/>
        <w:rPr>
          <w:rFonts w:ascii="仿宋_GB2312" w:eastAsia="仿宋_GB2312"/>
          <w:sz w:val="32"/>
          <w:szCs w:val="32"/>
        </w:rPr>
      </w:pPr>
      <w:r>
        <w:rPr>
          <w:rFonts w:hint="eastAsia" w:ascii="仿宋_GB2312" w:eastAsia="仿宋_GB2312"/>
          <w:sz w:val="32"/>
          <w:szCs w:val="32"/>
        </w:rPr>
        <w:t>3.对检查中发现的不属于本部门职责范围的违法违规行为，要将线索移送相应监管部门依法处理。</w:t>
      </w:r>
    </w:p>
    <w:p>
      <w:pPr>
        <w:ind w:firstLine="640" w:firstLineChars="200"/>
        <w:rPr>
          <w:rFonts w:ascii="仿宋_GB2312" w:eastAsia="仿宋_GB2312"/>
          <w:sz w:val="32"/>
          <w:szCs w:val="32"/>
        </w:rPr>
      </w:pPr>
      <w:r>
        <w:rPr>
          <w:rFonts w:hint="eastAsia" w:ascii="仿宋_GB2312" w:eastAsia="仿宋_GB2312"/>
          <w:sz w:val="32"/>
          <w:szCs w:val="32"/>
        </w:rPr>
        <w:t>七、建立“双随机”抽查机制</w:t>
      </w:r>
    </w:p>
    <w:p>
      <w:pPr>
        <w:ind w:firstLine="640" w:firstLineChars="200"/>
        <w:rPr>
          <w:rFonts w:ascii="仿宋_GB2312" w:eastAsia="仿宋_GB2312"/>
          <w:sz w:val="32"/>
          <w:szCs w:val="32"/>
        </w:rPr>
      </w:pPr>
      <w:r>
        <w:rPr>
          <w:rFonts w:hint="eastAsia" w:ascii="仿宋_GB2312" w:eastAsia="仿宋_GB2312"/>
          <w:sz w:val="32"/>
          <w:szCs w:val="32"/>
        </w:rPr>
        <w:t>城管局开展监督检查，从检查对象名录库中随机抽取检查对象，从执法检查人员名录库中随机选取两名执法检查人员。对市场主体名录库、执法检查人员名录库及“双随机”抽查事项实行动态管理，及时录入、更新相关信息，确保监管对象齐全、监管人员合格、监管事项合法。“双随机”抽查，由城管局“双随机”办公室全程监督。</w:t>
      </w:r>
    </w:p>
    <w:p>
      <w:pPr>
        <w:ind w:firstLine="640" w:firstLineChars="200"/>
        <w:rPr>
          <w:rFonts w:ascii="仿宋_GB2312" w:eastAsia="仿宋_GB2312"/>
          <w:sz w:val="32"/>
          <w:szCs w:val="32"/>
        </w:rPr>
      </w:pPr>
      <w:r>
        <w:rPr>
          <w:rFonts w:hint="eastAsia" w:ascii="仿宋_GB2312" w:eastAsia="仿宋_GB2312"/>
          <w:sz w:val="32"/>
          <w:szCs w:val="32"/>
        </w:rPr>
        <w:t>八、时间节点</w:t>
      </w:r>
    </w:p>
    <w:p>
      <w:pPr>
        <w:ind w:firstLine="640" w:firstLineChars="200"/>
        <w:rPr>
          <w:rFonts w:ascii="仿宋_GB2312" w:eastAsia="仿宋_GB2312"/>
          <w:sz w:val="32"/>
          <w:szCs w:val="32"/>
        </w:rPr>
      </w:pPr>
      <w:r>
        <w:rPr>
          <w:rFonts w:hint="eastAsia" w:ascii="仿宋_GB2312" w:eastAsia="仿宋_GB2312"/>
          <w:sz w:val="32"/>
          <w:szCs w:val="32"/>
        </w:rPr>
        <w:t>各科室要严格按照抽查的时间节点完成任务。抽查计划见附件。</w:t>
      </w:r>
    </w:p>
    <w:p>
      <w:pPr>
        <w:ind w:firstLine="640" w:firstLineChars="200"/>
        <w:rPr>
          <w:rFonts w:ascii="仿宋_GB2312" w:eastAsia="仿宋_GB2312"/>
          <w:sz w:val="32"/>
          <w:szCs w:val="32"/>
        </w:rPr>
      </w:pPr>
      <w:r>
        <w:rPr>
          <w:rFonts w:hint="eastAsia" w:ascii="仿宋_GB2312" w:eastAsia="仿宋_GB2312"/>
          <w:sz w:val="32"/>
          <w:szCs w:val="32"/>
        </w:rPr>
        <w:t>九、工作要求</w:t>
      </w:r>
    </w:p>
    <w:p>
      <w:pPr>
        <w:ind w:firstLine="640" w:firstLineChars="200"/>
        <w:rPr>
          <w:rFonts w:ascii="仿宋_GB2312" w:eastAsia="仿宋_GB2312"/>
          <w:sz w:val="32"/>
          <w:szCs w:val="32"/>
        </w:rPr>
      </w:pPr>
      <w:r>
        <w:rPr>
          <w:rFonts w:hint="eastAsia" w:ascii="仿宋_GB2312" w:eastAsia="仿宋_GB2312"/>
          <w:sz w:val="32"/>
          <w:szCs w:val="32"/>
        </w:rPr>
        <w:t>（一）加强组织领导。“双随机”抽查实行统一领导，分级负责的机制，并设立以局长为组长，各分管业务的局领导为副组长及相关执法检查部门负责人为成员的领导小组。加强随机抽查监管工作的统筹协调，建立健全相应工作机制，加强部门协调配合，不断提高检查水平，切实把“双随机”抽查监管落到实处。</w:t>
      </w:r>
    </w:p>
    <w:p>
      <w:pPr>
        <w:ind w:firstLine="640" w:firstLineChars="200"/>
        <w:rPr>
          <w:rFonts w:ascii="仿宋_GB2312" w:eastAsia="仿宋_GB2312"/>
          <w:sz w:val="32"/>
          <w:szCs w:val="32"/>
        </w:rPr>
      </w:pPr>
      <w:r>
        <w:rPr>
          <w:rFonts w:hint="eastAsia" w:ascii="仿宋_GB2312" w:eastAsia="仿宋_GB2312"/>
          <w:sz w:val="32"/>
          <w:szCs w:val="32"/>
        </w:rPr>
        <w:t>(二) 严格落实责任。要进一步增强责任意识，大力推广“双随机”抽查，公平、有效、透明地进行事中事后监管，切实履行法定监管职责。</w:t>
      </w:r>
    </w:p>
    <w:p>
      <w:pPr>
        <w:rPr>
          <w:rFonts w:ascii="仿宋_GB2312" w:eastAsia="仿宋_GB2312"/>
          <w:sz w:val="32"/>
          <w:szCs w:val="32"/>
        </w:rPr>
      </w:pPr>
      <w:r>
        <w:rPr>
          <w:rFonts w:hint="eastAsia" w:ascii="仿宋_GB2312" w:eastAsia="仿宋_GB2312"/>
          <w:sz w:val="32"/>
          <w:szCs w:val="32"/>
        </w:rPr>
        <w:t xml:space="preserve">    (三) 严格抽查纪律。各科室对被抽取的市场主体实施检查时，不得妨碍市场主体正常的生产经营活动，不得索取或收受市场主体的财物，不得谋取其他利益。对抽查监管工作中失职渎职和违纪的，要依法依纪严肃处理。</w:t>
      </w:r>
    </w:p>
    <w:p>
      <w:pPr>
        <w:ind w:firstLine="640" w:firstLineChars="200"/>
        <w:rPr>
          <w:rFonts w:ascii="仿宋_GB2312" w:eastAsia="仿宋_GB2312"/>
          <w:sz w:val="32"/>
          <w:szCs w:val="32"/>
        </w:rPr>
      </w:pPr>
      <w:r>
        <w:rPr>
          <w:rFonts w:hint="eastAsia" w:ascii="仿宋_GB2312" w:eastAsia="仿宋_GB2312"/>
          <w:sz w:val="32"/>
          <w:szCs w:val="32"/>
        </w:rPr>
        <w:t>(四) 加强宣传培训。“双随机”抽查是事中事后监管方式的探索和创新，加大宣传力度，加强执法人员培训，转变执法理念，探索完善“双随机”抽查监管办法，不断提高执法能力。</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2022年12月26日</w:t>
      </w: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zZkMzU3M2QxZjFmODVhMGJiODQ2OTkyYTliYmU4YWQifQ=="/>
  </w:docVars>
  <w:rsids>
    <w:rsidRoot w:val="00C11E61"/>
    <w:rsid w:val="00081127"/>
    <w:rsid w:val="000B038C"/>
    <w:rsid w:val="00117DAA"/>
    <w:rsid w:val="00163DDF"/>
    <w:rsid w:val="001C2F67"/>
    <w:rsid w:val="00227F60"/>
    <w:rsid w:val="00471895"/>
    <w:rsid w:val="00485DA3"/>
    <w:rsid w:val="00520EFB"/>
    <w:rsid w:val="00524E99"/>
    <w:rsid w:val="00534EF6"/>
    <w:rsid w:val="00561911"/>
    <w:rsid w:val="005A0243"/>
    <w:rsid w:val="00616169"/>
    <w:rsid w:val="00723F43"/>
    <w:rsid w:val="00791A69"/>
    <w:rsid w:val="007A2A30"/>
    <w:rsid w:val="00867761"/>
    <w:rsid w:val="009E0F8A"/>
    <w:rsid w:val="00A66431"/>
    <w:rsid w:val="00A8040D"/>
    <w:rsid w:val="00B03504"/>
    <w:rsid w:val="00B710AB"/>
    <w:rsid w:val="00B82A6A"/>
    <w:rsid w:val="00B87C03"/>
    <w:rsid w:val="00B9109A"/>
    <w:rsid w:val="00BB29BE"/>
    <w:rsid w:val="00C11E61"/>
    <w:rsid w:val="00C5143F"/>
    <w:rsid w:val="00CD2533"/>
    <w:rsid w:val="00D514FD"/>
    <w:rsid w:val="00D90DEB"/>
    <w:rsid w:val="00FA577C"/>
    <w:rsid w:val="2F5C0719"/>
    <w:rsid w:val="55CE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9"/>
    <w:semiHidden/>
    <w:unhideWhenUsed/>
    <w:qFormat/>
    <w:uiPriority w:val="99"/>
    <w:pPr>
      <w:tabs>
        <w:tab w:val="center" w:pos="4153"/>
        <w:tab w:val="right" w:pos="8306"/>
      </w:tabs>
      <w:snapToGrid w:val="0"/>
      <w:jc w:val="left"/>
    </w:pPr>
    <w:rPr>
      <w:sz w:val="18"/>
      <w:szCs w:val="18"/>
    </w:rPr>
  </w:style>
  <w:style w:type="paragraph" w:styleId="5">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semiHidden/>
    <w:qFormat/>
    <w:uiPriority w:val="99"/>
    <w:rPr>
      <w:sz w:val="18"/>
      <w:szCs w:val="18"/>
    </w:rPr>
  </w:style>
  <w:style w:type="character" w:customStyle="1" w:styleId="9">
    <w:name w:val="页脚 Char"/>
    <w:basedOn w:val="7"/>
    <w:link w:val="4"/>
    <w:semiHidden/>
    <w:qFormat/>
    <w:uiPriority w:val="99"/>
    <w:rPr>
      <w:sz w:val="18"/>
      <w:szCs w:val="18"/>
    </w:rPr>
  </w:style>
  <w:style w:type="character" w:customStyle="1" w:styleId="10">
    <w:name w:val="fontstyle11"/>
    <w:basedOn w:val="7"/>
    <w:qFormat/>
    <w:uiPriority w:val="0"/>
    <w:rPr>
      <w:rFonts w:ascii="仿宋_GB2312" w:hAnsi="仿宋_GB2312" w:eastAsia="仿宋_GB2312" w:cs="仿宋_GB2312"/>
      <w:color w:val="000000"/>
      <w:sz w:val="32"/>
      <w:szCs w:val="32"/>
    </w:rPr>
  </w:style>
  <w:style w:type="character" w:customStyle="1" w:styleId="11">
    <w:name w:val="日期 Char"/>
    <w:basedOn w:val="7"/>
    <w:link w:val="2"/>
    <w:semiHidden/>
    <w:qFormat/>
    <w:uiPriority w:val="99"/>
    <w:rPr>
      <w:kern w:val="2"/>
      <w:sz w:val="21"/>
      <w:szCs w:val="22"/>
    </w:rPr>
  </w:style>
  <w:style w:type="character" w:customStyle="1" w:styleId="12">
    <w:name w:val="批注框文本 Char"/>
    <w:basedOn w:val="7"/>
    <w:link w:val="3"/>
    <w:semiHidden/>
    <w:qFormat/>
    <w:uiPriority w:val="99"/>
    <w:rPr>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241</Words>
  <Characters>1376</Characters>
  <Lines>11</Lines>
  <Paragraphs>3</Paragraphs>
  <TotalTime>0</TotalTime>
  <ScaleCrop>false</ScaleCrop>
  <LinksUpToDate>false</LinksUpToDate>
  <CharactersWithSpaces>1614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2023-01-19T00:42:00Z</dcterms:created>
  <dc:creator>Administrator</dc:creator>
  <cp:lastModifiedBy>倩</cp:lastModifiedBy>
  <dcterms:modified xsi:type="dcterms:W3CDTF">2023-09-13T02:29:49Z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2C3F6260605740468650387D560A1436_12</vt:lpwstr>
  </property>
</Properties>
</file>