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一、中国共产党隆尧县委员会办公室本级收支预算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一、中国共产党隆尧县委员会办公室本级收支预算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2959" w:type="dxa"/>
            <w:vAlign w:val="center"/>
          </w:tcPr>
          <w:p>
            <w:pPr>
              <w:pStyle w:val="12"/>
            </w:pPr>
            <w:r>
              <w:t>收入</w:t>
            </w:r>
          </w:p>
        </w:tc>
        <w:tc>
          <w:tcPr>
            <w:tcW w:w="2959" w:type="dxa"/>
          </w:tcPr>
          <w:p/>
        </w:tc>
        <w:tc>
          <w:tcPr>
            <w:tcW w:w="2959" w:type="dxa"/>
            <w:vAlign w:val="center"/>
          </w:tcPr>
          <w:p>
            <w:pPr>
              <w:pStyle w:val="12"/>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754.15</w:t>
            </w:r>
          </w:p>
        </w:tc>
        <w:tc>
          <w:tcPr>
            <w:tcW w:w="2959" w:type="dxa"/>
            <w:vAlign w:val="center"/>
          </w:tcPr>
          <w:p>
            <w:pPr>
              <w:pStyle w:val="14"/>
            </w:pPr>
            <w:r>
              <w:t>一、一般公共服务支出</w:t>
            </w:r>
          </w:p>
        </w:tc>
        <w:tc>
          <w:tcPr>
            <w:tcW w:w="2959" w:type="dxa"/>
            <w:vAlign w:val="center"/>
          </w:tcPr>
          <w:p>
            <w:pPr>
              <w:pStyle w:val="13"/>
            </w:pPr>
            <w:r>
              <w:t>650.45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754.15</w:t>
            </w:r>
          </w:p>
        </w:tc>
        <w:tc>
          <w:tcPr>
            <w:tcW w:w="2959" w:type="dxa"/>
            <w:vAlign w:val="center"/>
          </w:tcPr>
          <w:p>
            <w:pPr>
              <w:pStyle w:val="16"/>
            </w:pPr>
            <w:r>
              <w:t>本年支出合计</w:t>
            </w:r>
          </w:p>
        </w:tc>
        <w:tc>
          <w:tcPr>
            <w:tcW w:w="2959" w:type="dxa"/>
            <w:vAlign w:val="center"/>
          </w:tcPr>
          <w:p>
            <w:pPr>
              <w:pStyle w:val="17"/>
            </w:pPr>
            <w:r>
              <w:t>754.15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754.15</w:t>
            </w:r>
          </w:p>
        </w:tc>
        <w:tc>
          <w:tcPr>
            <w:tcW w:w="2959" w:type="dxa"/>
            <w:vAlign w:val="center"/>
          </w:tcPr>
          <w:p>
            <w:pPr>
              <w:pStyle w:val="16"/>
            </w:pPr>
            <w:r>
              <w:t>支出总计</w:t>
            </w:r>
          </w:p>
        </w:tc>
        <w:tc>
          <w:tcPr>
            <w:tcW w:w="2959" w:type="dxa"/>
            <w:vAlign w:val="center"/>
          </w:tcPr>
          <w:p>
            <w:pPr>
              <w:pStyle w:val="17"/>
            </w:pPr>
            <w:r>
              <w:t>754.15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2" w:type="dxa"/>
            <w:gridSpan w:val="4"/>
            <w:tcBorders>
              <w:top w:val="single" w:color="FFFFFF" w:sz="6" w:space="0"/>
              <w:left w:val="single" w:color="FFFFFF" w:sz="6" w:space="0"/>
              <w:right w:val="single" w:color="FFFFFF" w:sz="6" w:space="0"/>
            </w:tcBorders>
            <w:vAlign w:val="center"/>
          </w:tcPr>
          <w:p>
            <w:r>
              <w:t>201001中国共产党隆尧县委员会办公室本级</w:t>
            </w:r>
          </w:p>
        </w:tc>
        <w:tc>
          <w:tcPr>
            <w:tcW w:w="758" w:type="dxa"/>
            <w:tcBorders>
              <w:top w:val="single" w:color="FFFFFF" w:sz="6" w:space="0"/>
              <w:left w:val="single" w:color="FFFFFF" w:sz="6" w:space="0"/>
              <w:right w:val="single" w:color="FFFFFF" w:sz="6" w:space="0"/>
            </w:tcBorders>
          </w:tcPr>
          <w:p/>
        </w:tc>
        <w:tc>
          <w:tcPr>
            <w:tcW w:w="2274" w:type="dxa"/>
            <w:gridSpan w:val="3"/>
            <w:tcBorders>
              <w:top w:val="single" w:color="FFFFFF" w:sz="6" w:space="0"/>
              <w:left w:val="single" w:color="FFFFFF" w:sz="6" w:space="0"/>
              <w:right w:val="single" w:color="FFFFFF" w:sz="6" w:space="0"/>
            </w:tcBorders>
            <w:vAlign w:val="center"/>
          </w:tcPr>
          <w:p>
            <w:r>
              <w:t>预算年度：2023</w:t>
            </w:r>
          </w:p>
        </w:tc>
        <w:tc>
          <w:tcPr>
            <w:tcW w:w="2274" w:type="dxa"/>
            <w:gridSpan w:val="3"/>
            <w:tcBorders>
              <w:top w:val="single" w:color="FFFFFF" w:sz="6" w:space="0"/>
              <w:left w:val="single" w:color="FFFFFF" w:sz="6" w:space="0"/>
              <w:right w:val="single" w:color="FFFFFF" w:sz="6" w:space="0"/>
            </w:tcBorders>
            <w:vAlign w:val="center"/>
          </w:tcPr>
          <w:p>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754.15</w:t>
            </w:r>
          </w:p>
        </w:tc>
        <w:tc>
          <w:tcPr>
            <w:tcW w:w="758" w:type="dxa"/>
            <w:vAlign w:val="center"/>
          </w:tcPr>
          <w:p>
            <w:pPr>
              <w:pStyle w:val="17"/>
            </w:pPr>
            <w:r>
              <w:t>754.15</w:t>
            </w:r>
          </w:p>
        </w:tc>
        <w:tc>
          <w:tcPr>
            <w:tcW w:w="758" w:type="dxa"/>
            <w:vAlign w:val="center"/>
          </w:tcPr>
          <w:p>
            <w:pPr>
              <w:pStyle w:val="17"/>
            </w:pPr>
            <w:r>
              <w:t>754.15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650.45</w:t>
            </w:r>
          </w:p>
        </w:tc>
        <w:tc>
          <w:tcPr>
            <w:tcW w:w="758" w:type="dxa"/>
            <w:vAlign w:val="center"/>
          </w:tcPr>
          <w:p>
            <w:pPr>
              <w:pStyle w:val="13"/>
            </w:pPr>
            <w:r>
              <w:t>650.45</w:t>
            </w:r>
          </w:p>
        </w:tc>
        <w:tc>
          <w:tcPr>
            <w:tcW w:w="758" w:type="dxa"/>
            <w:vAlign w:val="center"/>
          </w:tcPr>
          <w:p>
            <w:pPr>
              <w:pStyle w:val="13"/>
            </w:pPr>
            <w:r>
              <w:t>650.45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20131</w:t>
            </w:r>
          </w:p>
        </w:tc>
        <w:tc>
          <w:tcPr>
            <w:tcW w:w="758" w:type="dxa"/>
            <w:vAlign w:val="center"/>
          </w:tcPr>
          <w:p>
            <w:pPr>
              <w:pStyle w:val="14"/>
            </w:pPr>
            <w:r>
              <w:t>党委办公厅（室）及相关机构事务</w:t>
            </w:r>
          </w:p>
        </w:tc>
        <w:tc>
          <w:tcPr>
            <w:tcW w:w="758" w:type="dxa"/>
            <w:vAlign w:val="center"/>
          </w:tcPr>
          <w:p>
            <w:pPr>
              <w:pStyle w:val="13"/>
            </w:pPr>
            <w:r>
              <w:t>650.45</w:t>
            </w:r>
          </w:p>
        </w:tc>
        <w:tc>
          <w:tcPr>
            <w:tcW w:w="758" w:type="dxa"/>
            <w:vAlign w:val="center"/>
          </w:tcPr>
          <w:p>
            <w:pPr>
              <w:pStyle w:val="13"/>
            </w:pPr>
            <w:r>
              <w:t>650.45</w:t>
            </w:r>
          </w:p>
        </w:tc>
        <w:tc>
          <w:tcPr>
            <w:tcW w:w="758" w:type="dxa"/>
            <w:vAlign w:val="center"/>
          </w:tcPr>
          <w:p>
            <w:pPr>
              <w:pStyle w:val="13"/>
            </w:pPr>
            <w:r>
              <w:t>650.45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2013101</w:t>
            </w:r>
          </w:p>
        </w:tc>
        <w:tc>
          <w:tcPr>
            <w:tcW w:w="758" w:type="dxa"/>
            <w:vAlign w:val="center"/>
          </w:tcPr>
          <w:p>
            <w:pPr>
              <w:pStyle w:val="14"/>
            </w:pPr>
            <w:r>
              <w:t>行政运行</w:t>
            </w:r>
          </w:p>
        </w:tc>
        <w:tc>
          <w:tcPr>
            <w:tcW w:w="758" w:type="dxa"/>
            <w:vAlign w:val="center"/>
          </w:tcPr>
          <w:p>
            <w:pPr>
              <w:pStyle w:val="13"/>
            </w:pPr>
            <w:r>
              <w:t>399.94</w:t>
            </w:r>
          </w:p>
        </w:tc>
        <w:tc>
          <w:tcPr>
            <w:tcW w:w="758" w:type="dxa"/>
            <w:vAlign w:val="center"/>
          </w:tcPr>
          <w:p>
            <w:pPr>
              <w:pStyle w:val="13"/>
            </w:pPr>
            <w:r>
              <w:t>399.94</w:t>
            </w:r>
          </w:p>
        </w:tc>
        <w:tc>
          <w:tcPr>
            <w:tcW w:w="758" w:type="dxa"/>
            <w:vAlign w:val="center"/>
          </w:tcPr>
          <w:p>
            <w:pPr>
              <w:pStyle w:val="13"/>
            </w:pPr>
            <w:r>
              <w:t>399.94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2013102</w:t>
            </w:r>
          </w:p>
        </w:tc>
        <w:tc>
          <w:tcPr>
            <w:tcW w:w="758" w:type="dxa"/>
            <w:vAlign w:val="center"/>
          </w:tcPr>
          <w:p>
            <w:pPr>
              <w:pStyle w:val="14"/>
            </w:pPr>
            <w:r>
              <w:t>一般行政管理事务</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2013105</w:t>
            </w:r>
          </w:p>
        </w:tc>
        <w:tc>
          <w:tcPr>
            <w:tcW w:w="758" w:type="dxa"/>
            <w:vAlign w:val="center"/>
          </w:tcPr>
          <w:p>
            <w:pPr>
              <w:pStyle w:val="14"/>
            </w:pPr>
            <w:r>
              <w:t>专项业务</w:t>
            </w:r>
          </w:p>
        </w:tc>
        <w:tc>
          <w:tcPr>
            <w:tcW w:w="758" w:type="dxa"/>
            <w:vAlign w:val="center"/>
          </w:tcPr>
          <w:p>
            <w:pPr>
              <w:pStyle w:val="13"/>
            </w:pPr>
            <w:r>
              <w:t>237.51</w:t>
            </w:r>
          </w:p>
        </w:tc>
        <w:tc>
          <w:tcPr>
            <w:tcW w:w="758" w:type="dxa"/>
            <w:vAlign w:val="center"/>
          </w:tcPr>
          <w:p>
            <w:pPr>
              <w:pStyle w:val="13"/>
            </w:pPr>
            <w:r>
              <w:t>237.51</w:t>
            </w:r>
          </w:p>
        </w:tc>
        <w:tc>
          <w:tcPr>
            <w:tcW w:w="758" w:type="dxa"/>
            <w:vAlign w:val="center"/>
          </w:tcPr>
          <w:p>
            <w:pPr>
              <w:pStyle w:val="13"/>
            </w:pPr>
            <w:r>
              <w:t>237.51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r>
              <w:t>201001中国共产党隆尧县委员会办公室本级</w:t>
            </w:r>
          </w:p>
        </w:tc>
        <w:tc>
          <w:tcPr>
            <w:tcW w:w="2190" w:type="dxa"/>
            <w:gridSpan w:val="2"/>
            <w:tcBorders>
              <w:top w:val="single" w:color="FFFFFF" w:sz="6" w:space="0"/>
              <w:left w:val="single" w:color="FFFFFF" w:sz="6" w:space="0"/>
              <w:right w:val="single" w:color="FFFFFF" w:sz="6" w:space="0"/>
            </w:tcBorders>
            <w:vAlign w:val="center"/>
          </w:tcPr>
          <w:p>
            <w:r>
              <w:t>预算年度：2023</w:t>
            </w:r>
          </w:p>
        </w:tc>
        <w:tc>
          <w:tcPr>
            <w:tcW w:w="2190" w:type="dxa"/>
            <w:gridSpan w:val="2"/>
            <w:tcBorders>
              <w:top w:val="single" w:color="FFFFFF" w:sz="6" w:space="0"/>
              <w:left w:val="single" w:color="FFFFFF" w:sz="6" w:space="0"/>
              <w:right w:val="single" w:color="FFFFFF" w:sz="6" w:space="0"/>
            </w:tcBorders>
            <w:vAlign w:val="center"/>
          </w:tcPr>
          <w:p>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754.15</w:t>
            </w:r>
          </w:p>
        </w:tc>
        <w:tc>
          <w:tcPr>
            <w:tcW w:w="1095" w:type="dxa"/>
            <w:vAlign w:val="center"/>
          </w:tcPr>
          <w:p>
            <w:pPr>
              <w:pStyle w:val="17"/>
            </w:pPr>
            <w:r>
              <w:t>503.64</w:t>
            </w:r>
          </w:p>
        </w:tc>
        <w:tc>
          <w:tcPr>
            <w:tcW w:w="1095" w:type="dxa"/>
            <w:vAlign w:val="center"/>
          </w:tcPr>
          <w:p>
            <w:pPr>
              <w:pStyle w:val="17"/>
            </w:pPr>
            <w:r>
              <w:t>250.51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650.45</w:t>
            </w:r>
          </w:p>
        </w:tc>
        <w:tc>
          <w:tcPr>
            <w:tcW w:w="1095" w:type="dxa"/>
            <w:vAlign w:val="center"/>
          </w:tcPr>
          <w:p>
            <w:pPr>
              <w:pStyle w:val="13"/>
            </w:pPr>
            <w:r>
              <w:t>399.94</w:t>
            </w:r>
          </w:p>
        </w:tc>
        <w:tc>
          <w:tcPr>
            <w:tcW w:w="1095" w:type="dxa"/>
            <w:vAlign w:val="center"/>
          </w:tcPr>
          <w:p>
            <w:pPr>
              <w:pStyle w:val="13"/>
            </w:pPr>
            <w:r>
              <w:t>250.51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20131</w:t>
            </w:r>
          </w:p>
        </w:tc>
        <w:tc>
          <w:tcPr>
            <w:tcW w:w="1095" w:type="dxa"/>
            <w:vAlign w:val="center"/>
          </w:tcPr>
          <w:p>
            <w:pPr>
              <w:pStyle w:val="14"/>
            </w:pPr>
            <w:r>
              <w:t>党委办公厅（室）及相关机构事务</w:t>
            </w:r>
          </w:p>
        </w:tc>
        <w:tc>
          <w:tcPr>
            <w:tcW w:w="1095" w:type="dxa"/>
            <w:vAlign w:val="center"/>
          </w:tcPr>
          <w:p>
            <w:pPr>
              <w:pStyle w:val="13"/>
            </w:pPr>
            <w:r>
              <w:t>650.45</w:t>
            </w:r>
          </w:p>
        </w:tc>
        <w:tc>
          <w:tcPr>
            <w:tcW w:w="1095" w:type="dxa"/>
            <w:vAlign w:val="center"/>
          </w:tcPr>
          <w:p>
            <w:pPr>
              <w:pStyle w:val="13"/>
            </w:pPr>
            <w:r>
              <w:t>399.94</w:t>
            </w:r>
          </w:p>
        </w:tc>
        <w:tc>
          <w:tcPr>
            <w:tcW w:w="1095" w:type="dxa"/>
            <w:vAlign w:val="center"/>
          </w:tcPr>
          <w:p>
            <w:pPr>
              <w:pStyle w:val="13"/>
            </w:pPr>
            <w:r>
              <w:t>250.51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2013101</w:t>
            </w:r>
          </w:p>
        </w:tc>
        <w:tc>
          <w:tcPr>
            <w:tcW w:w="1095" w:type="dxa"/>
            <w:vAlign w:val="center"/>
          </w:tcPr>
          <w:p>
            <w:pPr>
              <w:pStyle w:val="14"/>
            </w:pPr>
            <w:r>
              <w:t>行政运行</w:t>
            </w:r>
          </w:p>
        </w:tc>
        <w:tc>
          <w:tcPr>
            <w:tcW w:w="1095" w:type="dxa"/>
            <w:vAlign w:val="center"/>
          </w:tcPr>
          <w:p>
            <w:pPr>
              <w:pStyle w:val="13"/>
            </w:pPr>
            <w:r>
              <w:t>399.94</w:t>
            </w:r>
          </w:p>
        </w:tc>
        <w:tc>
          <w:tcPr>
            <w:tcW w:w="1095" w:type="dxa"/>
            <w:vAlign w:val="center"/>
          </w:tcPr>
          <w:p>
            <w:pPr>
              <w:pStyle w:val="13"/>
            </w:pPr>
            <w:r>
              <w:t>399.94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2013102</w:t>
            </w:r>
          </w:p>
        </w:tc>
        <w:tc>
          <w:tcPr>
            <w:tcW w:w="1095" w:type="dxa"/>
            <w:vAlign w:val="center"/>
          </w:tcPr>
          <w:p>
            <w:pPr>
              <w:pStyle w:val="14"/>
            </w:pPr>
            <w:r>
              <w:t>一般行政管理事务</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2013105</w:t>
            </w:r>
          </w:p>
        </w:tc>
        <w:tc>
          <w:tcPr>
            <w:tcW w:w="1095" w:type="dxa"/>
            <w:vAlign w:val="center"/>
          </w:tcPr>
          <w:p>
            <w:pPr>
              <w:pStyle w:val="14"/>
            </w:pPr>
            <w:r>
              <w:t>专项业务</w:t>
            </w:r>
          </w:p>
        </w:tc>
        <w:tc>
          <w:tcPr>
            <w:tcW w:w="1095" w:type="dxa"/>
            <w:vAlign w:val="center"/>
          </w:tcPr>
          <w:p>
            <w:pPr>
              <w:pStyle w:val="13"/>
            </w:pPr>
            <w:r>
              <w:t>237.51</w:t>
            </w:r>
          </w:p>
        </w:tc>
        <w:tc>
          <w:tcPr>
            <w:tcW w:w="1095" w:type="dxa"/>
            <w:vAlign w:val="center"/>
          </w:tcPr>
          <w:p>
            <w:pPr>
              <w:pStyle w:val="13"/>
            </w:pPr>
          </w:p>
        </w:tc>
        <w:tc>
          <w:tcPr>
            <w:tcW w:w="1095" w:type="dxa"/>
            <w:vAlign w:val="center"/>
          </w:tcPr>
          <w:p>
            <w:pPr>
              <w:pStyle w:val="13"/>
            </w:pPr>
            <w:r>
              <w:t>237.51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r>
              <w:t>201001中国共产党隆尧县委员会办公室本级</w:t>
            </w:r>
          </w:p>
        </w:tc>
        <w:tc>
          <w:tcPr>
            <w:tcW w:w="2464"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1232" w:type="dxa"/>
            <w:tcBorders>
              <w:top w:val="single" w:color="FFFFFF" w:sz="6" w:space="0"/>
              <w:left w:val="single" w:color="FFFFFF" w:sz="6" w:space="0"/>
              <w:right w:val="single" w:color="FFFFFF" w:sz="6" w:space="0"/>
            </w:tcBorders>
          </w:tcPr>
          <w:p/>
        </w:tc>
        <w:tc>
          <w:tcPr>
            <w:tcW w:w="2464" w:type="dxa"/>
            <w:gridSpan w:val="2"/>
            <w:tcBorders>
              <w:top w:val="single" w:color="FFFFFF" w:sz="6" w:space="0"/>
              <w:left w:val="single" w:color="FFFFFF" w:sz="6" w:space="0"/>
              <w:right w:val="single" w:color="FFFFFF" w:sz="6" w:space="0"/>
            </w:tcBorders>
            <w:vAlign w:val="center"/>
          </w:tcPr>
          <w:p>
            <w:pPr>
              <w:rPr>
                <w:rFonts w:ascii="Times New Roman" w:hAnsi="Times New Roman" w:eastAsia="Times New Roman" w:cstheme="minorBidi"/>
                <w:sz w:val="24"/>
                <w:szCs w:val="24"/>
                <w:lang w:val="en-US" w:eastAsia="uk-UA" w:bidi="ar-S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754.15</w:t>
            </w:r>
          </w:p>
        </w:tc>
        <w:tc>
          <w:tcPr>
            <w:tcW w:w="1232" w:type="dxa"/>
            <w:vAlign w:val="center"/>
          </w:tcPr>
          <w:p>
            <w:pPr>
              <w:pStyle w:val="14"/>
            </w:pPr>
            <w:r>
              <w:t>一、一般公共服务支出</w:t>
            </w:r>
          </w:p>
        </w:tc>
        <w:tc>
          <w:tcPr>
            <w:tcW w:w="1232" w:type="dxa"/>
            <w:vAlign w:val="center"/>
          </w:tcPr>
          <w:p>
            <w:pPr>
              <w:pStyle w:val="13"/>
            </w:pPr>
            <w:r>
              <w:t>650.45</w:t>
            </w:r>
          </w:p>
        </w:tc>
        <w:tc>
          <w:tcPr>
            <w:tcW w:w="1232" w:type="dxa"/>
            <w:vAlign w:val="center"/>
          </w:tcPr>
          <w:p>
            <w:pPr>
              <w:pStyle w:val="13"/>
            </w:pPr>
            <w:r>
              <w:t>650.45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44.35</w:t>
            </w:r>
          </w:p>
        </w:tc>
        <w:tc>
          <w:tcPr>
            <w:tcW w:w="1232" w:type="dxa"/>
            <w:vAlign w:val="center"/>
          </w:tcPr>
          <w:p>
            <w:pPr>
              <w:pStyle w:val="13"/>
            </w:pPr>
            <w:r>
              <w:t>44.35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21.33</w:t>
            </w:r>
          </w:p>
        </w:tc>
        <w:tc>
          <w:tcPr>
            <w:tcW w:w="1232" w:type="dxa"/>
            <w:vAlign w:val="center"/>
          </w:tcPr>
          <w:p>
            <w:pPr>
              <w:pStyle w:val="13"/>
            </w:pPr>
            <w:r>
              <w:t>21.33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38.03</w:t>
            </w:r>
          </w:p>
        </w:tc>
        <w:tc>
          <w:tcPr>
            <w:tcW w:w="1232" w:type="dxa"/>
            <w:vAlign w:val="center"/>
          </w:tcPr>
          <w:p>
            <w:pPr>
              <w:pStyle w:val="13"/>
            </w:pPr>
            <w:r>
              <w:t>38.03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754.15</w:t>
            </w:r>
          </w:p>
        </w:tc>
        <w:tc>
          <w:tcPr>
            <w:tcW w:w="1232" w:type="dxa"/>
            <w:vAlign w:val="center"/>
          </w:tcPr>
          <w:p>
            <w:pPr>
              <w:pStyle w:val="16"/>
            </w:pPr>
            <w:r>
              <w:t>本年支出合计</w:t>
            </w:r>
          </w:p>
        </w:tc>
        <w:tc>
          <w:tcPr>
            <w:tcW w:w="1232" w:type="dxa"/>
            <w:vAlign w:val="center"/>
          </w:tcPr>
          <w:p>
            <w:pPr>
              <w:pStyle w:val="17"/>
            </w:pPr>
            <w:r>
              <w:t>754.15</w:t>
            </w:r>
          </w:p>
        </w:tc>
        <w:tc>
          <w:tcPr>
            <w:tcW w:w="1232" w:type="dxa"/>
            <w:vAlign w:val="center"/>
          </w:tcPr>
          <w:p>
            <w:pPr>
              <w:pStyle w:val="17"/>
            </w:pPr>
            <w:r>
              <w:t>754.15</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754.15</w:t>
            </w:r>
          </w:p>
        </w:tc>
        <w:tc>
          <w:tcPr>
            <w:tcW w:w="1232" w:type="dxa"/>
            <w:vAlign w:val="center"/>
          </w:tcPr>
          <w:p>
            <w:pPr>
              <w:pStyle w:val="16"/>
            </w:pPr>
            <w:r>
              <w:t>支出总计</w:t>
            </w:r>
          </w:p>
        </w:tc>
        <w:tc>
          <w:tcPr>
            <w:tcW w:w="1232" w:type="dxa"/>
            <w:vAlign w:val="center"/>
          </w:tcPr>
          <w:p>
            <w:pPr>
              <w:pStyle w:val="17"/>
            </w:pPr>
            <w:r>
              <w:t>754.15</w:t>
            </w:r>
          </w:p>
        </w:tc>
        <w:tc>
          <w:tcPr>
            <w:tcW w:w="1232" w:type="dxa"/>
            <w:vAlign w:val="center"/>
          </w:tcPr>
          <w:p>
            <w:pPr>
              <w:pStyle w:val="17"/>
            </w:pPr>
            <w:r>
              <w:t>754.15</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201001中国共产党隆尧县委员会办公室本级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754.15</w:t>
            </w:r>
          </w:p>
        </w:tc>
        <w:tc>
          <w:tcPr>
            <w:tcW w:w="1643" w:type="dxa"/>
            <w:vAlign w:val="center"/>
          </w:tcPr>
          <w:p>
            <w:pPr>
              <w:pStyle w:val="17"/>
            </w:pPr>
            <w:r>
              <w:t>503.64</w:t>
            </w:r>
          </w:p>
        </w:tc>
        <w:tc>
          <w:tcPr>
            <w:tcW w:w="1643" w:type="dxa"/>
            <w:vAlign w:val="center"/>
          </w:tcPr>
          <w:p>
            <w:pPr>
              <w:pStyle w:val="17"/>
            </w:pPr>
            <w:r>
              <w:t>250.51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650.45</w:t>
            </w:r>
          </w:p>
        </w:tc>
        <w:tc>
          <w:tcPr>
            <w:tcW w:w="1643" w:type="dxa"/>
            <w:vAlign w:val="center"/>
          </w:tcPr>
          <w:p>
            <w:pPr>
              <w:pStyle w:val="13"/>
            </w:pPr>
            <w:r>
              <w:t>399.94</w:t>
            </w:r>
          </w:p>
        </w:tc>
        <w:tc>
          <w:tcPr>
            <w:tcW w:w="1643" w:type="dxa"/>
            <w:vAlign w:val="center"/>
          </w:tcPr>
          <w:p>
            <w:pPr>
              <w:pStyle w:val="13"/>
            </w:pPr>
            <w:r>
              <w:t>250.51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20131</w:t>
            </w:r>
          </w:p>
        </w:tc>
        <w:tc>
          <w:tcPr>
            <w:tcW w:w="1643" w:type="dxa"/>
            <w:vAlign w:val="center"/>
          </w:tcPr>
          <w:p>
            <w:pPr>
              <w:pStyle w:val="14"/>
            </w:pPr>
            <w:r>
              <w:t>党委办公厅（室）及相关机构事务</w:t>
            </w:r>
          </w:p>
        </w:tc>
        <w:tc>
          <w:tcPr>
            <w:tcW w:w="1643" w:type="dxa"/>
            <w:vAlign w:val="center"/>
          </w:tcPr>
          <w:p>
            <w:pPr>
              <w:pStyle w:val="13"/>
            </w:pPr>
            <w:r>
              <w:t>650.45</w:t>
            </w:r>
          </w:p>
        </w:tc>
        <w:tc>
          <w:tcPr>
            <w:tcW w:w="1643" w:type="dxa"/>
            <w:vAlign w:val="center"/>
          </w:tcPr>
          <w:p>
            <w:pPr>
              <w:pStyle w:val="13"/>
            </w:pPr>
            <w:r>
              <w:t>399.94</w:t>
            </w:r>
          </w:p>
        </w:tc>
        <w:tc>
          <w:tcPr>
            <w:tcW w:w="1643" w:type="dxa"/>
            <w:vAlign w:val="center"/>
          </w:tcPr>
          <w:p>
            <w:pPr>
              <w:pStyle w:val="13"/>
            </w:pPr>
            <w:r>
              <w:t>250.51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2013101</w:t>
            </w:r>
          </w:p>
        </w:tc>
        <w:tc>
          <w:tcPr>
            <w:tcW w:w="1643" w:type="dxa"/>
            <w:vAlign w:val="center"/>
          </w:tcPr>
          <w:p>
            <w:pPr>
              <w:pStyle w:val="14"/>
            </w:pPr>
            <w:r>
              <w:t>行政运行</w:t>
            </w:r>
          </w:p>
        </w:tc>
        <w:tc>
          <w:tcPr>
            <w:tcW w:w="1643" w:type="dxa"/>
            <w:vAlign w:val="center"/>
          </w:tcPr>
          <w:p>
            <w:pPr>
              <w:pStyle w:val="13"/>
            </w:pPr>
            <w:r>
              <w:t>399.94</w:t>
            </w:r>
          </w:p>
        </w:tc>
        <w:tc>
          <w:tcPr>
            <w:tcW w:w="1643" w:type="dxa"/>
            <w:vAlign w:val="center"/>
          </w:tcPr>
          <w:p>
            <w:pPr>
              <w:pStyle w:val="13"/>
            </w:pPr>
            <w:r>
              <w:t>399.94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2013102</w:t>
            </w:r>
          </w:p>
        </w:tc>
        <w:tc>
          <w:tcPr>
            <w:tcW w:w="1643" w:type="dxa"/>
            <w:vAlign w:val="center"/>
          </w:tcPr>
          <w:p>
            <w:pPr>
              <w:pStyle w:val="14"/>
            </w:pPr>
            <w:r>
              <w:t>一般行政管理事务</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2013105</w:t>
            </w:r>
          </w:p>
        </w:tc>
        <w:tc>
          <w:tcPr>
            <w:tcW w:w="1643" w:type="dxa"/>
            <w:vAlign w:val="center"/>
          </w:tcPr>
          <w:p>
            <w:pPr>
              <w:pStyle w:val="14"/>
            </w:pPr>
            <w:r>
              <w:t>专项业务</w:t>
            </w:r>
          </w:p>
        </w:tc>
        <w:tc>
          <w:tcPr>
            <w:tcW w:w="1643" w:type="dxa"/>
            <w:vAlign w:val="center"/>
          </w:tcPr>
          <w:p>
            <w:pPr>
              <w:pStyle w:val="13"/>
            </w:pPr>
            <w:r>
              <w:t>237.51</w:t>
            </w:r>
          </w:p>
        </w:tc>
        <w:tc>
          <w:tcPr>
            <w:tcW w:w="1643" w:type="dxa"/>
            <w:vAlign w:val="center"/>
          </w:tcPr>
          <w:p>
            <w:pPr>
              <w:pStyle w:val="13"/>
            </w:pPr>
          </w:p>
        </w:tc>
        <w:tc>
          <w:tcPr>
            <w:tcW w:w="1643" w:type="dxa"/>
            <w:vAlign w:val="center"/>
          </w:tcPr>
          <w:p>
            <w:pPr>
              <w:pStyle w:val="13"/>
            </w:pPr>
            <w:r>
              <w:t>237.51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201001中国共产党隆尧县委员会办公室本级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503.64</w:t>
            </w:r>
          </w:p>
        </w:tc>
        <w:tc>
          <w:tcPr>
            <w:tcW w:w="1643" w:type="dxa"/>
            <w:vAlign w:val="center"/>
          </w:tcPr>
          <w:p>
            <w:pPr>
              <w:pStyle w:val="17"/>
            </w:pPr>
            <w:r>
              <w:t>454.62</w:t>
            </w:r>
          </w:p>
        </w:tc>
        <w:tc>
          <w:tcPr>
            <w:tcW w:w="1643" w:type="dxa"/>
            <w:vAlign w:val="center"/>
          </w:tcPr>
          <w:p>
            <w:pPr>
              <w:pStyle w:val="17"/>
            </w:pPr>
            <w:r>
              <w:t>49.02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444.55</w:t>
            </w:r>
          </w:p>
        </w:tc>
        <w:tc>
          <w:tcPr>
            <w:tcW w:w="1643" w:type="dxa"/>
            <w:vAlign w:val="center"/>
          </w:tcPr>
          <w:p>
            <w:pPr>
              <w:pStyle w:val="13"/>
            </w:pPr>
            <w:r>
              <w:t>444.55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188.37</w:t>
            </w:r>
          </w:p>
        </w:tc>
        <w:tc>
          <w:tcPr>
            <w:tcW w:w="1643" w:type="dxa"/>
            <w:vAlign w:val="center"/>
          </w:tcPr>
          <w:p>
            <w:pPr>
              <w:pStyle w:val="13"/>
            </w:pPr>
            <w:r>
              <w:t>188.37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53.70</w:t>
            </w:r>
          </w:p>
        </w:tc>
        <w:tc>
          <w:tcPr>
            <w:tcW w:w="1643" w:type="dxa"/>
            <w:vAlign w:val="center"/>
          </w:tcPr>
          <w:p>
            <w:pPr>
              <w:pStyle w:val="13"/>
            </w:pPr>
            <w:r>
              <w:t>53.70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75.90</w:t>
            </w:r>
          </w:p>
        </w:tc>
        <w:tc>
          <w:tcPr>
            <w:tcW w:w="1643" w:type="dxa"/>
            <w:vAlign w:val="center"/>
          </w:tcPr>
          <w:p>
            <w:pPr>
              <w:pStyle w:val="13"/>
            </w:pPr>
            <w:r>
              <w:t>75.90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21.57</w:t>
            </w:r>
          </w:p>
        </w:tc>
        <w:tc>
          <w:tcPr>
            <w:tcW w:w="1643" w:type="dxa"/>
            <w:vAlign w:val="center"/>
          </w:tcPr>
          <w:p>
            <w:pPr>
              <w:pStyle w:val="13"/>
            </w:pPr>
            <w:r>
              <w:t>21.57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1.31</w:t>
            </w:r>
          </w:p>
        </w:tc>
        <w:tc>
          <w:tcPr>
            <w:tcW w:w="1643" w:type="dxa"/>
            <w:vAlign w:val="center"/>
          </w:tcPr>
          <w:p>
            <w:pPr>
              <w:pStyle w:val="13"/>
            </w:pPr>
            <w:r>
              <w:t>1.31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49.02</w:t>
            </w:r>
          </w:p>
        </w:tc>
        <w:tc>
          <w:tcPr>
            <w:tcW w:w="1643" w:type="dxa"/>
            <w:vAlign w:val="center"/>
          </w:tcPr>
          <w:p>
            <w:pPr>
              <w:pStyle w:val="13"/>
            </w:pPr>
          </w:p>
        </w:tc>
        <w:tc>
          <w:tcPr>
            <w:tcW w:w="1643" w:type="dxa"/>
            <w:vAlign w:val="center"/>
          </w:tcPr>
          <w:p>
            <w:pPr>
              <w:pStyle w:val="13"/>
            </w:pPr>
            <w:r>
              <w:t>49.02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16.80</w:t>
            </w:r>
          </w:p>
        </w:tc>
        <w:tc>
          <w:tcPr>
            <w:tcW w:w="1643" w:type="dxa"/>
            <w:vAlign w:val="center"/>
          </w:tcPr>
          <w:p>
            <w:pPr>
              <w:pStyle w:val="13"/>
            </w:pPr>
          </w:p>
        </w:tc>
        <w:tc>
          <w:tcPr>
            <w:tcW w:w="1643" w:type="dxa"/>
            <w:vAlign w:val="center"/>
          </w:tcPr>
          <w:p>
            <w:pPr>
              <w:pStyle w:val="13"/>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26.52</w:t>
            </w:r>
          </w:p>
        </w:tc>
        <w:tc>
          <w:tcPr>
            <w:tcW w:w="1643" w:type="dxa"/>
            <w:vAlign w:val="center"/>
          </w:tcPr>
          <w:p>
            <w:pPr>
              <w:pStyle w:val="13"/>
            </w:pPr>
          </w:p>
        </w:tc>
        <w:tc>
          <w:tcPr>
            <w:tcW w:w="1643" w:type="dxa"/>
            <w:vAlign w:val="center"/>
          </w:tcPr>
          <w:p>
            <w:pPr>
              <w:pStyle w:val="13"/>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10.07</w:t>
            </w:r>
          </w:p>
        </w:tc>
        <w:tc>
          <w:tcPr>
            <w:tcW w:w="1643" w:type="dxa"/>
            <w:vAlign w:val="center"/>
          </w:tcPr>
          <w:p>
            <w:pPr>
              <w:pStyle w:val="13"/>
            </w:pPr>
            <w:r>
              <w:t>10.07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9.35</w:t>
            </w:r>
          </w:p>
        </w:tc>
        <w:tc>
          <w:tcPr>
            <w:tcW w:w="1643" w:type="dxa"/>
            <w:vAlign w:val="center"/>
          </w:tcPr>
          <w:p>
            <w:pPr>
              <w:pStyle w:val="13"/>
            </w:pPr>
            <w:r>
              <w:t>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0.72</w:t>
            </w:r>
          </w:p>
        </w:tc>
        <w:tc>
          <w:tcPr>
            <w:tcW w:w="1643" w:type="dxa"/>
            <w:vAlign w:val="center"/>
          </w:tcPr>
          <w:p>
            <w:pPr>
              <w:pStyle w:val="13"/>
            </w:pPr>
            <w:r>
              <w:t>0.72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201001中国共产党隆尧县委员会办公室本级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201001中国共产党隆尧县委员会办公室本级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201001中国共产党隆尧县委员会办公室本级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17.40</w:t>
            </w:r>
          </w:p>
        </w:tc>
        <w:tc>
          <w:tcPr>
            <w:tcW w:w="1643" w:type="dxa"/>
            <w:vAlign w:val="center"/>
          </w:tcPr>
          <w:p>
            <w:pPr>
              <w:pStyle w:val="17"/>
            </w:pPr>
            <w:r>
              <w:t>17.40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6.20</w:t>
            </w:r>
          </w:p>
        </w:tc>
        <w:tc>
          <w:tcPr>
            <w:tcW w:w="1643" w:type="dxa"/>
            <w:vAlign w:val="center"/>
          </w:tcPr>
          <w:p>
            <w:pPr>
              <w:pStyle w:val="13"/>
            </w:pPr>
            <w:r>
              <w:t>6.20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6.20</w:t>
            </w:r>
          </w:p>
        </w:tc>
        <w:tc>
          <w:tcPr>
            <w:tcW w:w="1643" w:type="dxa"/>
            <w:vAlign w:val="center"/>
          </w:tcPr>
          <w:p>
            <w:pPr>
              <w:pStyle w:val="13"/>
            </w:pPr>
            <w:r>
              <w:t>6.20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按照《预算法》、《地方预决算公开操作规程》和《关于进一步推进预算公开工作的实施意见》规定，现将中国共产党隆尧县委员会办公室本级2023年单位预算公开如下：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 中共隆尧县委全面深化改革委员会办公室承担委员会具体工作，贯彻落实党中央和省委、市委、县委关于全面深化改革工作的各项决策部署，协调督促有关方面落实委员会决定事项、工作部署和要求等。</w:t>
      </w:r>
    </w:p>
    <w:p>
      <w:pPr>
        <w:pStyle w:val="27"/>
      </w:pPr>
      <w:r>
        <w:t>（二）县委办公室的主要职责是：</w:t>
      </w:r>
    </w:p>
    <w:p>
      <w:pPr>
        <w:pStyle w:val="27"/>
      </w:pPr>
      <w:r>
        <w:t>1、负责推动党中央和省委、市委、县委决策部署的落实，按照县委要求协调有关方面开展工作，承担县委运行保障具体事务。</w:t>
      </w:r>
    </w:p>
    <w:p>
      <w:pPr>
        <w:pStyle w:val="27"/>
      </w:pPr>
      <w:r>
        <w:t>2、负责县委和县委办公室文件、县委领导讲话稿的起草、修改等工作。</w:t>
      </w:r>
    </w:p>
    <w:p>
      <w:pPr>
        <w:pStyle w:val="27"/>
      </w:pPr>
      <w:r>
        <w:t>3、负责党中央和省委、市委、县委重要决策部署贯彻落实的督促检查，中央和省委、市委、县委领导批示和交办事项的催办反馈，县委统一部署的重大专项活动的推进落实。</w:t>
      </w:r>
    </w:p>
    <w:p>
      <w:pPr>
        <w:pStyle w:val="27"/>
      </w:pPr>
      <w:r>
        <w:t>4、负责收集和处理信息、反映动态；负责社情民意的搜集、整理和编报工作。</w:t>
      </w:r>
    </w:p>
    <w:p>
      <w:pPr>
        <w:pStyle w:val="27"/>
      </w:pPr>
      <w:r>
        <w:t>5、根据县委安排部署，组织力量对经济建设、政治建设、文化建设、社会建设、生态文明建设和党的建设等方面的重大问题进行调查研究，提出意见和建议。</w:t>
      </w:r>
    </w:p>
    <w:p>
      <w:pPr>
        <w:pStyle w:val="27"/>
      </w:pPr>
      <w:r>
        <w:t>6、组织撰写宣传、阐释党的路线方针政策和县委工作思路、部署要求的文章。</w:t>
      </w:r>
    </w:p>
    <w:p>
      <w:pPr>
        <w:pStyle w:val="27"/>
      </w:pPr>
      <w:r>
        <w:t>7、负责县委全委会、县委常委会和县委其他重要会议的会务工作；负责县委领导参加重大活动和日常工作活动的组织安排。</w:t>
      </w:r>
    </w:p>
    <w:p>
      <w:pPr>
        <w:pStyle w:val="27"/>
      </w:pPr>
      <w:r>
        <w:t>8、负责县委日常文书处理；负责县委文件和县委办公室代县委行文的审核工作；负责县委制定规范性文件的服务工作；负责统筹协调和督促指导全县党务公开工作。</w:t>
      </w:r>
    </w:p>
    <w:p>
      <w:pPr>
        <w:pStyle w:val="27"/>
      </w:pPr>
      <w:r>
        <w:t>9、负责全县档案事业宏观管理和执法复议、监督指导等工作。</w:t>
      </w:r>
    </w:p>
    <w:p>
      <w:pPr>
        <w:pStyle w:val="27"/>
      </w:pPr>
      <w:r>
        <w:t>10、负责全县公务接待机构的业务指导和重大接待活动的服务保障工作。</w:t>
      </w:r>
    </w:p>
    <w:p>
      <w:pPr>
        <w:pStyle w:val="27"/>
      </w:pPr>
      <w:r>
        <w:t>11、负责县委机关行政后勤、安全保卫和县委办公室财务管理工作。</w:t>
      </w:r>
    </w:p>
    <w:p>
      <w:pPr>
        <w:pStyle w:val="27"/>
      </w:pPr>
      <w:r>
        <w:t>12、负责县机关事务的行政管理工作。</w:t>
      </w:r>
    </w:p>
    <w:p>
      <w:pPr>
        <w:pStyle w:val="27"/>
      </w:pPr>
      <w:r>
        <w:t>14、完成县委交办的其他任务。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中国共产党隆尧县委员会办公室本级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按照预算管理有关规定，目前我县单位预算的编制实行综合预算管理，即全部收入和支出都反映在预算中。</w:t>
      </w:r>
    </w:p>
    <w:p>
      <w:pPr>
        <w:pStyle w:val="28"/>
      </w:pPr>
      <w:r>
        <w:t>1、收入说明</w:t>
      </w:r>
    </w:p>
    <w:p>
      <w:pPr>
        <w:pStyle w:val="28"/>
      </w:pPr>
      <w:r>
        <w:t>反映本单位当年全部收入。2023年预算收入754.15万元，其中：一般公共预算收入754.15万元，基金预算收入0万元，财政专户核拨收入0万元，其他来源收入0万元。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中共隆尧县委办公室年度单位预算中支出预算的总体情况。2023年单位支出预算为754.15万元，其中基本支出503.64万元，包括人员经费454.62万元和日常公用经费49.02万元；项目支出250.51万元，主要用于县委公文运转、县委大型会议和接待活动、信息和督查调研、城建专班等专项工作经费等。</w:t>
      </w:r>
    </w:p>
    <w:p>
      <w:pPr>
        <w:pStyle w:val="28"/>
      </w:pPr>
      <w:r>
        <w:t>3、比上年增减情况</w:t>
      </w:r>
    </w:p>
    <w:p>
      <w:pPr>
        <w:pStyle w:val="28"/>
      </w:pPr>
      <w:r>
        <w:t>2023年单位预算收支安排754.15万元，较2022年减少13.35万元，主要是县委办本级压减公务接待经费和项目减少。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2023年，我单位机关运行经费共计安排49.02万元，主要用于保证机关正常运转的办公费、工会经费、差旅费、其他交通费用、其他商品和服务支出等。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6.2万元，其中：因公出国（境）费0万元；公务用车购置及运维费0万元（其中：公务用车购置费0万元，公务用车运行维护费0万元)；公务接待费6.20万元。“三公”经费与上年减少8万元,主要是县委办本级压减公务接待费8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rPr>
          <w:rFonts w:hint="eastAsia" w:ascii="方正仿宋_GBK" w:hAnsi="方正仿宋_GBK" w:eastAsia="方正仿宋_GBK" w:cs="方正仿宋_GBK"/>
          <w:b/>
          <w:color w:val="000000"/>
          <w:sz w:val="28"/>
          <w:lang w:eastAsia="zh-CN"/>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涉密</w:t>
      </w:r>
    </w:p>
    <w:p>
      <w:pPr>
        <w:spacing w:before="0" w:after="0"/>
        <w:ind w:firstLine="560"/>
        <w:jc w:val="left"/>
        <w:outlineLvl w:val="9"/>
      </w:pPr>
      <w:r>
        <w:rPr>
          <w:rFonts w:ascii="方正仿宋_GBK" w:hAnsi="方正仿宋_GBK" w:eastAsia="方正仿宋_GBK" w:cs="方正仿宋_GBK"/>
          <w:b/>
          <w:color w:val="000000"/>
          <w:sz w:val="28"/>
        </w:rPr>
        <w:t>2、城建专班专项工作经费绩效目标表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1.目标内容：协调城乡工作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调度城乡建设工作进度</w:t>
            </w:r>
          </w:p>
        </w:tc>
        <w:tc>
          <w:tcPr>
            <w:tcW w:w="2466" w:type="dxa"/>
            <w:vAlign w:val="center"/>
          </w:tcPr>
          <w:p>
            <w:pPr>
              <w:pStyle w:val="14"/>
            </w:pPr>
            <w:r>
              <w:t>调度城乡建设工作进度数量次数占总次数百分比</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≥98百分比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对城乡建设工作按时督导达效次数占总次数比率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≤100预算资金百分比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≥80百分比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3、督查调研和纠风工作经费绩效目标表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1.目标内容：督查各项工作落实到位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督查次数占应督查数量比率</w:t>
            </w:r>
          </w:p>
        </w:tc>
        <w:tc>
          <w:tcPr>
            <w:tcW w:w="2466" w:type="dxa"/>
            <w:vAlign w:val="center"/>
          </w:tcPr>
          <w:p>
            <w:pPr>
              <w:pStyle w:val="14"/>
            </w:pPr>
            <w:r>
              <w:t>≥98百分比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促进落实率</w:t>
            </w:r>
          </w:p>
        </w:tc>
        <w:tc>
          <w:tcPr>
            <w:tcW w:w="2466" w:type="dxa"/>
            <w:vAlign w:val="center"/>
          </w:tcPr>
          <w:p>
            <w:pPr>
              <w:pStyle w:val="14"/>
            </w:pPr>
            <w:r>
              <w:t>督查工作落实到位数量占总数量比率</w:t>
            </w:r>
          </w:p>
        </w:tc>
        <w:tc>
          <w:tcPr>
            <w:tcW w:w="2466" w:type="dxa"/>
            <w:vAlign w:val="center"/>
          </w:tcPr>
          <w:p>
            <w:pPr>
              <w:pStyle w:val="14"/>
            </w:pPr>
            <w:r>
              <w:t>≥96百分比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及时督查工作任务量占总量比率</w:t>
            </w:r>
          </w:p>
        </w:tc>
        <w:tc>
          <w:tcPr>
            <w:tcW w:w="2466" w:type="dxa"/>
            <w:vAlign w:val="center"/>
          </w:tcPr>
          <w:p>
            <w:pPr>
              <w:pStyle w:val="14"/>
            </w:pPr>
            <w:r>
              <w:t>≥97百分比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贡献率</w:t>
            </w:r>
          </w:p>
        </w:tc>
        <w:tc>
          <w:tcPr>
            <w:tcW w:w="2466" w:type="dxa"/>
            <w:vAlign w:val="center"/>
          </w:tcPr>
          <w:p>
            <w:pPr>
              <w:pStyle w:val="14"/>
            </w:pPr>
            <w:r>
              <w:t>反映督查调研对全县经济发展的拉动作用</w:t>
            </w:r>
          </w:p>
        </w:tc>
        <w:tc>
          <w:tcPr>
            <w:tcW w:w="2466" w:type="dxa"/>
            <w:vAlign w:val="center"/>
          </w:tcPr>
          <w:p>
            <w:pPr>
              <w:pStyle w:val="14"/>
            </w:pPr>
            <w:r>
              <w:t>≥95百分比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领导满意率</w:t>
            </w:r>
          </w:p>
        </w:tc>
        <w:tc>
          <w:tcPr>
            <w:tcW w:w="2466" w:type="dxa"/>
            <w:vAlign w:val="center"/>
          </w:tcPr>
          <w:p>
            <w:pPr>
              <w:pStyle w:val="14"/>
            </w:pPr>
            <w:r>
              <w:t>反映领导对督查工作的肯定情况</w:t>
            </w:r>
          </w:p>
        </w:tc>
        <w:tc>
          <w:tcPr>
            <w:tcW w:w="2466" w:type="dxa"/>
            <w:vAlign w:val="center"/>
          </w:tcPr>
          <w:p>
            <w:pPr>
              <w:pStyle w:val="14"/>
            </w:pPr>
            <w:r>
              <w:t>≥98百分比</w:t>
            </w:r>
          </w:p>
        </w:tc>
        <w:tc>
          <w:tcPr>
            <w:tcW w:w="2466" w:type="dxa"/>
            <w:vAlign w:val="center"/>
          </w:tcPr>
          <w:p>
            <w:pPr>
              <w:pStyle w:val="14"/>
            </w:pPr>
            <w:r>
              <w:t>工作职责标准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4、改革办经费绩效目标表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1.目标内容：督促检查各单位改革进展情况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领导批示率</w:t>
            </w:r>
          </w:p>
        </w:tc>
        <w:tc>
          <w:tcPr>
            <w:tcW w:w="2466" w:type="dxa"/>
            <w:vAlign w:val="center"/>
          </w:tcPr>
          <w:p>
            <w:pPr>
              <w:pStyle w:val="14"/>
            </w:pPr>
            <w:r>
              <w:t>反映领导对调研成果的肯定情况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促进完成率</w:t>
            </w:r>
          </w:p>
        </w:tc>
        <w:tc>
          <w:tcPr>
            <w:tcW w:w="2466" w:type="dxa"/>
            <w:vAlign w:val="center"/>
          </w:tcPr>
          <w:p>
            <w:pPr>
              <w:pStyle w:val="14"/>
            </w:pPr>
            <w:r>
              <w:t>反映促进改革任务完成数量占总数量百分率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反映及时高效促进居改革任务完成数量占总量百分率</w:t>
            </w:r>
          </w:p>
        </w:tc>
        <w:tc>
          <w:tcPr>
            <w:tcW w:w="2466" w:type="dxa"/>
            <w:vAlign w:val="center"/>
          </w:tcPr>
          <w:p>
            <w:pPr>
              <w:pStyle w:val="14"/>
            </w:pPr>
            <w:r>
              <w:t>≥96百分比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控制成本</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编制评估报告率</w:t>
            </w:r>
          </w:p>
        </w:tc>
        <w:tc>
          <w:tcPr>
            <w:tcW w:w="2466" w:type="dxa"/>
            <w:vAlign w:val="center"/>
          </w:tcPr>
          <w:p>
            <w:pPr>
              <w:pStyle w:val="14"/>
            </w:pPr>
            <w:r>
              <w:t>反映对年度改革进展和评估报告编制情况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领导满意度</w:t>
            </w:r>
          </w:p>
        </w:tc>
        <w:tc>
          <w:tcPr>
            <w:tcW w:w="2466" w:type="dxa"/>
            <w:vAlign w:val="center"/>
          </w:tcPr>
          <w:p>
            <w:pPr>
              <w:pStyle w:val="14"/>
            </w:pPr>
            <w:r>
              <w:t>反映领导对促进改革任务完成工作的肯定情况</w:t>
            </w:r>
          </w:p>
        </w:tc>
        <w:tc>
          <w:tcPr>
            <w:tcW w:w="2466" w:type="dxa"/>
            <w:vAlign w:val="center"/>
          </w:tcPr>
          <w:p>
            <w:pPr>
              <w:pStyle w:val="14"/>
            </w:pPr>
            <w:r>
              <w:t>≥97百分比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5、广电网络视频会议县级分会场升级改造工程绩效目标表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1.目标内容：保障视频会议取景规范、会议正常进行。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保障系统正常使用次数占总会议次数比例</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高质量保障系统正常使用次数占总会议次数比例</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及时高效保障会议正常进行比率</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参会人员满意率</w:t>
            </w:r>
          </w:p>
        </w:tc>
        <w:tc>
          <w:tcPr>
            <w:tcW w:w="2466" w:type="dxa"/>
            <w:vAlign w:val="center"/>
          </w:tcPr>
          <w:p>
            <w:pPr>
              <w:pStyle w:val="14"/>
            </w:pPr>
            <w:r>
              <w:t>≥97百分比</w:t>
            </w:r>
          </w:p>
        </w:tc>
        <w:tc>
          <w:tcPr>
            <w:tcW w:w="2466" w:type="dxa"/>
            <w:vAlign w:val="center"/>
          </w:tcPr>
          <w:p>
            <w:pPr>
              <w:pStyle w:val="14"/>
            </w:pPr>
            <w:r>
              <w:t>上级文件要求</w:t>
            </w:r>
          </w:p>
        </w:tc>
      </w:tr>
    </w:tbl>
    <w:p>
      <w:pPr>
        <w:sectPr>
          <w:pgSz w:w="16840" w:h="11900" w:orient="landscape"/>
          <w:pgMar w:top="1361" w:right="1020" w:bottom="1134" w:left="1020" w:header="720" w:footer="720" w:gutter="0"/>
          <w:cols w:space="720" w:num="1"/>
        </w:sectPr>
      </w:pPr>
    </w:p>
    <w:p>
      <w:pPr>
        <w:numPr>
          <w:ilvl w:val="0"/>
          <w:numId w:val="1"/>
        </w:numPr>
        <w:spacing w:before="0" w:after="0"/>
        <w:ind w:firstLine="560"/>
        <w:jc w:val="left"/>
        <w:outlineLvl w:val="9"/>
        <w:rPr>
          <w:rFonts w:hint="eastAsia" w:ascii="方正仿宋_GBK" w:hAnsi="方正仿宋_GBK" w:eastAsia="方正仿宋_GBK" w:cs="方正仿宋_GBK"/>
          <w:b/>
          <w:color w:val="000000"/>
          <w:sz w:val="28"/>
          <w:lang w:eastAsia="zh-CN"/>
        </w:rPr>
      </w:pPr>
      <w:r>
        <w:rPr>
          <w:rFonts w:hint="eastAsia" w:ascii="方正仿宋_GBK" w:hAnsi="方正仿宋_GBK" w:eastAsia="方正仿宋_GBK" w:cs="方正仿宋_GBK"/>
          <w:b/>
          <w:color w:val="000000"/>
          <w:sz w:val="28"/>
          <w:lang w:eastAsia="zh-CN"/>
        </w:rPr>
        <w:t>涉密</w:t>
      </w:r>
    </w:p>
    <w:p>
      <w:pPr>
        <w:numPr>
          <w:ilvl w:val="0"/>
          <w:numId w:val="0"/>
        </w:numPr>
        <w:spacing w:before="0" w:after="0"/>
        <w:ind w:firstLine="562" w:firstLineChars="200"/>
        <w:jc w:val="left"/>
        <w:outlineLvl w:val="9"/>
      </w:pPr>
      <w:r>
        <w:rPr>
          <w:rFonts w:ascii="方正仿宋_GBK" w:hAnsi="方正仿宋_GBK" w:eastAsia="方正仿宋_GBK" w:cs="方正仿宋_GBK"/>
          <w:b/>
          <w:color w:val="000000"/>
          <w:sz w:val="28"/>
        </w:rPr>
        <w:t>7、机关运行费用绩效目标表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1.目标内容：优质高效做好县委办后勤保障工作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反映保障机关正常运转情况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高质量完成率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及时保障机关正常运转占总体情况比率</w:t>
            </w:r>
          </w:p>
        </w:tc>
        <w:tc>
          <w:tcPr>
            <w:tcW w:w="2466" w:type="dxa"/>
            <w:vAlign w:val="center"/>
          </w:tcPr>
          <w:p>
            <w:pPr>
              <w:pStyle w:val="14"/>
            </w:pPr>
            <w:r>
              <w:t>100百分比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机关工作正常运转率</w:t>
            </w:r>
          </w:p>
        </w:tc>
        <w:tc>
          <w:tcPr>
            <w:tcW w:w="2466" w:type="dxa"/>
            <w:vAlign w:val="center"/>
          </w:tcPr>
          <w:p>
            <w:pPr>
              <w:pStyle w:val="14"/>
            </w:pPr>
            <w:r>
              <w:t>反映保障机关正常开展情况</w:t>
            </w:r>
          </w:p>
        </w:tc>
        <w:tc>
          <w:tcPr>
            <w:tcW w:w="2466" w:type="dxa"/>
            <w:vAlign w:val="center"/>
          </w:tcPr>
          <w:p>
            <w:pPr>
              <w:pStyle w:val="14"/>
            </w:pPr>
            <w:r>
              <w:t>≥99百分比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反映机关人员满意率</w:t>
            </w:r>
          </w:p>
        </w:tc>
        <w:tc>
          <w:tcPr>
            <w:tcW w:w="2466" w:type="dxa"/>
            <w:vAlign w:val="center"/>
          </w:tcPr>
          <w:p>
            <w:pPr>
              <w:pStyle w:val="14"/>
            </w:pPr>
            <w:r>
              <w:t>≥98百分比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涉密，不宜公开</w:t>
      </w:r>
    </w:p>
    <w:p/>
    <w:p>
      <w:pPr>
        <w:spacing w:before="0" w:after="0"/>
        <w:ind w:firstLine="560"/>
        <w:jc w:val="left"/>
        <w:outlineLvl w:val="9"/>
      </w:pPr>
      <w:r>
        <w:rPr>
          <w:rFonts w:ascii="方正仿宋_GBK" w:hAnsi="方正仿宋_GBK" w:eastAsia="方正仿宋_GBK" w:cs="方正仿宋_GBK"/>
          <w:b/>
          <w:color w:val="000000"/>
          <w:sz w:val="28"/>
        </w:rPr>
        <w:t>9、县委公文运转绩效目标表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1.目标内容：优质高效完成公文起草、撰写工作及领导交办的其他工任务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领导交办事项数量完成率</w:t>
            </w:r>
          </w:p>
        </w:tc>
        <w:tc>
          <w:tcPr>
            <w:tcW w:w="2466" w:type="dxa"/>
            <w:vAlign w:val="center"/>
          </w:tcPr>
          <w:p>
            <w:pPr>
              <w:pStyle w:val="14"/>
            </w:pPr>
            <w:r>
              <w:t>≥100百分比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差错率</w:t>
            </w:r>
          </w:p>
        </w:tc>
        <w:tc>
          <w:tcPr>
            <w:tcW w:w="2466" w:type="dxa"/>
            <w:vAlign w:val="center"/>
          </w:tcPr>
          <w:p>
            <w:pPr>
              <w:pStyle w:val="14"/>
            </w:pPr>
            <w:r>
              <w:t>出现差错情况数量占工作总量比例</w:t>
            </w:r>
          </w:p>
        </w:tc>
        <w:tc>
          <w:tcPr>
            <w:tcW w:w="2466" w:type="dxa"/>
            <w:vAlign w:val="center"/>
          </w:tcPr>
          <w:p>
            <w:pPr>
              <w:pStyle w:val="14"/>
            </w:pPr>
            <w:r>
              <w:t>≤5百分比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及时完成率</w:t>
            </w:r>
          </w:p>
        </w:tc>
        <w:tc>
          <w:tcPr>
            <w:tcW w:w="2466" w:type="dxa"/>
            <w:vAlign w:val="center"/>
          </w:tcPr>
          <w:p>
            <w:pPr>
              <w:pStyle w:val="14"/>
            </w:pPr>
            <w:r>
              <w:t>及时完成任务数量占完成工作总量比例</w:t>
            </w:r>
          </w:p>
        </w:tc>
        <w:tc>
          <w:tcPr>
            <w:tcW w:w="2466" w:type="dxa"/>
            <w:vAlign w:val="center"/>
          </w:tcPr>
          <w:p>
            <w:pPr>
              <w:pStyle w:val="14"/>
            </w:pPr>
            <w:r>
              <w:t>≥98百分比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总成本控制</w:t>
            </w:r>
          </w:p>
        </w:tc>
        <w:tc>
          <w:tcPr>
            <w:tcW w:w="2466" w:type="dxa"/>
            <w:vAlign w:val="center"/>
          </w:tcPr>
          <w:p>
            <w:pPr>
              <w:pStyle w:val="14"/>
            </w:pPr>
            <w:r>
              <w:t>总成本控制</w:t>
            </w:r>
          </w:p>
        </w:tc>
        <w:tc>
          <w:tcPr>
            <w:tcW w:w="2466" w:type="dxa"/>
            <w:vAlign w:val="center"/>
          </w:tcPr>
          <w:p>
            <w:pPr>
              <w:pStyle w:val="14"/>
            </w:pPr>
            <w:r>
              <w:t>≤100百分比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社会氛围</w:t>
            </w:r>
          </w:p>
        </w:tc>
        <w:tc>
          <w:tcPr>
            <w:tcW w:w="2466" w:type="dxa"/>
            <w:vAlign w:val="center"/>
          </w:tcPr>
          <w:p>
            <w:pPr>
              <w:pStyle w:val="14"/>
            </w:pPr>
            <w:r>
              <w:t>社会氛围</w:t>
            </w:r>
          </w:p>
        </w:tc>
        <w:tc>
          <w:tcPr>
            <w:tcW w:w="2466" w:type="dxa"/>
            <w:vAlign w:val="center"/>
          </w:tcPr>
          <w:p>
            <w:pPr>
              <w:pStyle w:val="14"/>
            </w:pPr>
            <w:r>
              <w:t>≥95百分比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≥98百分比</w:t>
            </w:r>
          </w:p>
        </w:tc>
        <w:tc>
          <w:tcPr>
            <w:tcW w:w="2466" w:type="dxa"/>
            <w:vAlign w:val="center"/>
          </w:tcPr>
          <w:p>
            <w:pPr>
              <w:pStyle w:val="14"/>
            </w:pPr>
            <w:r>
              <w:t>工作性质及职责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10、县委公务接待活动绩效目标表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1.目标内容：严格执行接待标准，优质高效完成县委接待任务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执行标准率</w:t>
            </w:r>
          </w:p>
        </w:tc>
        <w:tc>
          <w:tcPr>
            <w:tcW w:w="2466" w:type="dxa"/>
            <w:vAlign w:val="center"/>
          </w:tcPr>
          <w:p>
            <w:pPr>
              <w:pStyle w:val="14"/>
            </w:pPr>
            <w:r>
              <w:t>严格执行接待标准批次占总批次比率</w:t>
            </w:r>
          </w:p>
        </w:tc>
        <w:tc>
          <w:tcPr>
            <w:tcW w:w="2466" w:type="dxa"/>
            <w:vAlign w:val="center"/>
          </w:tcPr>
          <w:p>
            <w:pPr>
              <w:pStyle w:val="14"/>
            </w:pPr>
            <w:r>
              <w:t>≥100百分比</w:t>
            </w:r>
          </w:p>
        </w:tc>
        <w:tc>
          <w:tcPr>
            <w:tcW w:w="2466" w:type="dxa"/>
            <w:vAlign w:val="center"/>
          </w:tcPr>
          <w:p>
            <w:pPr>
              <w:pStyle w:val="14"/>
            </w:pPr>
            <w:r>
              <w:t>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安全完成率</w:t>
            </w:r>
          </w:p>
        </w:tc>
        <w:tc>
          <w:tcPr>
            <w:tcW w:w="2466" w:type="dxa"/>
            <w:vAlign w:val="center"/>
          </w:tcPr>
          <w:p>
            <w:pPr>
              <w:pStyle w:val="14"/>
            </w:pPr>
            <w:r>
              <w:t>安全完成率</w:t>
            </w:r>
          </w:p>
        </w:tc>
        <w:tc>
          <w:tcPr>
            <w:tcW w:w="2466" w:type="dxa"/>
            <w:vAlign w:val="center"/>
          </w:tcPr>
          <w:p>
            <w:pPr>
              <w:pStyle w:val="14"/>
            </w:pPr>
            <w:r>
              <w:t>≥98百分比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及时高效完成接待任务百分率</w:t>
            </w:r>
          </w:p>
        </w:tc>
        <w:tc>
          <w:tcPr>
            <w:tcW w:w="2466" w:type="dxa"/>
            <w:vAlign w:val="center"/>
          </w:tcPr>
          <w:p>
            <w:pPr>
              <w:pStyle w:val="14"/>
            </w:pPr>
            <w:r>
              <w:t>≥96百分比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降低接待费用</w:t>
            </w:r>
          </w:p>
        </w:tc>
        <w:tc>
          <w:tcPr>
            <w:tcW w:w="2466" w:type="dxa"/>
            <w:vAlign w:val="center"/>
          </w:tcPr>
          <w:p>
            <w:pPr>
              <w:pStyle w:val="14"/>
            </w:pPr>
            <w:r>
              <w:t>降低接待费用批次占总批次比率</w:t>
            </w:r>
          </w:p>
        </w:tc>
        <w:tc>
          <w:tcPr>
            <w:tcW w:w="2466" w:type="dxa"/>
            <w:vAlign w:val="center"/>
          </w:tcPr>
          <w:p>
            <w:pPr>
              <w:pStyle w:val="14"/>
            </w:pPr>
            <w:r>
              <w:t>≥96百分比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工作标准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11、县委值班室视频点名系统建设工程绩效目标表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1.目标内容：将市、县值班室规范化建设成果推广至基层单位，建立健全值班制度，构建职责明确、制度完善、反应迅速、实时在线的“市县乡”值班室工作格局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保障正常使用次数占总体的比率</w:t>
            </w:r>
          </w:p>
        </w:tc>
        <w:tc>
          <w:tcPr>
            <w:tcW w:w="2466" w:type="dxa"/>
            <w:vAlign w:val="center"/>
          </w:tcPr>
          <w:p>
            <w:pPr>
              <w:pStyle w:val="14"/>
            </w:pPr>
            <w:r>
              <w:t>≥98百分比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传输质量良好比率</w:t>
            </w:r>
          </w:p>
        </w:tc>
        <w:tc>
          <w:tcPr>
            <w:tcW w:w="2466" w:type="dxa"/>
            <w:vAlign w:val="center"/>
          </w:tcPr>
          <w:p>
            <w:pPr>
              <w:pStyle w:val="14"/>
            </w:pPr>
            <w:r>
              <w:t>≥97百分比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及时保障正常使用比率</w:t>
            </w:r>
          </w:p>
        </w:tc>
        <w:tc>
          <w:tcPr>
            <w:tcW w:w="2466" w:type="dxa"/>
            <w:vAlign w:val="center"/>
          </w:tcPr>
          <w:p>
            <w:pPr>
              <w:pStyle w:val="14"/>
            </w:pPr>
            <w:r>
              <w:t>≥97百分比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w:t>
            </w:r>
          </w:p>
        </w:tc>
        <w:tc>
          <w:tcPr>
            <w:tcW w:w="2466" w:type="dxa"/>
            <w:vAlign w:val="center"/>
          </w:tcPr>
          <w:p>
            <w:pPr>
              <w:pStyle w:val="14"/>
            </w:pPr>
            <w:r>
              <w:t>≥96百分比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各使用单位满意率</w:t>
            </w:r>
          </w:p>
        </w:tc>
        <w:tc>
          <w:tcPr>
            <w:tcW w:w="2466" w:type="dxa"/>
            <w:vAlign w:val="center"/>
          </w:tcPr>
          <w:p>
            <w:pPr>
              <w:pStyle w:val="14"/>
            </w:pPr>
            <w:r>
              <w:t>≥97百分比</w:t>
            </w:r>
          </w:p>
        </w:tc>
        <w:tc>
          <w:tcPr>
            <w:tcW w:w="246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12、协调县委大型会议和活动绩效目标表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1.目标内容：优质高效完成县委各种会议的会务工作和县委日常工作活动的组织安排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大型会议控制率</w:t>
            </w:r>
          </w:p>
        </w:tc>
        <w:tc>
          <w:tcPr>
            <w:tcW w:w="2466" w:type="dxa"/>
            <w:vAlign w:val="center"/>
          </w:tcPr>
          <w:p>
            <w:pPr>
              <w:pStyle w:val="14"/>
            </w:pPr>
            <w:r>
              <w:t>反映纳入年初以县委或县委</w:t>
            </w:r>
            <w:r>
              <w:rPr>
                <w:rFonts w:hint="eastAsia"/>
                <w:lang w:eastAsia="zh-CN"/>
              </w:rPr>
              <w:t>县</w:t>
            </w:r>
            <w:bookmarkStart w:id="1" w:name="_GoBack"/>
            <w:bookmarkEnd w:id="1"/>
            <w:r>
              <w:t>政府名义召开会议名单的会议数量占全年实际会议数量的比率</w:t>
            </w:r>
          </w:p>
        </w:tc>
        <w:tc>
          <w:tcPr>
            <w:tcW w:w="2466" w:type="dxa"/>
            <w:vAlign w:val="center"/>
          </w:tcPr>
          <w:p>
            <w:pPr>
              <w:pStyle w:val="14"/>
            </w:pPr>
            <w:r>
              <w:t>≥95百分比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差错率</w:t>
            </w:r>
          </w:p>
        </w:tc>
        <w:tc>
          <w:tcPr>
            <w:tcW w:w="2466" w:type="dxa"/>
            <w:vAlign w:val="center"/>
          </w:tcPr>
          <w:p>
            <w:pPr>
              <w:pStyle w:val="14"/>
            </w:pPr>
            <w:r>
              <w:t>组织会议活动差错次数占总会议次数比率</w:t>
            </w:r>
          </w:p>
        </w:tc>
        <w:tc>
          <w:tcPr>
            <w:tcW w:w="2466" w:type="dxa"/>
            <w:vAlign w:val="center"/>
          </w:tcPr>
          <w:p>
            <w:pPr>
              <w:pStyle w:val="14"/>
            </w:pPr>
            <w:r>
              <w:t>≤5百分比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及时完成率</w:t>
            </w:r>
          </w:p>
        </w:tc>
        <w:tc>
          <w:tcPr>
            <w:tcW w:w="2466" w:type="dxa"/>
            <w:vAlign w:val="center"/>
          </w:tcPr>
          <w:p>
            <w:pPr>
              <w:pStyle w:val="14"/>
            </w:pPr>
            <w:r>
              <w:t>各项任务及时完成比率</w:t>
            </w:r>
          </w:p>
        </w:tc>
        <w:tc>
          <w:tcPr>
            <w:tcW w:w="2466" w:type="dxa"/>
            <w:vAlign w:val="center"/>
          </w:tcPr>
          <w:p>
            <w:pPr>
              <w:pStyle w:val="14"/>
            </w:pPr>
            <w:r>
              <w:t>≥97百分比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节省率</w:t>
            </w:r>
          </w:p>
        </w:tc>
        <w:tc>
          <w:tcPr>
            <w:tcW w:w="2466" w:type="dxa"/>
            <w:vAlign w:val="center"/>
          </w:tcPr>
          <w:p>
            <w:pPr>
              <w:pStyle w:val="14"/>
            </w:pPr>
            <w:r>
              <w:t>反映节省会议费用情况</w:t>
            </w:r>
          </w:p>
        </w:tc>
        <w:tc>
          <w:tcPr>
            <w:tcW w:w="2466" w:type="dxa"/>
            <w:vAlign w:val="center"/>
          </w:tcPr>
          <w:p>
            <w:pPr>
              <w:pStyle w:val="14"/>
            </w:pPr>
            <w:r>
              <w:t>≥95百分比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工作职责性质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13、信息工作、社情民意调查绩效目标表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1.目标内容：优质高效做好信息工作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信息采集上报率</w:t>
            </w:r>
          </w:p>
        </w:tc>
        <w:tc>
          <w:tcPr>
            <w:tcW w:w="2466" w:type="dxa"/>
            <w:vAlign w:val="center"/>
          </w:tcPr>
          <w:p>
            <w:pPr>
              <w:pStyle w:val="14"/>
            </w:pPr>
            <w:r>
              <w:t>反映信息上报数量占信息采集总量的比例</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信息真实率</w:t>
            </w:r>
          </w:p>
        </w:tc>
        <w:tc>
          <w:tcPr>
            <w:tcW w:w="2466" w:type="dxa"/>
            <w:vAlign w:val="center"/>
          </w:tcPr>
          <w:p>
            <w:pPr>
              <w:pStyle w:val="14"/>
            </w:pPr>
            <w:r>
              <w:t>反映信息真实性情况</w:t>
            </w:r>
          </w:p>
        </w:tc>
        <w:tc>
          <w:tcPr>
            <w:tcW w:w="2466" w:type="dxa"/>
            <w:vAlign w:val="center"/>
          </w:tcPr>
          <w:p>
            <w:pPr>
              <w:pStyle w:val="14"/>
            </w:pPr>
            <w:r>
              <w:t>≥98百分比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及时上报率</w:t>
            </w:r>
          </w:p>
        </w:tc>
        <w:tc>
          <w:tcPr>
            <w:tcW w:w="2466" w:type="dxa"/>
            <w:vAlign w:val="center"/>
          </w:tcPr>
          <w:p>
            <w:pPr>
              <w:pStyle w:val="14"/>
            </w:pPr>
            <w:r>
              <w:t>反映及时高效完成信息上报工作情况</w:t>
            </w:r>
          </w:p>
        </w:tc>
        <w:tc>
          <w:tcPr>
            <w:tcW w:w="2466" w:type="dxa"/>
            <w:vAlign w:val="center"/>
          </w:tcPr>
          <w:p>
            <w:pPr>
              <w:pStyle w:val="14"/>
            </w:pPr>
            <w:r>
              <w:t>≥97百分比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控制总成本</w:t>
            </w:r>
          </w:p>
        </w:tc>
        <w:tc>
          <w:tcPr>
            <w:tcW w:w="2466" w:type="dxa"/>
            <w:vAlign w:val="center"/>
          </w:tcPr>
          <w:p>
            <w:pPr>
              <w:pStyle w:val="14"/>
            </w:pPr>
            <w:r>
              <w:t>控制总成本</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有价值情报信息采用率</w:t>
            </w:r>
          </w:p>
        </w:tc>
        <w:tc>
          <w:tcPr>
            <w:tcW w:w="2466" w:type="dxa"/>
            <w:vAlign w:val="center"/>
          </w:tcPr>
          <w:p>
            <w:pPr>
              <w:pStyle w:val="14"/>
            </w:pPr>
            <w:r>
              <w:t>有价值情报信息采用率</w:t>
            </w:r>
          </w:p>
        </w:tc>
        <w:tc>
          <w:tcPr>
            <w:tcW w:w="2466" w:type="dxa"/>
            <w:vAlign w:val="center"/>
          </w:tcPr>
          <w:p>
            <w:pPr>
              <w:pStyle w:val="14"/>
            </w:pPr>
            <w:r>
              <w:t>≥96百分比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领导满意度</w:t>
            </w:r>
          </w:p>
        </w:tc>
        <w:tc>
          <w:tcPr>
            <w:tcW w:w="2466" w:type="dxa"/>
            <w:vAlign w:val="center"/>
          </w:tcPr>
          <w:p>
            <w:pPr>
              <w:pStyle w:val="14"/>
            </w:pPr>
            <w:r>
              <w:t>反映领导对信息工作的肯定程度</w:t>
            </w:r>
          </w:p>
        </w:tc>
        <w:tc>
          <w:tcPr>
            <w:tcW w:w="2466" w:type="dxa"/>
            <w:vAlign w:val="center"/>
          </w:tcPr>
          <w:p>
            <w:pPr>
              <w:pStyle w:val="14"/>
            </w:pPr>
            <w:r>
              <w:t>≥97百分比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14、值班子系统运维、</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视频会议系统链路传输、广电网络视频会议技术服务保障费用绩效目标表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1.目标内容：保障视频会议等系统正常运行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保障系统正常使用次数占总会议次数比例</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高质量保障系统正常使用次数占总会议次数比例</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及时高效保障会议正常进行比率</w:t>
            </w:r>
          </w:p>
        </w:tc>
        <w:tc>
          <w:tcPr>
            <w:tcW w:w="2466" w:type="dxa"/>
            <w:vAlign w:val="center"/>
          </w:tcPr>
          <w:p>
            <w:pPr>
              <w:pStyle w:val="14"/>
            </w:pPr>
            <w:r>
              <w:t>≥98百分比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≥97百分比</w:t>
            </w:r>
          </w:p>
        </w:tc>
        <w:tc>
          <w:tcPr>
            <w:tcW w:w="2466" w:type="dxa"/>
            <w:vAlign w:val="center"/>
          </w:tcPr>
          <w:p>
            <w:pPr>
              <w:pStyle w:val="14"/>
            </w:pPr>
            <w:r>
              <w:t>根据合同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2023年，中国共产党隆尧县委员会办公室本级安排政府采购预算181.06万元。具体内容见下表。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96" w:type="dxa"/>
            <w:gridSpan w:val="4"/>
            <w:tcBorders>
              <w:top w:val="single" w:color="FFFFFF" w:sz="6" w:space="0"/>
              <w:left w:val="single" w:color="FFFFFF" w:sz="6" w:space="0"/>
              <w:right w:val="single" w:color="FFFFFF" w:sz="6" w:space="0"/>
            </w:tcBorders>
            <w:vAlign w:val="center"/>
          </w:tcPr>
          <w:p>
            <w:r>
              <w:t>201001中国共产党隆尧县委员会办公室本级</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2772" w:type="dxa"/>
            <w:gridSpan w:val="3"/>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181.06</w:t>
            </w:r>
          </w:p>
        </w:tc>
        <w:tc>
          <w:tcPr>
            <w:tcW w:w="924" w:type="dxa"/>
            <w:vAlign w:val="center"/>
          </w:tcPr>
          <w:p>
            <w:pPr>
              <w:pStyle w:val="17"/>
            </w:pPr>
            <w:r>
              <w:t>181.06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中国共产党隆尧县委员会办公室本级小计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181.06</w:t>
            </w:r>
          </w:p>
        </w:tc>
        <w:tc>
          <w:tcPr>
            <w:tcW w:w="924" w:type="dxa"/>
            <w:vAlign w:val="center"/>
          </w:tcPr>
          <w:p>
            <w:pPr>
              <w:pStyle w:val="17"/>
            </w:pPr>
            <w:r>
              <w:t>181.06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2023年公用经费项目</w:t>
            </w:r>
          </w:p>
        </w:tc>
        <w:tc>
          <w:tcPr>
            <w:tcW w:w="924" w:type="dxa"/>
            <w:vAlign w:val="center"/>
          </w:tcPr>
          <w:p>
            <w:pPr>
              <w:pStyle w:val="13"/>
            </w:pPr>
            <w:r>
              <w:t>49.02</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90</w:t>
            </w:r>
          </w:p>
        </w:tc>
        <w:tc>
          <w:tcPr>
            <w:tcW w:w="924" w:type="dxa"/>
            <w:vAlign w:val="center"/>
          </w:tcPr>
          <w:p>
            <w:pPr>
              <w:pStyle w:val="13"/>
            </w:pPr>
            <w:r>
              <w:t>0.02</w:t>
            </w:r>
          </w:p>
        </w:tc>
        <w:tc>
          <w:tcPr>
            <w:tcW w:w="924" w:type="dxa"/>
            <w:vAlign w:val="center"/>
          </w:tcPr>
          <w:p>
            <w:pPr>
              <w:pStyle w:val="13"/>
            </w:pPr>
            <w:r>
              <w:t>2.07</w:t>
            </w:r>
          </w:p>
        </w:tc>
        <w:tc>
          <w:tcPr>
            <w:tcW w:w="924" w:type="dxa"/>
            <w:vAlign w:val="center"/>
          </w:tcPr>
          <w:p>
            <w:pPr>
              <w:pStyle w:val="13"/>
            </w:pPr>
            <w:r>
              <w:t>2.07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eastAsia="方正书宋_GBK"/>
                <w:lang w:eastAsia="zh-CN"/>
              </w:rPr>
            </w:pPr>
            <w:r>
              <w:rPr>
                <w:rFonts w:hint="eastAsia"/>
                <w:lang w:eastAsia="zh-CN"/>
              </w:rPr>
              <w:t>涉密</w:t>
            </w:r>
          </w:p>
        </w:tc>
        <w:tc>
          <w:tcPr>
            <w:tcW w:w="924" w:type="dxa"/>
            <w:vAlign w:val="center"/>
          </w:tcPr>
          <w:p>
            <w:pPr>
              <w:pStyle w:val="13"/>
            </w:pPr>
            <w:r>
              <w:t>6.50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72</w:t>
            </w:r>
          </w:p>
        </w:tc>
        <w:tc>
          <w:tcPr>
            <w:tcW w:w="924" w:type="dxa"/>
            <w:vAlign w:val="center"/>
          </w:tcPr>
          <w:p>
            <w:pPr>
              <w:pStyle w:val="13"/>
            </w:pPr>
            <w:r>
              <w:t>0.03</w:t>
            </w:r>
          </w:p>
        </w:tc>
        <w:tc>
          <w:tcPr>
            <w:tcW w:w="924" w:type="dxa"/>
            <w:vAlign w:val="center"/>
          </w:tcPr>
          <w:p>
            <w:pPr>
              <w:pStyle w:val="13"/>
            </w:pPr>
            <w:r>
              <w:t>1.80</w:t>
            </w:r>
          </w:p>
        </w:tc>
        <w:tc>
          <w:tcPr>
            <w:tcW w:w="924" w:type="dxa"/>
            <w:vAlign w:val="center"/>
          </w:tcPr>
          <w:p>
            <w:pPr>
              <w:pStyle w:val="13"/>
            </w:pPr>
            <w:r>
              <w:t>1.80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便携式计算机</w:t>
            </w:r>
          </w:p>
        </w:tc>
        <w:tc>
          <w:tcPr>
            <w:tcW w:w="924" w:type="dxa"/>
            <w:vAlign w:val="center"/>
          </w:tcPr>
          <w:p>
            <w:pPr>
              <w:pStyle w:val="14"/>
            </w:pPr>
            <w:r>
              <w:t>A02010108</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0.50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80</w:t>
            </w:r>
          </w:p>
        </w:tc>
        <w:tc>
          <w:tcPr>
            <w:tcW w:w="924" w:type="dxa"/>
            <w:vAlign w:val="center"/>
          </w:tcPr>
          <w:p>
            <w:pPr>
              <w:pStyle w:val="13"/>
            </w:pPr>
            <w:r>
              <w:t>0.03</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107</w:t>
            </w:r>
          </w:p>
        </w:tc>
        <w:tc>
          <w:tcPr>
            <w:tcW w:w="924" w:type="dxa"/>
            <w:vAlign w:val="center"/>
          </w:tcPr>
          <w:p>
            <w:pPr>
              <w:pStyle w:val="13"/>
            </w:pPr>
            <w:r>
              <w:t>0.05</w:t>
            </w:r>
          </w:p>
        </w:tc>
        <w:tc>
          <w:tcPr>
            <w:tcW w:w="924" w:type="dxa"/>
            <w:vAlign w:val="center"/>
          </w:tcPr>
          <w:p>
            <w:pPr>
              <w:pStyle w:val="13"/>
            </w:pPr>
            <w:r>
              <w:t>5.35</w:t>
            </w:r>
          </w:p>
        </w:tc>
        <w:tc>
          <w:tcPr>
            <w:tcW w:w="924" w:type="dxa"/>
            <w:vAlign w:val="center"/>
          </w:tcPr>
          <w:p>
            <w:pPr>
              <w:pStyle w:val="13"/>
            </w:pPr>
            <w:r>
              <w:t>5.35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督查调研和纠风工作经费</w:t>
            </w:r>
          </w:p>
        </w:tc>
        <w:tc>
          <w:tcPr>
            <w:tcW w:w="924" w:type="dxa"/>
            <w:vAlign w:val="center"/>
          </w:tcPr>
          <w:p>
            <w:pPr>
              <w:pStyle w:val="13"/>
            </w:pPr>
            <w:r>
              <w:t>6.00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4000</w:t>
            </w:r>
          </w:p>
        </w:tc>
        <w:tc>
          <w:tcPr>
            <w:tcW w:w="924" w:type="dxa"/>
            <w:vAlign w:val="center"/>
          </w:tcPr>
          <w:p>
            <w:pPr>
              <w:pStyle w:val="13"/>
            </w:pPr>
            <w:r>
              <w:t>0.00</w:t>
            </w:r>
          </w:p>
        </w:tc>
        <w:tc>
          <w:tcPr>
            <w:tcW w:w="924" w:type="dxa"/>
            <w:vAlign w:val="center"/>
          </w:tcPr>
          <w:p>
            <w:pPr>
              <w:pStyle w:val="13"/>
            </w:pPr>
            <w:r>
              <w:t>4.00</w:t>
            </w:r>
          </w:p>
        </w:tc>
        <w:tc>
          <w:tcPr>
            <w:tcW w:w="924" w:type="dxa"/>
            <w:vAlign w:val="center"/>
          </w:tcPr>
          <w:p>
            <w:pPr>
              <w:pStyle w:val="13"/>
            </w:pPr>
            <w:r>
              <w:t>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改革办经费</w:t>
            </w:r>
          </w:p>
        </w:tc>
        <w:tc>
          <w:tcPr>
            <w:tcW w:w="924" w:type="dxa"/>
            <w:vAlign w:val="center"/>
          </w:tcPr>
          <w:p>
            <w:pPr>
              <w:pStyle w:val="13"/>
            </w:pPr>
            <w:r>
              <w:t>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300</w:t>
            </w:r>
          </w:p>
        </w:tc>
        <w:tc>
          <w:tcPr>
            <w:tcW w:w="924" w:type="dxa"/>
            <w:vAlign w:val="center"/>
          </w:tcPr>
          <w:p>
            <w:pPr>
              <w:pStyle w:val="13"/>
            </w:pPr>
            <w:r>
              <w:t>0.01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广电网络视频会议县级分会场升级改造工程</w:t>
            </w:r>
          </w:p>
        </w:tc>
        <w:tc>
          <w:tcPr>
            <w:tcW w:w="924" w:type="dxa"/>
            <w:vAlign w:val="center"/>
          </w:tcPr>
          <w:p>
            <w:pPr>
              <w:pStyle w:val="13"/>
            </w:pPr>
            <w:r>
              <w:t>25.41</w:t>
            </w:r>
          </w:p>
        </w:tc>
        <w:tc>
          <w:tcPr>
            <w:tcW w:w="924" w:type="dxa"/>
            <w:vAlign w:val="center"/>
          </w:tcPr>
          <w:p>
            <w:pPr>
              <w:pStyle w:val="14"/>
            </w:pPr>
            <w:r>
              <w:t>其他网络设备</w:t>
            </w:r>
          </w:p>
        </w:tc>
        <w:tc>
          <w:tcPr>
            <w:tcW w:w="924" w:type="dxa"/>
            <w:vAlign w:val="center"/>
          </w:tcPr>
          <w:p>
            <w:pPr>
              <w:pStyle w:val="14"/>
            </w:pPr>
            <w:r>
              <w:t>A02010299</w:t>
            </w:r>
          </w:p>
        </w:tc>
        <w:tc>
          <w:tcPr>
            <w:tcW w:w="924" w:type="dxa"/>
            <w:vAlign w:val="center"/>
          </w:tcPr>
          <w:p>
            <w:pPr>
              <w:pStyle w:val="15"/>
            </w:pPr>
            <w:r>
              <w:t>组</w:t>
            </w:r>
          </w:p>
        </w:tc>
        <w:tc>
          <w:tcPr>
            <w:tcW w:w="924" w:type="dxa"/>
            <w:vAlign w:val="center"/>
          </w:tcPr>
          <w:p>
            <w:pPr>
              <w:pStyle w:val="13"/>
            </w:pPr>
            <w:r>
              <w:t>1</w:t>
            </w:r>
          </w:p>
        </w:tc>
        <w:tc>
          <w:tcPr>
            <w:tcW w:w="924" w:type="dxa"/>
            <w:vAlign w:val="center"/>
          </w:tcPr>
          <w:p>
            <w:pPr>
              <w:pStyle w:val="13"/>
            </w:pPr>
            <w:r>
              <w:t>16.89</w:t>
            </w:r>
          </w:p>
        </w:tc>
        <w:tc>
          <w:tcPr>
            <w:tcW w:w="924" w:type="dxa"/>
            <w:vAlign w:val="center"/>
          </w:tcPr>
          <w:p>
            <w:pPr>
              <w:pStyle w:val="13"/>
            </w:pPr>
            <w:r>
              <w:t>16.89</w:t>
            </w:r>
          </w:p>
        </w:tc>
        <w:tc>
          <w:tcPr>
            <w:tcW w:w="924" w:type="dxa"/>
            <w:vAlign w:val="center"/>
          </w:tcPr>
          <w:p>
            <w:pPr>
              <w:pStyle w:val="13"/>
            </w:pPr>
            <w:r>
              <w:t>16.89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eastAsia="方正书宋_GBK"/>
                <w:lang w:eastAsia="zh-CN"/>
              </w:rPr>
            </w:pPr>
            <w:r>
              <w:rPr>
                <w:rFonts w:hint="eastAsia"/>
                <w:lang w:eastAsia="zh-CN"/>
              </w:rPr>
              <w:t>涉密</w:t>
            </w:r>
          </w:p>
        </w:tc>
        <w:tc>
          <w:tcPr>
            <w:tcW w:w="924" w:type="dxa"/>
            <w:vAlign w:val="center"/>
          </w:tcPr>
          <w:p>
            <w:pPr>
              <w:pStyle w:val="13"/>
            </w:pPr>
            <w:r>
              <w:t>6.00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20</w:t>
            </w:r>
          </w:p>
        </w:tc>
        <w:tc>
          <w:tcPr>
            <w:tcW w:w="924" w:type="dxa"/>
            <w:vAlign w:val="center"/>
          </w:tcPr>
          <w:p>
            <w:pPr>
              <w:pStyle w:val="13"/>
            </w:pPr>
            <w:r>
              <w:t>0.03</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5"/>
            </w:pPr>
            <w:r>
              <w:t>张</w:t>
            </w:r>
          </w:p>
        </w:tc>
        <w:tc>
          <w:tcPr>
            <w:tcW w:w="924" w:type="dxa"/>
            <w:vAlign w:val="center"/>
          </w:tcPr>
          <w:p>
            <w:pPr>
              <w:pStyle w:val="13"/>
            </w:pPr>
            <w:r>
              <w:t>3</w:t>
            </w:r>
          </w:p>
        </w:tc>
        <w:tc>
          <w:tcPr>
            <w:tcW w:w="924" w:type="dxa"/>
            <w:vAlign w:val="center"/>
          </w:tcPr>
          <w:p>
            <w:pPr>
              <w:pStyle w:val="13"/>
            </w:pPr>
            <w:r>
              <w:t>0.15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把</w:t>
            </w:r>
          </w:p>
        </w:tc>
        <w:tc>
          <w:tcPr>
            <w:tcW w:w="924" w:type="dxa"/>
            <w:vAlign w:val="center"/>
          </w:tcPr>
          <w:p>
            <w:pPr>
              <w:pStyle w:val="13"/>
            </w:pPr>
            <w:r>
              <w:t>4</w:t>
            </w:r>
          </w:p>
        </w:tc>
        <w:tc>
          <w:tcPr>
            <w:tcW w:w="924" w:type="dxa"/>
            <w:vAlign w:val="center"/>
          </w:tcPr>
          <w:p>
            <w:pPr>
              <w:pStyle w:val="13"/>
            </w:pPr>
            <w:r>
              <w:t>0.03</w:t>
            </w:r>
          </w:p>
        </w:tc>
        <w:tc>
          <w:tcPr>
            <w:tcW w:w="924" w:type="dxa"/>
            <w:vAlign w:val="center"/>
          </w:tcPr>
          <w:p>
            <w:pPr>
              <w:pStyle w:val="13"/>
            </w:pPr>
            <w:r>
              <w:t>0.10</w:t>
            </w:r>
          </w:p>
        </w:tc>
        <w:tc>
          <w:tcPr>
            <w:tcW w:w="924" w:type="dxa"/>
            <w:vAlign w:val="center"/>
          </w:tcPr>
          <w:p>
            <w:pPr>
              <w:pStyle w:val="13"/>
            </w:pPr>
            <w:r>
              <w:t>0.10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保密柜</w:t>
            </w:r>
          </w:p>
        </w:tc>
        <w:tc>
          <w:tcPr>
            <w:tcW w:w="924" w:type="dxa"/>
            <w:vAlign w:val="center"/>
          </w:tcPr>
          <w:p>
            <w:pPr>
              <w:pStyle w:val="14"/>
            </w:pPr>
            <w:r>
              <w:t>A05010504</w:t>
            </w:r>
          </w:p>
        </w:tc>
        <w:tc>
          <w:tcPr>
            <w:tcW w:w="924" w:type="dxa"/>
            <w:vAlign w:val="center"/>
          </w:tcPr>
          <w:p>
            <w:pPr>
              <w:pStyle w:val="15"/>
            </w:pPr>
            <w:r>
              <w:t>组</w:t>
            </w:r>
          </w:p>
        </w:tc>
        <w:tc>
          <w:tcPr>
            <w:tcW w:w="924" w:type="dxa"/>
            <w:vAlign w:val="center"/>
          </w:tcPr>
          <w:p>
            <w:pPr>
              <w:pStyle w:val="13"/>
            </w:pPr>
            <w:r>
              <w:t>3</w:t>
            </w:r>
          </w:p>
        </w:tc>
        <w:tc>
          <w:tcPr>
            <w:tcW w:w="924" w:type="dxa"/>
            <w:vAlign w:val="center"/>
          </w:tcPr>
          <w:p>
            <w:pPr>
              <w:pStyle w:val="13"/>
            </w:pPr>
            <w:r>
              <w:t>0.15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100</w:t>
            </w:r>
          </w:p>
        </w:tc>
        <w:tc>
          <w:tcPr>
            <w:tcW w:w="924" w:type="dxa"/>
            <w:vAlign w:val="center"/>
          </w:tcPr>
          <w:p>
            <w:pPr>
              <w:pStyle w:val="13"/>
            </w:pPr>
            <w:r>
              <w:t>0.01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rPr>
                <w:rFonts w:hint="eastAsia" w:eastAsia="方正书宋_GBK"/>
                <w:lang w:eastAsia="zh-CN"/>
              </w:rPr>
            </w:pPr>
            <w:r>
              <w:rPr>
                <w:rFonts w:hint="eastAsia"/>
                <w:lang w:eastAsia="zh-CN"/>
              </w:rPr>
              <w:t>涉密项目，不宜公开</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县委公文运转</w:t>
            </w:r>
          </w:p>
        </w:tc>
        <w:tc>
          <w:tcPr>
            <w:tcW w:w="924" w:type="dxa"/>
            <w:vAlign w:val="center"/>
          </w:tcPr>
          <w:p>
            <w:pPr>
              <w:pStyle w:val="13"/>
            </w:pPr>
            <w:r>
              <w:t>14.00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50</w:t>
            </w:r>
          </w:p>
        </w:tc>
        <w:tc>
          <w:tcPr>
            <w:tcW w:w="924" w:type="dxa"/>
            <w:vAlign w:val="center"/>
          </w:tcPr>
          <w:p>
            <w:pPr>
              <w:pStyle w:val="13"/>
            </w:pPr>
            <w:r>
              <w:t>0.02</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县委公文运转</w:t>
            </w:r>
          </w:p>
        </w:tc>
        <w:tc>
          <w:tcPr>
            <w:tcW w:w="924" w:type="dxa"/>
            <w:vAlign w:val="center"/>
          </w:tcPr>
          <w:p>
            <w:pPr>
              <w:pStyle w:val="13"/>
            </w:pPr>
            <w:r>
              <w:t>14.00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500</w:t>
            </w:r>
          </w:p>
        </w:tc>
        <w:tc>
          <w:tcPr>
            <w:tcW w:w="924" w:type="dxa"/>
            <w:vAlign w:val="center"/>
          </w:tcPr>
          <w:p>
            <w:pPr>
              <w:pStyle w:val="13"/>
            </w:pPr>
            <w:r>
              <w:t>0.02</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县委公务接待活动</w:t>
            </w:r>
          </w:p>
        </w:tc>
        <w:tc>
          <w:tcPr>
            <w:tcW w:w="924" w:type="dxa"/>
            <w:vAlign w:val="center"/>
          </w:tcPr>
          <w:p>
            <w:pPr>
              <w:pStyle w:val="13"/>
            </w:pPr>
            <w:r>
              <w:t>8.00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块</w:t>
            </w:r>
          </w:p>
        </w:tc>
        <w:tc>
          <w:tcPr>
            <w:tcW w:w="924" w:type="dxa"/>
            <w:vAlign w:val="center"/>
          </w:tcPr>
          <w:p>
            <w:pPr>
              <w:pStyle w:val="13"/>
            </w:pPr>
            <w:r>
              <w:t>100</w:t>
            </w:r>
          </w:p>
        </w:tc>
        <w:tc>
          <w:tcPr>
            <w:tcW w:w="924" w:type="dxa"/>
            <w:vAlign w:val="center"/>
          </w:tcPr>
          <w:p>
            <w:pPr>
              <w:pStyle w:val="13"/>
            </w:pPr>
            <w:r>
              <w:t>0.01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县委值班室视频点名系统建设工程</w:t>
            </w:r>
          </w:p>
        </w:tc>
        <w:tc>
          <w:tcPr>
            <w:tcW w:w="924" w:type="dxa"/>
            <w:vAlign w:val="center"/>
          </w:tcPr>
          <w:p>
            <w:pPr>
              <w:pStyle w:val="13"/>
            </w:pPr>
            <w:r>
              <w:t>18.50</w:t>
            </w:r>
          </w:p>
        </w:tc>
        <w:tc>
          <w:tcPr>
            <w:tcW w:w="924" w:type="dxa"/>
            <w:vAlign w:val="center"/>
          </w:tcPr>
          <w:p>
            <w:pPr>
              <w:pStyle w:val="14"/>
            </w:pPr>
            <w:r>
              <w:t>其他电子工程安装</w:t>
            </w:r>
          </w:p>
        </w:tc>
        <w:tc>
          <w:tcPr>
            <w:tcW w:w="924" w:type="dxa"/>
            <w:vAlign w:val="center"/>
          </w:tcPr>
          <w:p>
            <w:pPr>
              <w:pStyle w:val="14"/>
            </w:pPr>
            <w:r>
              <w:t>B06019900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18.50</w:t>
            </w:r>
          </w:p>
        </w:tc>
        <w:tc>
          <w:tcPr>
            <w:tcW w:w="924" w:type="dxa"/>
            <w:vAlign w:val="center"/>
          </w:tcPr>
          <w:p>
            <w:pPr>
              <w:pStyle w:val="13"/>
            </w:pPr>
            <w:r>
              <w:t>18.50</w:t>
            </w:r>
          </w:p>
        </w:tc>
        <w:tc>
          <w:tcPr>
            <w:tcW w:w="924" w:type="dxa"/>
            <w:vAlign w:val="center"/>
          </w:tcPr>
          <w:p>
            <w:pPr>
              <w:pStyle w:val="13"/>
            </w:pPr>
            <w:r>
              <w:t>18.50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协调县委大型会议和活动</w:t>
            </w:r>
          </w:p>
        </w:tc>
        <w:tc>
          <w:tcPr>
            <w:tcW w:w="924" w:type="dxa"/>
            <w:vAlign w:val="center"/>
          </w:tcPr>
          <w:p>
            <w:pPr>
              <w:pStyle w:val="13"/>
            </w:pPr>
            <w:r>
              <w:t>17.00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475</w:t>
            </w:r>
          </w:p>
        </w:tc>
        <w:tc>
          <w:tcPr>
            <w:tcW w:w="924" w:type="dxa"/>
            <w:vAlign w:val="center"/>
          </w:tcPr>
          <w:p>
            <w:pPr>
              <w:pStyle w:val="13"/>
            </w:pPr>
            <w:r>
              <w:t>0.02</w:t>
            </w:r>
          </w:p>
        </w:tc>
        <w:tc>
          <w:tcPr>
            <w:tcW w:w="924" w:type="dxa"/>
            <w:vAlign w:val="center"/>
          </w:tcPr>
          <w:p>
            <w:pPr>
              <w:pStyle w:val="13"/>
            </w:pPr>
            <w:r>
              <w:t>9.50</w:t>
            </w:r>
          </w:p>
        </w:tc>
        <w:tc>
          <w:tcPr>
            <w:tcW w:w="924" w:type="dxa"/>
            <w:vAlign w:val="center"/>
          </w:tcPr>
          <w:p>
            <w:pPr>
              <w:pStyle w:val="13"/>
            </w:pPr>
            <w:r>
              <w:t>9.50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信息工作、社情民意调查</w:t>
            </w:r>
          </w:p>
        </w:tc>
        <w:tc>
          <w:tcPr>
            <w:tcW w:w="924" w:type="dxa"/>
            <w:vAlign w:val="center"/>
          </w:tcPr>
          <w:p>
            <w:pPr>
              <w:pStyle w:val="13"/>
            </w:pPr>
            <w:r>
              <w:t>5.00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200</w:t>
            </w:r>
          </w:p>
        </w:tc>
        <w:tc>
          <w:tcPr>
            <w:tcW w:w="924" w:type="dxa"/>
            <w:vAlign w:val="center"/>
          </w:tcPr>
          <w:p>
            <w:pPr>
              <w:pStyle w:val="13"/>
            </w:pPr>
            <w:r>
              <w:t>0.01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中国共产党隆尧县委员会办公室本级上年末固定资产金额为567.89万元（详见下表）。本年度拟购置固定资产总额为</w:t>
      </w:r>
      <w:r>
        <w:rPr>
          <w:rFonts w:hint="eastAsia" w:eastAsia="方正仿宋_GBK" w:cs="Times New Roman"/>
          <w:b w:val="0"/>
          <w:color w:val="000000"/>
          <w:sz w:val="28"/>
          <w:lang w:val="en-US" w:eastAsia="zh-CN"/>
        </w:rPr>
        <w:t>2.45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567.89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r>
              <w:t>5136</w:t>
            </w:r>
          </w:p>
        </w:tc>
        <w:tc>
          <w:tcPr>
            <w:tcW w:w="4933" w:type="dxa"/>
            <w:vAlign w:val="center"/>
          </w:tcPr>
          <w:p>
            <w:pPr>
              <w:pStyle w:val="13"/>
            </w:pPr>
            <w:r>
              <w:t>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5136</w:t>
            </w:r>
          </w:p>
        </w:tc>
        <w:tc>
          <w:tcPr>
            <w:tcW w:w="4933" w:type="dxa"/>
            <w:vAlign w:val="center"/>
          </w:tcPr>
          <w:p>
            <w:pPr>
              <w:pStyle w:val="13"/>
            </w:pPr>
            <w:r>
              <w:t>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523</w:t>
            </w:r>
          </w:p>
        </w:tc>
        <w:tc>
          <w:tcPr>
            <w:tcW w:w="4933" w:type="dxa"/>
            <w:vAlign w:val="center"/>
          </w:tcPr>
          <w:p>
            <w:pPr>
              <w:pStyle w:val="13"/>
            </w:pPr>
            <w:r>
              <w:t>208.89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7DBC80"/>
    <w:multiLevelType w:val="singleLevel"/>
    <w:tmpl w:val="EF7DBC80"/>
    <w:lvl w:ilvl="0" w:tentative="0">
      <w:start w:val="6"/>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672339"/>
    <w:rsid w:val="29B63604"/>
    <w:rsid w:val="2F6153D6"/>
    <w:rsid w:val="331B09FB"/>
    <w:rsid w:val="3FBF7A1A"/>
    <w:rsid w:val="53AF010C"/>
    <w:rsid w:val="7E7FA3D2"/>
    <w:rsid w:val="BD7BA33D"/>
    <w:rsid w:val="FDFB8903"/>
    <w:rsid w:val="FEEFF6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16</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2023-01-20T23:10:00Z</dcterms:created>
  <dc:creator>Administrator.USER-20151009QP</dc:creator>
  <cp:lastModifiedBy>work</cp:lastModifiedBy>
  <dcterms:modified xsi:type="dcterms:W3CDTF">2023-09-13T09:47:43Z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D8C2D1CD40A72A3C7541F864C5743646</vt:lpwstr>
  </property>
</Properties>
</file>