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黑体" w:hAnsi="黑体" w:eastAsia="黑体" w:cs="Times New Roman"/>
          <w:sz w:val="44"/>
          <w:szCs w:val="44"/>
        </w:rPr>
      </w:pPr>
      <w:r>
        <w:rPr>
          <w:rFonts w:hint="eastAsia" w:ascii="黑体" w:hAnsi="黑体" w:eastAsia="黑体" w:cs="方正小标宋_GBK"/>
          <w:sz w:val="44"/>
          <w:szCs w:val="44"/>
        </w:rPr>
        <w:t>隆尧县工业经济联合会秘书处</w:t>
      </w:r>
    </w:p>
    <w:p>
      <w:pPr>
        <w:jc w:val="center"/>
        <w:rPr>
          <w:rFonts w:ascii="黑体" w:hAnsi="黑体" w:eastAsia="黑体" w:cs="Times New Roman"/>
          <w:sz w:val="44"/>
          <w:szCs w:val="44"/>
        </w:rPr>
      </w:pPr>
      <w:r>
        <w:rPr>
          <w:rFonts w:ascii="黑体" w:hAnsi="黑体" w:eastAsia="黑体" w:cs="Times New Roman"/>
          <w:sz w:val="44"/>
          <w:szCs w:val="44"/>
        </w:rPr>
        <w:t>2020</w:t>
      </w:r>
      <w:r>
        <w:rPr>
          <w:rFonts w:hint="eastAsia" w:ascii="黑体" w:hAnsi="黑体" w:eastAsia="黑体" w:cs="方正小标宋_GBK"/>
          <w:sz w:val="44"/>
          <w:szCs w:val="44"/>
        </w:rPr>
        <w:t>年部门预算信息公开情况说明</w:t>
      </w:r>
    </w:p>
    <w:p>
      <w:pPr>
        <w:ind w:left="525" w:leftChars="250" w:right="414" w:rightChars="197"/>
        <w:jc w:val="center"/>
        <w:rPr>
          <w:rFonts w:ascii="Times New Roman" w:hAnsi="Times New Roman" w:eastAsia="方正小标宋_GBK" w:cs="Times New Roman"/>
          <w:sz w:val="44"/>
          <w:szCs w:val="44"/>
        </w:rPr>
      </w:pPr>
    </w:p>
    <w:p>
      <w:pPr>
        <w:ind w:left="525" w:leftChars="250" w:right="414" w:rightChars="197"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按照《预算法》、《地方预决算公开操作规程》和《河北省省级预算公开办法》规定，现将隆尧县工业经济联合会秘书处</w:t>
      </w:r>
      <w:r>
        <w:rPr>
          <w:rFonts w:ascii="仿宋" w:hAnsi="仿宋" w:eastAsia="仿宋" w:cs="仿宋"/>
          <w:sz w:val="32"/>
          <w:szCs w:val="32"/>
        </w:rPr>
        <w:t>2020</w:t>
      </w:r>
      <w:r>
        <w:rPr>
          <w:rFonts w:hint="eastAsia" w:ascii="仿宋" w:hAnsi="仿宋" w:eastAsia="仿宋" w:cs="仿宋"/>
          <w:sz w:val="32"/>
          <w:szCs w:val="32"/>
        </w:rPr>
        <w:t>年部门预算公开如下：</w:t>
      </w:r>
    </w:p>
    <w:p>
      <w:pPr>
        <w:ind w:left="525" w:leftChars="250" w:right="414" w:rightChars="197"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left="525" w:leftChars="250" w:right="414" w:rightChars="197" w:firstLine="643" w:firstLineChars="200"/>
        <w:rPr>
          <w:rFonts w:ascii="仿宋" w:hAnsi="仿宋" w:eastAsia="仿宋" w:cs="Times New Roman"/>
          <w:b/>
          <w:bCs/>
          <w:sz w:val="32"/>
          <w:szCs w:val="32"/>
        </w:rPr>
      </w:pPr>
      <w:r>
        <w:rPr>
          <w:rFonts w:hint="eastAsia" w:ascii="仿宋" w:hAnsi="仿宋" w:eastAsia="仿宋" w:cs="仿宋"/>
          <w:b/>
          <w:bCs/>
          <w:sz w:val="32"/>
          <w:szCs w:val="32"/>
        </w:rPr>
        <w:t>1、部门职责：</w:t>
      </w:r>
    </w:p>
    <w:p>
      <w:pPr>
        <w:snapToGrid w:val="0"/>
        <w:spacing w:line="360" w:lineRule="auto"/>
        <w:ind w:left="525" w:leftChars="250" w:right="414" w:rightChars="197" w:firstLine="640" w:firstLineChars="200"/>
        <w:rPr>
          <w:rFonts w:ascii="仿宋" w:hAnsi="仿宋" w:eastAsia="仿宋" w:cs="Times New Roman"/>
          <w:sz w:val="32"/>
          <w:szCs w:val="32"/>
        </w:rPr>
      </w:pPr>
      <w:r>
        <w:rPr>
          <w:rFonts w:hint="eastAsia" w:ascii="仿宋" w:hAnsi="仿宋" w:eastAsia="仿宋" w:cs="仿宋"/>
          <w:sz w:val="32"/>
          <w:szCs w:val="32"/>
        </w:rPr>
        <w:t>隆尧县工业经济联合会秘书处承担隆尧县工业经济联合会的日常工作。主要职责是：</w:t>
      </w:r>
    </w:p>
    <w:p>
      <w:pPr>
        <w:snapToGrid w:val="0"/>
        <w:spacing w:line="360" w:lineRule="auto"/>
        <w:ind w:left="525" w:leftChars="250" w:right="414" w:rightChars="197" w:firstLine="640" w:firstLineChars="200"/>
        <w:rPr>
          <w:rFonts w:ascii="仿宋" w:hAnsi="仿宋" w:eastAsia="仿宋" w:cs="Times New Roman"/>
          <w:sz w:val="32"/>
          <w:szCs w:val="32"/>
        </w:rPr>
      </w:pPr>
      <w:r>
        <w:rPr>
          <w:rFonts w:hint="eastAsia" w:ascii="仿宋" w:hAnsi="仿宋" w:eastAsia="仿宋" w:cs="仿宋"/>
          <w:sz w:val="32"/>
          <w:szCs w:val="32"/>
        </w:rPr>
        <w:t>宣传贯彻国家和省市有关法律法规和各项方针政策</w:t>
      </w:r>
      <w:r>
        <w:rPr>
          <w:rFonts w:ascii="仿宋" w:hAnsi="仿宋" w:eastAsia="仿宋" w:cs="仿宋"/>
          <w:sz w:val="32"/>
          <w:szCs w:val="32"/>
        </w:rPr>
        <w:t>,</w:t>
      </w:r>
      <w:r>
        <w:rPr>
          <w:rFonts w:hint="eastAsia" w:ascii="仿宋" w:hAnsi="仿宋" w:eastAsia="仿宋" w:cs="仿宋"/>
          <w:sz w:val="32"/>
          <w:szCs w:val="32"/>
        </w:rPr>
        <w:t>与省、市工业经济联合会加强联系沟通，利用多种形式和平台，组织和引导工业企业开展国际合作、区域合作、产业合作，推进与世界各国和地区工商协会的交流与合作及招商引资活动</w:t>
      </w:r>
      <w:r>
        <w:rPr>
          <w:rFonts w:ascii="仿宋" w:hAnsi="仿宋" w:eastAsia="仿宋" w:cs="仿宋"/>
          <w:sz w:val="32"/>
          <w:szCs w:val="32"/>
        </w:rPr>
        <w:t>;</w:t>
      </w:r>
      <w:r>
        <w:rPr>
          <w:rFonts w:hint="eastAsia" w:ascii="仿宋" w:hAnsi="仿宋" w:eastAsia="仿宋" w:cs="仿宋"/>
          <w:sz w:val="32"/>
          <w:szCs w:val="32"/>
        </w:rPr>
        <w:t>组织开展调查研究，及时向县委、县政府反映行业、地区、企业发展情况，并提出政策建议；反映会员要求，协调会员关系，维护会员的合法权益</w:t>
      </w:r>
      <w:r>
        <w:rPr>
          <w:rFonts w:ascii="仿宋" w:hAnsi="仿宋" w:eastAsia="仿宋" w:cs="仿宋"/>
          <w:sz w:val="32"/>
          <w:szCs w:val="32"/>
        </w:rPr>
        <w:t>;</w:t>
      </w:r>
      <w:r>
        <w:rPr>
          <w:rFonts w:hint="eastAsia" w:ascii="仿宋" w:hAnsi="仿宋" w:eastAsia="仿宋" w:cs="仿宋"/>
          <w:sz w:val="32"/>
          <w:szCs w:val="32"/>
        </w:rPr>
        <w:t>大力推进工业企业社会责任体系建设、管理创新体系建设和工业品牌建设，配合省市工经联积极推荐县内企业参加中国工业大奖评选活动，搭建河北省企业管理创新智库平台</w:t>
      </w:r>
      <w:r>
        <w:rPr>
          <w:rFonts w:ascii="仿宋" w:hAnsi="仿宋" w:eastAsia="仿宋" w:cs="仿宋"/>
          <w:sz w:val="32"/>
          <w:szCs w:val="32"/>
        </w:rPr>
        <w:t>;</w:t>
      </w:r>
      <w:r>
        <w:rPr>
          <w:rFonts w:hint="eastAsia" w:ascii="仿宋" w:hAnsi="仿宋" w:eastAsia="仿宋" w:cs="仿宋"/>
          <w:sz w:val="32"/>
          <w:szCs w:val="32"/>
        </w:rPr>
        <w:t>协调各有关行业协会及金融、科技、教育、服务等领域相关机构，搭建促进实体经济发展公共服务平台，促进跨行业信息交流与共享</w:t>
      </w:r>
      <w:r>
        <w:rPr>
          <w:rFonts w:ascii="仿宋" w:hAnsi="仿宋" w:eastAsia="仿宋" w:cs="仿宋"/>
          <w:sz w:val="32"/>
          <w:szCs w:val="32"/>
        </w:rPr>
        <w:t>;</w:t>
      </w:r>
      <w:r>
        <w:rPr>
          <w:rFonts w:hint="eastAsia" w:ascii="仿宋" w:hAnsi="仿宋" w:eastAsia="仿宋" w:cs="仿宋"/>
          <w:sz w:val="32"/>
          <w:szCs w:val="32"/>
        </w:rPr>
        <w:t>承办县委、县政府交办的其他事项。</w:t>
      </w:r>
    </w:p>
    <w:p>
      <w:pPr>
        <w:ind w:left="525" w:leftChars="250" w:right="414" w:rightChars="197" w:firstLine="640" w:firstLineChars="200"/>
        <w:rPr>
          <w:rFonts w:ascii="仿宋" w:hAnsi="仿宋" w:eastAsia="仿宋" w:cs="Times New Roman"/>
          <w:sz w:val="32"/>
          <w:szCs w:val="32"/>
        </w:rPr>
      </w:pPr>
      <w:r>
        <w:rPr>
          <w:rFonts w:hint="eastAsia" w:ascii="仿宋" w:hAnsi="仿宋" w:eastAsia="仿宋" w:cs="仿宋"/>
          <w:sz w:val="32"/>
          <w:szCs w:val="32"/>
        </w:rPr>
        <w:t>隆尧县工业经济联合会秘书处根据工作需要，设有综合办公室一个。</w:t>
      </w:r>
    </w:p>
    <w:p>
      <w:pPr>
        <w:ind w:left="525" w:leftChars="250" w:right="414" w:rightChars="197" w:firstLine="643" w:firstLineChars="200"/>
        <w:rPr>
          <w:rFonts w:ascii="仿宋" w:hAnsi="仿宋" w:eastAsia="仿宋" w:cs="仿宋"/>
          <w:b/>
          <w:bCs/>
          <w:sz w:val="32"/>
          <w:szCs w:val="32"/>
        </w:rPr>
      </w:pPr>
      <w:r>
        <w:rPr>
          <w:rFonts w:hint="eastAsia" w:ascii="仿宋" w:hAnsi="仿宋" w:eastAsia="仿宋" w:cs="仿宋"/>
          <w:b/>
          <w:bCs/>
          <w:sz w:val="32"/>
          <w:szCs w:val="32"/>
        </w:rPr>
        <w:t>2、机构设置：</w:t>
      </w:r>
    </w:p>
    <w:p>
      <w:pPr>
        <w:ind w:left="525" w:leftChars="250" w:right="414" w:rightChars="197"/>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12390" w:type="dxa"/>
        <w:tblInd w:w="178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5"/>
        <w:gridCol w:w="1680"/>
        <w:gridCol w:w="2520"/>
        <w:gridCol w:w="38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305" w:type="dxa"/>
            <w:vMerge w:val="restart"/>
            <w:vAlign w:val="center"/>
          </w:tcPr>
          <w:p>
            <w:pPr>
              <w:spacing w:line="300" w:lineRule="exact"/>
              <w:ind w:left="525" w:leftChars="250" w:right="414" w:rightChars="197"/>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680" w:type="dxa"/>
            <w:vMerge w:val="restart"/>
            <w:vAlign w:val="center"/>
          </w:tcPr>
          <w:p>
            <w:pPr>
              <w:spacing w:line="300" w:lineRule="exact"/>
              <w:ind w:left="525" w:leftChars="250" w:right="414" w:rightChars="197"/>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2520" w:type="dxa"/>
            <w:vMerge w:val="restart"/>
            <w:vAlign w:val="center"/>
          </w:tcPr>
          <w:p>
            <w:pPr>
              <w:spacing w:line="300" w:lineRule="exact"/>
              <w:ind w:left="525" w:leftChars="250" w:right="414" w:rightChars="197"/>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3885" w:type="dxa"/>
            <w:vMerge w:val="restart"/>
            <w:vAlign w:val="center"/>
          </w:tcPr>
          <w:p>
            <w:pPr>
              <w:spacing w:line="300" w:lineRule="exact"/>
              <w:ind w:left="525" w:leftChars="250" w:right="414" w:rightChars="197"/>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305" w:type="dxa"/>
            <w:vMerge w:val="continue"/>
            <w:vAlign w:val="center"/>
          </w:tcPr>
          <w:p>
            <w:pPr>
              <w:spacing w:line="300" w:lineRule="exact"/>
              <w:ind w:left="525" w:leftChars="250" w:right="414" w:rightChars="197"/>
              <w:jc w:val="left"/>
              <w:outlineLvl w:val="0"/>
              <w:rPr>
                <w:rFonts w:ascii="Times New Roman" w:hAnsi="Times New Roman" w:cs="Times New Roman"/>
              </w:rPr>
            </w:pPr>
          </w:p>
        </w:tc>
        <w:tc>
          <w:tcPr>
            <w:tcW w:w="1680" w:type="dxa"/>
            <w:vMerge w:val="continue"/>
            <w:vAlign w:val="center"/>
          </w:tcPr>
          <w:p>
            <w:pPr>
              <w:spacing w:line="300" w:lineRule="exact"/>
              <w:ind w:left="525" w:leftChars="250" w:right="414" w:rightChars="197"/>
              <w:jc w:val="left"/>
              <w:outlineLvl w:val="0"/>
              <w:rPr>
                <w:rFonts w:ascii="Times New Roman" w:hAnsi="Times New Roman" w:cs="Times New Roman"/>
              </w:rPr>
            </w:pPr>
          </w:p>
        </w:tc>
        <w:tc>
          <w:tcPr>
            <w:tcW w:w="2520" w:type="dxa"/>
            <w:vMerge w:val="continue"/>
            <w:vAlign w:val="center"/>
          </w:tcPr>
          <w:p>
            <w:pPr>
              <w:spacing w:line="300" w:lineRule="exact"/>
              <w:ind w:left="525" w:leftChars="250" w:right="414" w:rightChars="197"/>
              <w:jc w:val="left"/>
              <w:outlineLvl w:val="0"/>
              <w:rPr>
                <w:rFonts w:ascii="Times New Roman" w:hAnsi="Times New Roman" w:cs="Times New Roman"/>
              </w:rPr>
            </w:pPr>
          </w:p>
        </w:tc>
        <w:tc>
          <w:tcPr>
            <w:tcW w:w="3885" w:type="dxa"/>
            <w:vMerge w:val="continue"/>
            <w:vAlign w:val="center"/>
          </w:tcPr>
          <w:p>
            <w:pPr>
              <w:spacing w:line="300" w:lineRule="exact"/>
              <w:ind w:left="525" w:leftChars="250" w:right="414" w:rightChars="197"/>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trPr>
        <w:tc>
          <w:tcPr>
            <w:tcW w:w="4305" w:type="dxa"/>
            <w:vAlign w:val="center"/>
          </w:tcPr>
          <w:p>
            <w:pPr>
              <w:spacing w:line="300" w:lineRule="exact"/>
              <w:ind w:left="525" w:leftChars="250" w:right="414" w:rightChars="197"/>
              <w:jc w:val="center"/>
              <w:rPr>
                <w:rFonts w:ascii="Times New Roman" w:hAnsi="Times New Roman" w:eastAsia="方正书宋_GBK" w:cs="Times New Roman"/>
              </w:rPr>
            </w:pPr>
            <w:r>
              <w:rPr>
                <w:rFonts w:hint="eastAsia" w:ascii="方正书宋_GBK" w:eastAsia="方正书宋_GBK" w:cs="方正书宋_GBK"/>
              </w:rPr>
              <w:t>隆尧县工业经济联合会秘书处</w:t>
            </w:r>
          </w:p>
        </w:tc>
        <w:tc>
          <w:tcPr>
            <w:tcW w:w="1680" w:type="dxa"/>
            <w:vAlign w:val="center"/>
          </w:tcPr>
          <w:p>
            <w:pPr>
              <w:spacing w:line="300" w:lineRule="exact"/>
              <w:ind w:left="525" w:leftChars="250" w:right="414" w:rightChars="197"/>
              <w:jc w:val="center"/>
              <w:rPr>
                <w:rFonts w:ascii="Times New Roman" w:hAnsi="Times New Roman" w:eastAsia="方正书宋_GBK" w:cs="Times New Roman"/>
              </w:rPr>
            </w:pPr>
            <w:r>
              <w:rPr>
                <w:rFonts w:hint="eastAsia" w:ascii="方正书宋_GBK" w:eastAsia="方正书宋_GBK" w:cs="方正书宋_GBK"/>
              </w:rPr>
              <w:t>事业</w:t>
            </w:r>
          </w:p>
        </w:tc>
        <w:tc>
          <w:tcPr>
            <w:tcW w:w="2520" w:type="dxa"/>
            <w:vAlign w:val="center"/>
          </w:tcPr>
          <w:p>
            <w:pPr>
              <w:spacing w:line="300" w:lineRule="exact"/>
              <w:ind w:left="525" w:leftChars="250" w:right="414" w:rightChars="197"/>
              <w:jc w:val="center"/>
              <w:rPr>
                <w:rFonts w:ascii="Times New Roman" w:hAnsi="Times New Roman" w:eastAsia="方正书宋_GBK" w:cs="Times New Roman"/>
              </w:rPr>
            </w:pPr>
            <w:r>
              <w:rPr>
                <w:rFonts w:hint="eastAsia" w:ascii="方正书宋_GBK" w:eastAsia="方正书宋_GBK" w:cs="方正书宋_GBK"/>
              </w:rPr>
              <w:t>正科级</w:t>
            </w:r>
          </w:p>
        </w:tc>
        <w:tc>
          <w:tcPr>
            <w:tcW w:w="3885" w:type="dxa"/>
            <w:vAlign w:val="center"/>
          </w:tcPr>
          <w:p>
            <w:pPr>
              <w:spacing w:line="300" w:lineRule="exact"/>
              <w:ind w:left="525" w:leftChars="250" w:right="414" w:rightChars="197"/>
              <w:jc w:val="center"/>
              <w:rPr>
                <w:rFonts w:ascii="Times New Roman" w:hAnsi="Times New Roman" w:eastAsia="方正书宋_GBK" w:cs="Times New Roman"/>
              </w:rPr>
            </w:pPr>
            <w:r>
              <w:rPr>
                <w:rFonts w:hint="eastAsia" w:ascii="方正书宋_GBK" w:eastAsia="方正书宋_GBK" w:cs="方正书宋_GBK"/>
              </w:rPr>
              <w:t>财政拨款</w:t>
            </w:r>
          </w:p>
        </w:tc>
      </w:tr>
    </w:tbl>
    <w:p>
      <w:pPr>
        <w:ind w:left="525" w:leftChars="250" w:right="414" w:rightChars="197"/>
        <w:rPr>
          <w:rFonts w:cs="Times New Roman"/>
        </w:rPr>
      </w:pPr>
    </w:p>
    <w:p>
      <w:pPr>
        <w:ind w:left="525" w:leftChars="250" w:right="414" w:rightChars="197"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left="525" w:leftChars="250" w:right="414" w:rightChars="197"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w:t>
      </w:r>
    </w:p>
    <w:p>
      <w:pPr>
        <w:ind w:left="525" w:leftChars="250" w:right="414" w:rightChars="197"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left="525" w:leftChars="250" w:right="414" w:rightChars="197"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64.79</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64.79</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left="525" w:leftChars="250" w:right="414" w:rightChars="197"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left="525" w:leftChars="250" w:right="414" w:rightChars="197"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收支预算总表支出栏、基本支出表、项目支出表按经济分类和支出功能分类科目编制，反映隆尧县工业经济联合会秘书处年度部门预算中支出预算的总体情况。</w:t>
      </w:r>
      <w:r>
        <w:rPr>
          <w:rFonts w:ascii="Times New Roman" w:hAnsi="Times New Roman" w:eastAsia="仿宋" w:cs="Times New Roman"/>
          <w:sz w:val="32"/>
          <w:szCs w:val="32"/>
        </w:rPr>
        <w:t>2019</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64.79</w:t>
      </w:r>
      <w:r>
        <w:rPr>
          <w:rFonts w:hint="eastAsia" w:ascii="Times New Roman" w:hAnsi="Times New Roman" w:eastAsia="仿宋" w:cs="仿宋"/>
          <w:sz w:val="32"/>
          <w:szCs w:val="32"/>
        </w:rPr>
        <w:t>万元，其中基本支出</w:t>
      </w:r>
      <w:r>
        <w:rPr>
          <w:rFonts w:ascii="Times New Roman" w:hAnsi="Times New Roman" w:eastAsia="仿宋" w:cs="仿宋"/>
          <w:sz w:val="32"/>
          <w:szCs w:val="32"/>
        </w:rPr>
        <w:t>2</w:t>
      </w:r>
      <w:r>
        <w:rPr>
          <w:rFonts w:ascii="Times New Roman" w:hAnsi="Times New Roman" w:eastAsia="仿宋" w:cs="Times New Roman"/>
          <w:sz w:val="32"/>
          <w:szCs w:val="32"/>
        </w:rPr>
        <w:t>7.09</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24.69</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2.4</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37.7</w:t>
      </w:r>
      <w:r>
        <w:rPr>
          <w:rFonts w:hint="eastAsia" w:ascii="Times New Roman" w:hAnsi="Times New Roman" w:eastAsia="仿宋" w:cs="仿宋"/>
          <w:sz w:val="32"/>
          <w:szCs w:val="32"/>
        </w:rPr>
        <w:t>万元，主要是《隆尧县工业志》编纂费项目30万元、工经联专项经费项目7.7万元。</w:t>
      </w:r>
    </w:p>
    <w:p>
      <w:pPr>
        <w:ind w:left="525" w:leftChars="250" w:right="414" w:rightChars="197" w:firstLine="640"/>
        <w:rPr>
          <w:rFonts w:ascii="Times New Roman" w:hAnsi="Times New Roman" w:eastAsia="仿宋" w:cs="Times New Roman"/>
          <w:sz w:val="32"/>
          <w:szCs w:val="32"/>
        </w:rPr>
      </w:pPr>
      <w:r>
        <w:rPr>
          <w:rFonts w:ascii="Times New Roman" w:hAnsi="Times New Roman" w:eastAsia="仿宋" w:cs="Times New Roman"/>
          <w:sz w:val="32"/>
          <w:szCs w:val="32"/>
        </w:rPr>
        <w:t xml:space="preserve"> 3</w:t>
      </w:r>
      <w:r>
        <w:rPr>
          <w:rFonts w:hint="eastAsia" w:ascii="Times New Roman" w:hAnsi="Times New Roman" w:eastAsia="仿宋" w:cs="仿宋"/>
          <w:sz w:val="32"/>
          <w:szCs w:val="32"/>
        </w:rPr>
        <w:t>、比上年增减情况</w:t>
      </w:r>
    </w:p>
    <w:p>
      <w:pPr>
        <w:ind w:left="525" w:leftChars="250" w:right="414" w:rightChars="197"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sz w:val="32"/>
          <w:szCs w:val="32"/>
        </w:rPr>
        <w:t>64.79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年增长</w:t>
      </w:r>
      <w:r>
        <w:rPr>
          <w:rFonts w:ascii="Times New Roman" w:hAnsi="Times New Roman" w:eastAsia="仿宋" w:cs="Times New Roman"/>
          <w:sz w:val="32"/>
          <w:szCs w:val="32"/>
        </w:rPr>
        <w:t>16.23</w:t>
      </w:r>
      <w:r>
        <w:rPr>
          <w:rFonts w:hint="eastAsia" w:ascii="Times New Roman" w:hAnsi="Times New Roman" w:eastAsia="仿宋" w:cs="仿宋"/>
          <w:sz w:val="32"/>
          <w:szCs w:val="32"/>
        </w:rPr>
        <w:t>万元，其中：基本支出增长</w:t>
      </w:r>
      <w:r>
        <w:rPr>
          <w:rFonts w:ascii="Times New Roman" w:hAnsi="Times New Roman" w:eastAsia="仿宋" w:cs="Times New Roman"/>
          <w:sz w:val="32"/>
          <w:szCs w:val="32"/>
        </w:rPr>
        <w:t>0.83</w:t>
      </w:r>
      <w:r>
        <w:rPr>
          <w:rFonts w:hint="eastAsia" w:ascii="Times New Roman" w:hAnsi="Times New Roman" w:eastAsia="仿宋" w:cs="仿宋"/>
          <w:sz w:val="32"/>
          <w:szCs w:val="32"/>
        </w:rPr>
        <w:t>万元，主要是人员调资；项目支出减少</w:t>
      </w:r>
      <w:r>
        <w:rPr>
          <w:rFonts w:ascii="Times New Roman" w:hAnsi="Times New Roman" w:eastAsia="仿宋" w:cs="仿宋"/>
          <w:sz w:val="32"/>
          <w:szCs w:val="32"/>
        </w:rPr>
        <w:t>15.4</w:t>
      </w:r>
      <w:r>
        <w:rPr>
          <w:rFonts w:hint="eastAsia" w:ascii="Times New Roman" w:hAnsi="Times New Roman" w:eastAsia="仿宋" w:cs="仿宋"/>
          <w:sz w:val="32"/>
          <w:szCs w:val="32"/>
        </w:rPr>
        <w:t>万元，主要为《隆尧县工业志》编纂项目费用减少。</w:t>
      </w:r>
    </w:p>
    <w:p>
      <w:pPr>
        <w:autoSpaceDE w:val="0"/>
        <w:autoSpaceDN w:val="0"/>
        <w:adjustRightInd w:val="0"/>
        <w:ind w:left="525" w:leftChars="250" w:right="414" w:rightChars="197"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 xml:space="preserve"> 2.4</w:t>
      </w:r>
      <w:r>
        <w:rPr>
          <w:rFonts w:hint="eastAsia" w:ascii="Times New Roman" w:hAnsi="Times New Roman" w:eastAsia="仿宋" w:cs="仿宋"/>
          <w:sz w:val="32"/>
          <w:szCs w:val="32"/>
        </w:rPr>
        <w:t>万元，主要用于保证机关正常运转的办公费、邮电费、电费等支出。</w:t>
      </w:r>
    </w:p>
    <w:p>
      <w:pPr>
        <w:autoSpaceDE w:val="0"/>
        <w:autoSpaceDN w:val="0"/>
        <w:adjustRightInd w:val="0"/>
        <w:ind w:left="525" w:leftChars="250" w:right="414" w:rightChars="197"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525" w:leftChars="250" w:right="414" w:rightChars="197"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年，我单位财政拨款“三公”经费预算安排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万元，与上年持平，无增减情况；公务用车购置及运维费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与上年持平，无增减情况；公务接待费0万元，与上年持平，无增减情况。</w:t>
      </w:r>
    </w:p>
    <w:p>
      <w:pPr>
        <w:autoSpaceDE w:val="0"/>
        <w:autoSpaceDN w:val="0"/>
        <w:adjustRightInd w:val="0"/>
        <w:ind w:left="525" w:leftChars="250" w:right="414" w:rightChars="197" w:firstLine="640" w:firstLineChars="200"/>
        <w:jc w:val="left"/>
        <w:rPr>
          <w:rFonts w:ascii="黑体" w:hAnsi="黑体" w:eastAsia="黑体" w:cs="Times New Roman"/>
          <w:sz w:val="32"/>
          <w:szCs w:val="32"/>
        </w:rPr>
      </w:pPr>
      <w:bookmarkStart w:id="0" w:name="_Toc471398463"/>
      <w:r>
        <w:rPr>
          <w:rFonts w:hint="eastAsia" w:ascii="黑体" w:hAnsi="黑体" w:eastAsia="黑体" w:cs="Times New Roman"/>
          <w:sz w:val="32"/>
          <w:szCs w:val="32"/>
        </w:rPr>
        <w:t>五、预算绩效信息</w:t>
      </w:r>
    </w:p>
    <w:p>
      <w:pPr>
        <w:ind w:left="525" w:leftChars="250" w:right="414" w:rightChars="197" w:firstLine="643"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autoSpaceDE w:val="0"/>
        <w:autoSpaceDN w:val="0"/>
        <w:adjustRightInd w:val="0"/>
        <w:ind w:left="525" w:leftChars="250" w:right="414" w:rightChars="197"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spacing w:line="360" w:lineRule="auto"/>
        <w:ind w:left="525" w:leftChars="250" w:right="414" w:rightChars="197" w:firstLine="56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加强政治理论学习，完善机关规章制度。高度重视政治理论学习。继续紧跟形势发展，增强政治敏感性和责任意识，集中深入地学习了党的十九大、十九届二中、三中全会精神，习近平新时代中国特色社会主义思想，召开专门学习研讨会，撰写学习心得体会。</w:t>
      </w:r>
    </w:p>
    <w:p>
      <w:pPr>
        <w:spacing w:line="360" w:lineRule="auto"/>
        <w:ind w:left="525" w:leftChars="250" w:right="414" w:rightChars="197" w:firstLine="56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、加大招商引资力度，助推经济持续发展。认真研究、积极谋划，多举措搜集招商线索，密集外出开展招商活动争取早日完成招商任务。</w:t>
      </w:r>
    </w:p>
    <w:p>
      <w:pPr>
        <w:spacing w:line="360" w:lineRule="auto"/>
        <w:ind w:left="525" w:leftChars="250" w:right="414" w:rightChars="197" w:firstLine="560"/>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、严谨细致筹备，做好编纂《隆尧县工业志》的组织协调工作。隆尧县工业历史悠久，但没有一部完整的志书记载，因此，编纂</w:t>
      </w:r>
      <w:bookmarkStart w:id="8" w:name="_GoBack"/>
      <w:bookmarkEnd w:id="8"/>
      <w:r>
        <w:rPr>
          <w:rFonts w:hint="eastAsia" w:ascii="仿宋" w:hAnsi="仿宋" w:eastAsia="仿宋" w:cs="仿宋"/>
          <w:sz w:val="32"/>
          <w:szCs w:val="32"/>
        </w:rPr>
        <w:t>一部囊括隆尧工业各个门类、各个方面，能够全面反映隆尧县工业发展历程的《隆尧县工业志》十分必要。经县委、县政府批准，县工经联牵头负责《隆尧县工业志》的编纂工作。计划三年时间完成。</w:t>
      </w:r>
    </w:p>
    <w:p>
      <w:pPr>
        <w:spacing w:line="360" w:lineRule="auto"/>
        <w:ind w:left="525" w:leftChars="250" w:right="414" w:rightChars="197" w:firstLine="560"/>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、服务企业发展，开展企业家培训会。今年计划聘请知名专家为我县民营企业上课，提高我县企业家的管理水平和综合素质。</w:t>
      </w:r>
    </w:p>
    <w:p>
      <w:pPr>
        <w:spacing w:line="360" w:lineRule="auto"/>
        <w:ind w:left="525" w:leftChars="250" w:right="414" w:rightChars="197" w:firstLine="560"/>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搭建银企对接平台，助力民营经济发展。针对民营企业资金短缺问题，将联系邢台银行隆尧支行等相关部门负责人员，到企业调研并召开企业家座谈会，协调解决企业发展资金短缺的实际问题。推出结合企业实际为企业量身定做的信贷产品，以解企业燃眉之急。</w:t>
      </w:r>
    </w:p>
    <w:p>
      <w:pPr>
        <w:spacing w:line="360" w:lineRule="auto"/>
        <w:ind w:left="525" w:leftChars="250" w:right="414" w:rightChars="197" w:firstLine="723" w:firstLineChars="225"/>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spacing w:line="360" w:lineRule="auto"/>
        <w:ind w:left="525" w:leftChars="250" w:right="414" w:rightChars="197" w:firstLine="720" w:firstLineChars="225"/>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、深入企业进行调研，了解企业发展中的困难和问题，帮助企业建言献策，协调解决问题。</w:t>
      </w:r>
    </w:p>
    <w:p>
      <w:pPr>
        <w:spacing w:line="360" w:lineRule="auto"/>
        <w:ind w:left="525" w:leftChars="250" w:right="414" w:rightChars="197" w:firstLine="720" w:firstLineChars="225"/>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、开展企业家培训会，组织会员企业到我县龙头企业参观学习，提升企业家综合素质，激发企业做大做强热情。</w:t>
      </w:r>
    </w:p>
    <w:p>
      <w:pPr>
        <w:spacing w:line="360" w:lineRule="auto"/>
        <w:ind w:left="525" w:leftChars="250" w:right="414" w:rightChars="197" w:firstLine="720" w:firstLineChars="225"/>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、组织召开两次银企对接会，结合金融部门力争推出符合企业实际的信贷产品，解决企业融资难题。</w:t>
      </w:r>
    </w:p>
    <w:p>
      <w:pPr>
        <w:spacing w:line="360" w:lineRule="auto"/>
        <w:ind w:left="525" w:leftChars="250" w:right="414" w:rightChars="197" w:firstLine="720" w:firstLineChars="225"/>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、加大对外联络，积极开展招商引资活动。争取早日完成招商引资任务。</w:t>
      </w:r>
    </w:p>
    <w:p>
      <w:pPr>
        <w:spacing w:line="360" w:lineRule="auto"/>
        <w:ind w:left="525" w:leftChars="250" w:right="414" w:rightChars="197" w:firstLine="720" w:firstLineChars="225"/>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、按计划完成《隆尧县工业志》编纂工作。</w:t>
      </w:r>
    </w:p>
    <w:bookmarkEnd w:id="0"/>
    <w:p>
      <w:pPr>
        <w:autoSpaceDE w:val="0"/>
        <w:autoSpaceDN w:val="0"/>
        <w:adjustRightInd w:val="0"/>
        <w:ind w:left="525" w:leftChars="250" w:right="414" w:rightChars="197"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、加强制度建设。建立健全单位预算绩效管理制度，为全年预算绩效目标的实现奠定制度基础。</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、规范财务管理。进一步完善财务管理制度，通过科学编制预算、优化支出结构、加快政府采购、加快项目建设、及时拨付资金，确保经费支出进度达到规定标准。</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、加强绩效监控。积极开展绩效运行监控，发现问题及时采取措施，确保绩效目标如期保质实现。</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、做好绩效自评。按要求开展部门预算绩效自评和重点项目评价工作，对评价中发现的问题及时整改。</w:t>
      </w:r>
    </w:p>
    <w:p>
      <w:pPr>
        <w:autoSpaceDE w:val="0"/>
        <w:autoSpaceDN w:val="0"/>
        <w:adjustRightInd w:val="0"/>
        <w:ind w:left="525" w:leftChars="250" w:right="414" w:rightChars="197"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bookmarkStart w:id="3" w:name="_Toc535404678"/>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ind w:left="735" w:leftChars="350"/>
        <w:jc w:val="left"/>
        <w:outlineLvl w:val="1"/>
        <w:rPr>
          <w:rFonts w:ascii="Times New Roman" w:hAnsi="宋体"/>
          <w:b/>
          <w:sz w:val="28"/>
        </w:rPr>
      </w:pPr>
      <w:r>
        <w:rPr>
          <w:rFonts w:ascii="方正仿宋_GBK" w:eastAsia="方正仿宋_GBK"/>
          <w:b/>
          <w:sz w:val="28"/>
        </w:rPr>
        <w:t xml:space="preserve">  1</w:t>
      </w:r>
      <w:r>
        <w:rPr>
          <w:rFonts w:hint="eastAsia" w:ascii="方正仿宋_GBK" w:eastAsia="方正仿宋_GBK"/>
          <w:b/>
          <w:sz w:val="28"/>
        </w:rPr>
        <w:t>、工经联专项经费绩效目标表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29484634"/>
      <w:r>
        <w:rPr>
          <w:rFonts w:ascii="方正仿宋_GBK" w:eastAsia="方正仿宋_GBK"/>
          <w:b/>
          <w:sz w:val="28"/>
        </w:rPr>
        <w:instrText xml:space="preserve">3</w:instrText>
      </w:r>
      <w:r>
        <w:rPr>
          <w:rFonts w:hint="eastAsia" w:ascii="方正仿宋_GBK" w:eastAsia="方正仿宋_GBK"/>
          <w:b/>
          <w:sz w:val="28"/>
        </w:rPr>
        <w:instrText xml:space="preserve">、第三方评价工作经费绩效目标表</w:instrText>
      </w:r>
      <w:bookmarkEnd w:id="4"/>
      <w:r>
        <w:rPr>
          <w:rFonts w:ascii="方正仿宋_GBK" w:eastAsia="方正仿宋_GBK"/>
          <w:b/>
          <w:sz w:val="28"/>
        </w:rPr>
        <w:instrText xml:space="preserve">" \f C \l 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宋体" w:hAnsi="宋体" w:cs="宋体"/>
              </w:rPr>
              <w:t>、深入企业开展调研活动。</w:t>
            </w:r>
          </w:p>
          <w:p>
            <w:pPr>
              <w:spacing w:line="300" w:lineRule="exact"/>
              <w:jc w:val="left"/>
              <w:rPr>
                <w:rFonts w:ascii="方正书宋_GBK" w:eastAsia="方正书宋_GBK"/>
              </w:rPr>
            </w:pPr>
            <w:r>
              <w:rPr>
                <w:rFonts w:ascii="方正书宋_GBK" w:eastAsia="方正书宋_GBK"/>
              </w:rPr>
              <w:t>2</w:t>
            </w:r>
            <w:r>
              <w:rPr>
                <w:rFonts w:hint="eastAsia" w:ascii="宋体" w:hAnsi="宋体" w:cs="宋体"/>
              </w:rPr>
              <w:t>、开展企业家培训活动。</w:t>
            </w:r>
          </w:p>
          <w:p>
            <w:pPr>
              <w:spacing w:line="300" w:lineRule="exact"/>
              <w:jc w:val="left"/>
              <w:rPr>
                <w:rFonts w:ascii="方正书宋_GBK" w:eastAsia="方正书宋_GBK"/>
              </w:rPr>
            </w:pPr>
            <w:r>
              <w:rPr>
                <w:rFonts w:ascii="方正书宋_GBK" w:eastAsia="方正书宋_GBK"/>
              </w:rPr>
              <w:t>3</w:t>
            </w:r>
            <w:r>
              <w:rPr>
                <w:rFonts w:hint="eastAsia" w:ascii="宋体" w:hAnsi="宋体" w:cs="宋体"/>
              </w:rPr>
              <w:t>、组织召开银企对接会。</w:t>
            </w:r>
          </w:p>
          <w:p>
            <w:pPr>
              <w:spacing w:line="300" w:lineRule="exact"/>
              <w:jc w:val="left"/>
              <w:rPr>
                <w:rFonts w:ascii="方正书宋_GBK" w:eastAsia="方正书宋_GBK"/>
              </w:rPr>
            </w:pPr>
            <w:r>
              <w:rPr>
                <w:rFonts w:ascii="方正书宋_GBK" w:eastAsia="方正书宋_GBK"/>
              </w:rPr>
              <w:t>4</w:t>
            </w:r>
            <w:r>
              <w:rPr>
                <w:rFonts w:hint="eastAsia" w:ascii="宋体" w:hAnsi="宋体" w:cs="宋体"/>
              </w:rPr>
              <w:t>、外出开展招商引资活动。</w:t>
            </w:r>
          </w:p>
          <w:p>
            <w:pPr>
              <w:spacing w:line="300" w:lineRule="exact"/>
              <w:jc w:val="left"/>
              <w:rPr>
                <w:rFonts w:ascii="方正书宋_GBK" w:eastAsia="方正书宋_GBK"/>
              </w:rPr>
            </w:pPr>
            <w:r>
              <w:rPr>
                <w:rFonts w:ascii="方正书宋_GBK" w:eastAsia="方正书宋_GBK"/>
              </w:rPr>
              <w:t>5</w:t>
            </w:r>
            <w:r>
              <w:rPr>
                <w:rFonts w:hint="eastAsia" w:ascii="宋体" w:hAnsi="宋体" w:cs="宋体"/>
              </w:rPr>
              <w:t>、组织企业外出观摩学习。</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宋体" w:hAnsi="宋体" w:cs="宋体"/>
              </w:rPr>
              <w:t>产出指标</w:t>
            </w:r>
          </w:p>
        </w:tc>
        <w:tc>
          <w:tcPr>
            <w:tcW w:w="1134" w:type="dxa"/>
            <w:vAlign w:val="center"/>
          </w:tcPr>
          <w:p>
            <w:pPr>
              <w:rPr>
                <w:rFonts w:ascii="宋体" w:cs="宋体"/>
                <w:sz w:val="18"/>
                <w:szCs w:val="18"/>
              </w:rPr>
            </w:pPr>
            <w:r>
              <w:rPr>
                <w:rFonts w:hint="eastAsia"/>
                <w:sz w:val="18"/>
                <w:szCs w:val="18"/>
              </w:rPr>
              <w:t>成本指标</w:t>
            </w:r>
          </w:p>
        </w:tc>
        <w:tc>
          <w:tcPr>
            <w:tcW w:w="1276" w:type="dxa"/>
            <w:vAlign w:val="center"/>
          </w:tcPr>
          <w:p>
            <w:pPr>
              <w:rPr>
                <w:rFonts w:ascii="宋体" w:cs="宋体"/>
                <w:sz w:val="18"/>
                <w:szCs w:val="18"/>
              </w:rPr>
            </w:pPr>
            <w:r>
              <w:rPr>
                <w:rFonts w:hint="eastAsia"/>
                <w:sz w:val="18"/>
                <w:szCs w:val="18"/>
              </w:rPr>
              <w:t>工经联专项经费成本</w:t>
            </w:r>
          </w:p>
        </w:tc>
        <w:tc>
          <w:tcPr>
            <w:tcW w:w="2891" w:type="dxa"/>
            <w:vAlign w:val="center"/>
          </w:tcPr>
          <w:p>
            <w:pPr>
              <w:rPr>
                <w:rFonts w:ascii="宋体" w:cs="宋体"/>
                <w:sz w:val="18"/>
                <w:szCs w:val="18"/>
              </w:rPr>
            </w:pPr>
            <w:r>
              <w:rPr>
                <w:rFonts w:hint="eastAsia"/>
                <w:sz w:val="18"/>
                <w:szCs w:val="18"/>
              </w:rPr>
              <w:t>工经联专项经费成本工</w:t>
            </w:r>
            <w:r>
              <w:rPr>
                <w:sz w:val="18"/>
                <w:szCs w:val="18"/>
              </w:rPr>
              <w:t>77000</w:t>
            </w:r>
            <w:r>
              <w:rPr>
                <w:rFonts w:hint="eastAsia"/>
                <w:sz w:val="18"/>
                <w:szCs w:val="18"/>
              </w:rPr>
              <w:t>元</w:t>
            </w:r>
          </w:p>
        </w:tc>
        <w:tc>
          <w:tcPr>
            <w:tcW w:w="1276" w:type="dxa"/>
            <w:vAlign w:val="center"/>
          </w:tcPr>
          <w:p>
            <w:pPr>
              <w:spacing w:line="300" w:lineRule="exact"/>
              <w:jc w:val="left"/>
              <w:rPr>
                <w:rFonts w:ascii="方正书宋_GBK" w:eastAsia="方正书宋_GBK"/>
              </w:rPr>
            </w:pPr>
            <w:r>
              <w:rPr>
                <w:rFonts w:ascii="宋体" w:hAnsi="宋体" w:cs="宋体"/>
              </w:rPr>
              <w:t>77000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rPr>
                <w:rFonts w:ascii="宋体" w:cs="宋体"/>
                <w:sz w:val="18"/>
                <w:szCs w:val="18"/>
              </w:rPr>
            </w:pPr>
            <w:r>
              <w:rPr>
                <w:rFonts w:hint="eastAsia"/>
                <w:sz w:val="18"/>
                <w:szCs w:val="18"/>
              </w:rPr>
              <w:t>数量指标</w:t>
            </w:r>
          </w:p>
        </w:tc>
        <w:tc>
          <w:tcPr>
            <w:tcW w:w="1276" w:type="dxa"/>
            <w:vAlign w:val="center"/>
          </w:tcPr>
          <w:p>
            <w:pPr>
              <w:rPr>
                <w:rFonts w:ascii="宋体" w:cs="宋体"/>
                <w:sz w:val="18"/>
                <w:szCs w:val="18"/>
              </w:rPr>
            </w:pPr>
            <w:r>
              <w:rPr>
                <w:rFonts w:hint="eastAsia"/>
                <w:sz w:val="18"/>
                <w:szCs w:val="18"/>
              </w:rPr>
              <w:t>企业调研数量</w:t>
            </w:r>
          </w:p>
        </w:tc>
        <w:tc>
          <w:tcPr>
            <w:tcW w:w="2891" w:type="dxa"/>
            <w:vAlign w:val="center"/>
          </w:tcPr>
          <w:p>
            <w:pPr>
              <w:rPr>
                <w:rFonts w:ascii="宋体" w:cs="宋体"/>
                <w:sz w:val="18"/>
                <w:szCs w:val="18"/>
              </w:rPr>
            </w:pPr>
            <w:r>
              <w:rPr>
                <w:rFonts w:hint="eastAsia"/>
                <w:sz w:val="18"/>
                <w:szCs w:val="18"/>
              </w:rPr>
              <w:t>深入</w:t>
            </w:r>
            <w:r>
              <w:rPr>
                <w:sz w:val="18"/>
                <w:szCs w:val="18"/>
              </w:rPr>
              <w:t>10</w:t>
            </w:r>
            <w:r>
              <w:rPr>
                <w:rFonts w:hint="eastAsia"/>
                <w:sz w:val="18"/>
                <w:szCs w:val="18"/>
              </w:rPr>
              <w:t>家以上企业开展走访调研</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rPr>
                <w:rFonts w:ascii="宋体" w:cs="宋体"/>
                <w:sz w:val="18"/>
                <w:szCs w:val="18"/>
              </w:rPr>
            </w:pPr>
            <w:r>
              <w:rPr>
                <w:rFonts w:hint="eastAsia"/>
                <w:sz w:val="18"/>
                <w:szCs w:val="18"/>
              </w:rPr>
              <w:t>数量指标</w:t>
            </w:r>
          </w:p>
        </w:tc>
        <w:tc>
          <w:tcPr>
            <w:tcW w:w="1276" w:type="dxa"/>
            <w:vAlign w:val="center"/>
          </w:tcPr>
          <w:p>
            <w:pPr>
              <w:rPr>
                <w:rFonts w:ascii="宋体" w:cs="宋体"/>
                <w:sz w:val="18"/>
                <w:szCs w:val="18"/>
              </w:rPr>
            </w:pPr>
            <w:r>
              <w:rPr>
                <w:rFonts w:hint="eastAsia"/>
                <w:sz w:val="18"/>
                <w:szCs w:val="18"/>
              </w:rPr>
              <w:t>组织企业培训会数量</w:t>
            </w:r>
          </w:p>
        </w:tc>
        <w:tc>
          <w:tcPr>
            <w:tcW w:w="2891" w:type="dxa"/>
            <w:vAlign w:val="center"/>
          </w:tcPr>
          <w:p>
            <w:pPr>
              <w:rPr>
                <w:rFonts w:ascii="宋体" w:cs="宋体"/>
                <w:sz w:val="18"/>
                <w:szCs w:val="18"/>
              </w:rPr>
            </w:pPr>
            <w:r>
              <w:rPr>
                <w:rFonts w:hint="eastAsia"/>
                <w:sz w:val="18"/>
                <w:szCs w:val="18"/>
              </w:rPr>
              <w:t>组织</w:t>
            </w:r>
            <w:r>
              <w:rPr>
                <w:sz w:val="18"/>
                <w:szCs w:val="18"/>
              </w:rPr>
              <w:t>50</w:t>
            </w:r>
            <w:r>
              <w:rPr>
                <w:rFonts w:hint="eastAsia"/>
                <w:sz w:val="18"/>
                <w:szCs w:val="18"/>
              </w:rPr>
              <w:t>家以上企业开展培训会</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宋体" w:hAnsi="宋体" w:cs="宋体"/>
              </w:rPr>
              <w:t>效果指标</w:t>
            </w:r>
          </w:p>
        </w:tc>
        <w:tc>
          <w:tcPr>
            <w:tcW w:w="1134" w:type="dxa"/>
            <w:vAlign w:val="center"/>
          </w:tcPr>
          <w:p>
            <w:pPr>
              <w:rPr>
                <w:rFonts w:ascii="宋体" w:cs="宋体"/>
                <w:sz w:val="18"/>
                <w:szCs w:val="18"/>
              </w:rPr>
            </w:pPr>
            <w:r>
              <w:rPr>
                <w:rFonts w:hint="eastAsia"/>
                <w:sz w:val="18"/>
                <w:szCs w:val="18"/>
              </w:rPr>
              <w:t>经济效益指标</w:t>
            </w:r>
          </w:p>
        </w:tc>
        <w:tc>
          <w:tcPr>
            <w:tcW w:w="1276" w:type="dxa"/>
            <w:vAlign w:val="center"/>
          </w:tcPr>
          <w:p>
            <w:pPr>
              <w:rPr>
                <w:rFonts w:ascii="宋体" w:cs="宋体"/>
                <w:sz w:val="18"/>
                <w:szCs w:val="18"/>
              </w:rPr>
            </w:pPr>
            <w:r>
              <w:rPr>
                <w:rFonts w:hint="eastAsia"/>
                <w:sz w:val="18"/>
                <w:szCs w:val="18"/>
              </w:rPr>
              <w:t>企业融资率</w:t>
            </w:r>
          </w:p>
        </w:tc>
        <w:tc>
          <w:tcPr>
            <w:tcW w:w="2891" w:type="dxa"/>
            <w:vAlign w:val="center"/>
          </w:tcPr>
          <w:p>
            <w:pPr>
              <w:rPr>
                <w:rFonts w:ascii="宋体" w:cs="宋体"/>
                <w:sz w:val="18"/>
                <w:szCs w:val="18"/>
              </w:rPr>
            </w:pPr>
            <w:r>
              <w:rPr>
                <w:rFonts w:hint="eastAsia"/>
                <w:sz w:val="18"/>
                <w:szCs w:val="18"/>
              </w:rPr>
              <w:t>召开</w:t>
            </w:r>
            <w:r>
              <w:rPr>
                <w:sz w:val="18"/>
                <w:szCs w:val="18"/>
              </w:rPr>
              <w:t>2</w:t>
            </w:r>
            <w:r>
              <w:rPr>
                <w:rFonts w:hint="eastAsia"/>
                <w:sz w:val="18"/>
                <w:szCs w:val="18"/>
              </w:rPr>
              <w:t>次银企对接会，力争为</w:t>
            </w:r>
            <w:r>
              <w:rPr>
                <w:sz w:val="18"/>
                <w:szCs w:val="18"/>
              </w:rPr>
              <w:t>3</w:t>
            </w:r>
            <w:r>
              <w:rPr>
                <w:rFonts w:hint="eastAsia"/>
                <w:sz w:val="18"/>
                <w:szCs w:val="18"/>
              </w:rPr>
              <w:t>家以上企业融资成功。</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宋体" w:hAnsi="宋体" w:cs="宋体"/>
              </w:rPr>
              <w:t>满意度指标</w:t>
            </w:r>
          </w:p>
        </w:tc>
        <w:tc>
          <w:tcPr>
            <w:tcW w:w="1134" w:type="dxa"/>
            <w:vAlign w:val="center"/>
          </w:tcPr>
          <w:p>
            <w:pPr>
              <w:jc w:val="center"/>
              <w:rPr>
                <w:rFonts w:ascii="宋体" w:cs="宋体"/>
                <w:sz w:val="18"/>
                <w:szCs w:val="18"/>
              </w:rPr>
            </w:pPr>
            <w:r>
              <w:rPr>
                <w:rFonts w:hint="eastAsia"/>
                <w:sz w:val="18"/>
                <w:szCs w:val="18"/>
              </w:rPr>
              <w:t>服务对象满意度指标</w:t>
            </w:r>
          </w:p>
        </w:tc>
        <w:tc>
          <w:tcPr>
            <w:tcW w:w="1276" w:type="dxa"/>
            <w:vAlign w:val="center"/>
          </w:tcPr>
          <w:p>
            <w:pPr>
              <w:rPr>
                <w:rFonts w:ascii="宋体" w:cs="宋体"/>
                <w:sz w:val="18"/>
                <w:szCs w:val="18"/>
              </w:rPr>
            </w:pPr>
            <w:r>
              <w:rPr>
                <w:rFonts w:hint="eastAsia"/>
                <w:sz w:val="18"/>
                <w:szCs w:val="18"/>
              </w:rPr>
              <w:t>企业满意度</w:t>
            </w:r>
          </w:p>
        </w:tc>
        <w:tc>
          <w:tcPr>
            <w:tcW w:w="2891" w:type="dxa"/>
            <w:vAlign w:val="center"/>
          </w:tcPr>
          <w:p>
            <w:pPr>
              <w:rPr>
                <w:rFonts w:ascii="宋体" w:cs="宋体"/>
                <w:sz w:val="18"/>
                <w:szCs w:val="18"/>
              </w:rPr>
            </w:pPr>
            <w:r>
              <w:rPr>
                <w:rFonts w:hint="eastAsia"/>
                <w:sz w:val="18"/>
                <w:szCs w:val="18"/>
              </w:rPr>
              <w:t>企业是否满意</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bl>
    <w:p>
      <w:pPr>
        <w:ind w:left="525" w:leftChars="250"/>
        <w:jc w:val="left"/>
        <w:outlineLvl w:val="1"/>
        <w:rPr>
          <w:rFonts w:ascii="Times New Roman" w:hAnsi="宋体"/>
          <w:b/>
          <w:sz w:val="28"/>
        </w:rPr>
      </w:pPr>
      <w:r>
        <w:rPr>
          <w:rFonts w:ascii="方正仿宋_GBK" w:eastAsia="方正仿宋_GBK"/>
          <w:b/>
          <w:sz w:val="28"/>
        </w:rPr>
        <w:t>2</w:t>
      </w:r>
      <w:r>
        <w:rPr>
          <w:rFonts w:hint="eastAsia" w:ascii="方正仿宋_GBK" w:eastAsia="方正仿宋_GBK"/>
          <w:b/>
          <w:sz w:val="28"/>
        </w:rPr>
        <w:t>、《隆尧县工业志》编纂项目绩效目标表</w:t>
      </w:r>
      <w:r>
        <w:rPr>
          <w:rFonts w:ascii="方正仿宋_GBK" w:eastAsia="方正仿宋_GBK"/>
          <w:b/>
          <w:sz w:val="28"/>
        </w:rPr>
        <w:fldChar w:fldCharType="begin"/>
      </w:r>
      <w:r>
        <w:rPr>
          <w:rFonts w:ascii="方正仿宋_GBK" w:eastAsia="方正仿宋_GBK"/>
          <w:b/>
          <w:sz w:val="28"/>
        </w:rPr>
        <w:instrText xml:space="preserve">tc "3</w:instrText>
      </w:r>
      <w:r>
        <w:rPr>
          <w:rFonts w:hint="eastAsia" w:ascii="方正仿宋_GBK" w:eastAsia="方正仿宋_GBK"/>
          <w:b/>
          <w:sz w:val="28"/>
        </w:rPr>
        <w:instrText xml:space="preserve">、第三方评价工作经费绩效目标表</w:instrText>
      </w:r>
      <w:r>
        <w:rPr>
          <w:rFonts w:ascii="方正仿宋_GBK" w:eastAsia="方正仿宋_GBK"/>
          <w:b/>
          <w:sz w:val="28"/>
        </w:rPr>
        <w:instrText xml:space="preserve">" \f C \l 01</w:instrText>
      </w:r>
      <w:r>
        <w:rPr>
          <w:rFonts w:ascii="方正仿宋_GBK" w:eastAsia="方正仿宋_GBK"/>
          <w:b/>
          <w:sz w:val="28"/>
        </w:rPr>
        <w:fldChar w:fldCharType="end"/>
      </w:r>
    </w:p>
    <w:tbl>
      <w:tblPr>
        <w:tblStyle w:val="7"/>
        <w:tblW w:w="9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6577"/>
        <w:gridCol w:w="1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852"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c>
          <w:tcPr>
            <w:tcW w:w="1716"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tcBorders>
              <w:bottom w:val="nil"/>
            </w:tcBorders>
            <w:vAlign w:val="center"/>
          </w:tcPr>
          <w:p>
            <w:pPr>
              <w:spacing w:line="300" w:lineRule="exact"/>
              <w:jc w:val="center"/>
              <w:rPr>
                <w:rFonts w:ascii="方正书宋_GBK" w:eastAsia="方正书宋_GBK"/>
                <w:b/>
              </w:rPr>
            </w:pPr>
            <w:r>
              <w:rPr>
                <w:rFonts w:hint="eastAsia" w:ascii="宋体" w:hAnsi="宋体" w:cs="宋体"/>
                <w:b/>
              </w:rPr>
              <w:t>绩效目标</w:t>
            </w:r>
          </w:p>
        </w:tc>
        <w:tc>
          <w:tcPr>
            <w:tcW w:w="8293" w:type="dxa"/>
            <w:gridSpan w:val="2"/>
            <w:tcBorders>
              <w:bottom w:val="nil"/>
            </w:tcBorders>
            <w:vAlign w:val="center"/>
          </w:tcPr>
          <w:p>
            <w:pPr>
              <w:spacing w:line="300" w:lineRule="exact"/>
              <w:jc w:val="left"/>
              <w:rPr>
                <w:rFonts w:ascii="方正书宋_GBK" w:eastAsia="方正书宋_GBK"/>
              </w:rPr>
            </w:pPr>
            <w:r>
              <w:rPr>
                <w:rFonts w:hint="eastAsia" w:ascii="宋体" w:hAnsi="宋体" w:cs="宋体"/>
              </w:rPr>
              <w:t>聘请相关人员计划三年时间完成《隆尧县工业志》的出版发行，全面系统、客观真实、丰富准确地记载隆尧县工业发展历程。</w:t>
            </w:r>
            <w:r>
              <w:rPr>
                <w:rFonts w:ascii="方正书宋_GBK" w:eastAsia="方正书宋_GBK"/>
              </w:rPr>
              <w:t>2018</w:t>
            </w:r>
            <w:r>
              <w:rPr>
                <w:rFonts w:hint="eastAsia" w:ascii="宋体" w:hAnsi="宋体" w:cs="宋体"/>
              </w:rPr>
              <w:t>年完成资料收集和部分章节初稿；</w:t>
            </w:r>
            <w:r>
              <w:rPr>
                <w:rFonts w:ascii="方正书宋_GBK" w:eastAsia="方正书宋_GBK"/>
              </w:rPr>
              <w:t>2019</w:t>
            </w:r>
            <w:r>
              <w:rPr>
                <w:rFonts w:hint="eastAsia" w:ascii="宋体" w:hAnsi="宋体" w:cs="宋体"/>
              </w:rPr>
              <w:t>年完成初稿组稿及初审；</w:t>
            </w:r>
            <w:r>
              <w:rPr>
                <w:rFonts w:ascii="方正书宋_GBK" w:eastAsia="方正书宋_GBK"/>
              </w:rPr>
              <w:t>2020</w:t>
            </w:r>
            <w:r>
              <w:rPr>
                <w:rFonts w:hint="eastAsia" w:ascii="宋体" w:hAnsi="宋体" w:cs="宋体"/>
              </w:rPr>
              <w:t>年出版发行。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6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1"/>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41" w:type="dxa"/>
            <w:vAlign w:val="center"/>
          </w:tcPr>
          <w:p>
            <w:pPr>
              <w:spacing w:line="300" w:lineRule="exact"/>
              <w:jc w:val="center"/>
              <w:rPr>
                <w:rFonts w:ascii="方正书宋_GBK" w:eastAsia="方正书宋_GBK"/>
                <w:b/>
              </w:rPr>
            </w:pPr>
            <w:r>
              <w:rPr>
                <w:rFonts w:hint="eastAsia" w:ascii="宋体" w:hAnsi="宋体" w:cs="宋体"/>
                <w:b/>
              </w:rPr>
              <w:t>一级指标</w:t>
            </w:r>
          </w:p>
        </w:tc>
        <w:tc>
          <w:tcPr>
            <w:tcW w:w="1134" w:type="dxa"/>
            <w:vAlign w:val="center"/>
          </w:tcPr>
          <w:p>
            <w:pPr>
              <w:spacing w:line="300" w:lineRule="exact"/>
              <w:jc w:val="center"/>
              <w:rPr>
                <w:rFonts w:ascii="方正书宋_GBK" w:eastAsia="方正书宋_GBK"/>
                <w:b/>
              </w:rPr>
            </w:pPr>
            <w:r>
              <w:rPr>
                <w:rFonts w:hint="eastAsia" w:ascii="宋体" w:hAnsi="宋体" w:cs="宋体"/>
                <w:b/>
              </w:rPr>
              <w:t>二级指标</w:t>
            </w:r>
          </w:p>
        </w:tc>
        <w:tc>
          <w:tcPr>
            <w:tcW w:w="1276" w:type="dxa"/>
            <w:vAlign w:val="center"/>
          </w:tcPr>
          <w:p>
            <w:pPr>
              <w:spacing w:line="300" w:lineRule="exact"/>
              <w:jc w:val="center"/>
              <w:rPr>
                <w:rFonts w:ascii="方正书宋_GBK" w:eastAsia="方正书宋_GBK"/>
                <w:b/>
              </w:rPr>
            </w:pPr>
            <w:r>
              <w:rPr>
                <w:rFonts w:hint="eastAsia" w:ascii="宋体" w:hAnsi="宋体" w:cs="宋体"/>
                <w:b/>
              </w:rPr>
              <w:t>三级指标</w:t>
            </w:r>
          </w:p>
        </w:tc>
        <w:tc>
          <w:tcPr>
            <w:tcW w:w="2891" w:type="dxa"/>
            <w:vAlign w:val="center"/>
          </w:tcPr>
          <w:p>
            <w:pPr>
              <w:spacing w:line="300" w:lineRule="exact"/>
              <w:jc w:val="center"/>
              <w:rPr>
                <w:rFonts w:ascii="方正书宋_GBK" w:eastAsia="方正书宋_GBK"/>
                <w:b/>
              </w:rPr>
            </w:pPr>
            <w:r>
              <w:rPr>
                <w:rFonts w:hint="eastAsia" w:ascii="宋体" w:hAnsi="宋体" w:cs="宋体"/>
                <w:b/>
              </w:rPr>
              <w:t>绩效指标描述</w:t>
            </w:r>
          </w:p>
        </w:tc>
        <w:tc>
          <w:tcPr>
            <w:tcW w:w="1276" w:type="dxa"/>
            <w:vAlign w:val="center"/>
          </w:tcPr>
          <w:p>
            <w:pPr>
              <w:spacing w:line="300" w:lineRule="exact"/>
              <w:jc w:val="center"/>
              <w:rPr>
                <w:rFonts w:ascii="方正书宋_GBK" w:eastAsia="方正书宋_GBK"/>
                <w:b/>
              </w:rPr>
            </w:pPr>
            <w:r>
              <w:rPr>
                <w:rFonts w:hint="eastAsia" w:ascii="宋体" w:hAnsi="宋体" w:cs="宋体"/>
                <w:b/>
              </w:rPr>
              <w:t>指标值</w:t>
            </w:r>
          </w:p>
        </w:tc>
        <w:tc>
          <w:tcPr>
            <w:tcW w:w="1701" w:type="dxa"/>
            <w:vAlign w:val="center"/>
          </w:tcPr>
          <w:p>
            <w:pPr>
              <w:spacing w:line="300" w:lineRule="exact"/>
              <w:jc w:val="center"/>
              <w:rPr>
                <w:rFonts w:ascii="方正书宋_GBK" w:eastAsia="方正书宋_GBK"/>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41" w:type="dxa"/>
            <w:vMerge w:val="restart"/>
            <w:vAlign w:val="center"/>
          </w:tcPr>
          <w:p>
            <w:pPr>
              <w:spacing w:line="300" w:lineRule="exact"/>
              <w:jc w:val="center"/>
              <w:rPr>
                <w:rFonts w:ascii="方正书宋_GBK" w:eastAsia="方正书宋_GBK"/>
              </w:rPr>
            </w:pPr>
            <w:r>
              <w:rPr>
                <w:rFonts w:hint="eastAsia" w:ascii="宋体" w:hAnsi="宋体" w:cs="宋体"/>
              </w:rPr>
              <w:t>产出指标</w:t>
            </w:r>
          </w:p>
        </w:tc>
        <w:tc>
          <w:tcPr>
            <w:tcW w:w="1134" w:type="dxa"/>
            <w:vAlign w:val="center"/>
          </w:tcPr>
          <w:p>
            <w:pPr>
              <w:rPr>
                <w:rFonts w:ascii="宋体" w:cs="宋体"/>
                <w:sz w:val="18"/>
                <w:szCs w:val="18"/>
              </w:rPr>
            </w:pPr>
            <w:r>
              <w:rPr>
                <w:rFonts w:hint="eastAsia"/>
                <w:sz w:val="18"/>
                <w:szCs w:val="18"/>
              </w:rPr>
              <w:t>数量指标</w:t>
            </w:r>
          </w:p>
        </w:tc>
        <w:tc>
          <w:tcPr>
            <w:tcW w:w="1276" w:type="dxa"/>
            <w:vAlign w:val="center"/>
          </w:tcPr>
          <w:p>
            <w:pPr>
              <w:rPr>
                <w:rFonts w:ascii="宋体" w:cs="宋体"/>
                <w:sz w:val="18"/>
                <w:szCs w:val="18"/>
              </w:rPr>
            </w:pPr>
            <w:r>
              <w:rPr>
                <w:rFonts w:hint="eastAsia"/>
                <w:sz w:val="18"/>
                <w:szCs w:val="18"/>
              </w:rPr>
              <w:t>编纂数量</w:t>
            </w:r>
          </w:p>
        </w:tc>
        <w:tc>
          <w:tcPr>
            <w:tcW w:w="2891" w:type="dxa"/>
            <w:vAlign w:val="center"/>
          </w:tcPr>
          <w:p>
            <w:pPr>
              <w:rPr>
                <w:rFonts w:ascii="宋体" w:cs="宋体"/>
                <w:sz w:val="18"/>
                <w:szCs w:val="18"/>
              </w:rPr>
            </w:pPr>
            <w:r>
              <w:rPr>
                <w:rFonts w:hint="eastAsia"/>
                <w:sz w:val="18"/>
                <w:szCs w:val="18"/>
              </w:rPr>
              <w:t>《隆尧县工业志》</w:t>
            </w:r>
            <w:r>
              <w:rPr>
                <w:sz w:val="18"/>
                <w:szCs w:val="18"/>
              </w:rPr>
              <w:t>1</w:t>
            </w:r>
            <w:r>
              <w:rPr>
                <w:rFonts w:hint="eastAsia"/>
                <w:sz w:val="18"/>
                <w:szCs w:val="18"/>
              </w:rPr>
              <w:t>本</w:t>
            </w:r>
          </w:p>
        </w:tc>
        <w:tc>
          <w:tcPr>
            <w:tcW w:w="1276" w:type="dxa"/>
            <w:vAlign w:val="center"/>
          </w:tcPr>
          <w:p>
            <w:pPr>
              <w:rPr>
                <w:rFonts w:ascii="宋体" w:cs="宋体"/>
                <w:sz w:val="18"/>
                <w:szCs w:val="18"/>
              </w:rPr>
            </w:pPr>
            <w:r>
              <w:rPr>
                <w:sz w:val="18"/>
                <w:szCs w:val="18"/>
              </w:rPr>
              <w:t>=1</w:t>
            </w:r>
            <w:r>
              <w:rPr>
                <w:rFonts w:hint="eastAsia"/>
                <w:sz w:val="18"/>
                <w:szCs w:val="18"/>
              </w:rPr>
              <w:t>本</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41" w:type="dxa"/>
            <w:vMerge w:val="continue"/>
            <w:vAlign w:val="center"/>
          </w:tcPr>
          <w:p>
            <w:pPr>
              <w:spacing w:line="300" w:lineRule="exact"/>
              <w:jc w:val="center"/>
              <w:rPr>
                <w:rFonts w:ascii="方正书宋_GBK" w:eastAsia="方正书宋_GBK"/>
              </w:rPr>
            </w:pPr>
          </w:p>
        </w:tc>
        <w:tc>
          <w:tcPr>
            <w:tcW w:w="1134" w:type="dxa"/>
            <w:vAlign w:val="center"/>
          </w:tcPr>
          <w:p>
            <w:pPr>
              <w:rPr>
                <w:rFonts w:ascii="宋体" w:cs="宋体"/>
                <w:sz w:val="18"/>
                <w:szCs w:val="18"/>
              </w:rPr>
            </w:pPr>
            <w:r>
              <w:rPr>
                <w:rFonts w:hint="eastAsia"/>
                <w:sz w:val="18"/>
                <w:szCs w:val="18"/>
              </w:rPr>
              <w:t>成本指标</w:t>
            </w:r>
          </w:p>
        </w:tc>
        <w:tc>
          <w:tcPr>
            <w:tcW w:w="1276" w:type="dxa"/>
            <w:vAlign w:val="center"/>
          </w:tcPr>
          <w:p>
            <w:pPr>
              <w:rPr>
                <w:rFonts w:ascii="宋体" w:cs="宋体"/>
                <w:sz w:val="18"/>
                <w:szCs w:val="18"/>
              </w:rPr>
            </w:pPr>
            <w:r>
              <w:rPr>
                <w:rFonts w:hint="eastAsia"/>
                <w:sz w:val="18"/>
                <w:szCs w:val="18"/>
              </w:rPr>
              <w:t>《隆尧县工业志》编纂项目成本</w:t>
            </w:r>
          </w:p>
        </w:tc>
        <w:tc>
          <w:tcPr>
            <w:tcW w:w="2891" w:type="dxa"/>
            <w:vAlign w:val="center"/>
          </w:tcPr>
          <w:p>
            <w:pPr>
              <w:rPr>
                <w:rFonts w:ascii="宋体" w:cs="宋体"/>
                <w:sz w:val="18"/>
                <w:szCs w:val="18"/>
              </w:rPr>
            </w:pPr>
            <w:r>
              <w:rPr>
                <w:rFonts w:hint="eastAsia"/>
                <w:sz w:val="18"/>
                <w:szCs w:val="18"/>
              </w:rPr>
              <w:t>《隆尧县工业志》编纂项目成本共</w:t>
            </w:r>
            <w:r>
              <w:rPr>
                <w:sz w:val="18"/>
                <w:szCs w:val="18"/>
              </w:rPr>
              <w:t>30</w:t>
            </w:r>
            <w:r>
              <w:rPr>
                <w:rFonts w:hint="eastAsia"/>
                <w:sz w:val="18"/>
                <w:szCs w:val="18"/>
              </w:rPr>
              <w:t>万元</w:t>
            </w:r>
          </w:p>
        </w:tc>
        <w:tc>
          <w:tcPr>
            <w:tcW w:w="1276" w:type="dxa"/>
            <w:vAlign w:val="center"/>
          </w:tcPr>
          <w:p>
            <w:pPr>
              <w:rPr>
                <w:rFonts w:ascii="宋体" w:cs="宋体"/>
                <w:sz w:val="18"/>
                <w:szCs w:val="18"/>
              </w:rPr>
            </w:pPr>
            <w:r>
              <w:rPr>
                <w:sz w:val="18"/>
                <w:szCs w:val="18"/>
              </w:rPr>
              <w:t>=30</w:t>
            </w:r>
            <w:r>
              <w:rPr>
                <w:rFonts w:hint="eastAsia"/>
                <w:sz w:val="18"/>
                <w:szCs w:val="18"/>
              </w:rPr>
              <w:t>万</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41" w:type="dxa"/>
            <w:vAlign w:val="center"/>
          </w:tcPr>
          <w:p>
            <w:pPr>
              <w:spacing w:line="300" w:lineRule="exact"/>
              <w:jc w:val="center"/>
              <w:rPr>
                <w:rFonts w:ascii="方正书宋_GBK" w:eastAsia="方正书宋_GBK"/>
              </w:rPr>
            </w:pPr>
            <w:r>
              <w:rPr>
                <w:rFonts w:hint="eastAsia" w:ascii="宋体" w:hAnsi="宋体" w:cs="宋体"/>
              </w:rPr>
              <w:t>效果指标</w:t>
            </w:r>
          </w:p>
        </w:tc>
        <w:tc>
          <w:tcPr>
            <w:tcW w:w="1134" w:type="dxa"/>
            <w:vAlign w:val="center"/>
          </w:tcPr>
          <w:p>
            <w:pPr>
              <w:rPr>
                <w:rFonts w:ascii="宋体" w:cs="宋体"/>
                <w:sz w:val="18"/>
                <w:szCs w:val="18"/>
              </w:rPr>
            </w:pPr>
            <w:r>
              <w:rPr>
                <w:rFonts w:hint="eastAsia"/>
                <w:sz w:val="18"/>
                <w:szCs w:val="18"/>
              </w:rPr>
              <w:t>社会效益指标</w:t>
            </w:r>
          </w:p>
        </w:tc>
        <w:tc>
          <w:tcPr>
            <w:tcW w:w="1276" w:type="dxa"/>
            <w:vAlign w:val="center"/>
          </w:tcPr>
          <w:p>
            <w:pPr>
              <w:rPr>
                <w:rFonts w:ascii="宋体" w:cs="宋体"/>
                <w:sz w:val="18"/>
                <w:szCs w:val="18"/>
              </w:rPr>
            </w:pPr>
            <w:r>
              <w:rPr>
                <w:rFonts w:hint="eastAsia"/>
                <w:sz w:val="18"/>
                <w:szCs w:val="18"/>
              </w:rPr>
              <w:t>是否准确记录隆尧工业发展历程</w:t>
            </w:r>
          </w:p>
        </w:tc>
        <w:tc>
          <w:tcPr>
            <w:tcW w:w="2891" w:type="dxa"/>
            <w:vAlign w:val="center"/>
          </w:tcPr>
          <w:p>
            <w:pPr>
              <w:rPr>
                <w:rFonts w:ascii="宋体" w:cs="宋体"/>
                <w:sz w:val="18"/>
                <w:szCs w:val="18"/>
              </w:rPr>
            </w:pPr>
            <w:r>
              <w:rPr>
                <w:rFonts w:hint="eastAsia"/>
                <w:sz w:val="18"/>
                <w:szCs w:val="18"/>
              </w:rPr>
              <w:t>全面系统、客观真实、丰富准确地记载隆尧县工业发展历程</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41" w:type="dxa"/>
            <w:vAlign w:val="center"/>
          </w:tcPr>
          <w:p>
            <w:pPr>
              <w:spacing w:line="300" w:lineRule="exact"/>
              <w:jc w:val="center"/>
              <w:rPr>
                <w:rFonts w:ascii="方正书宋_GBK" w:eastAsia="方正书宋_GBK"/>
              </w:rPr>
            </w:pPr>
            <w:r>
              <w:rPr>
                <w:rFonts w:hint="eastAsia" w:ascii="宋体" w:hAnsi="宋体" w:cs="宋体"/>
              </w:rPr>
              <w:t>满意度指标</w:t>
            </w:r>
          </w:p>
        </w:tc>
        <w:tc>
          <w:tcPr>
            <w:tcW w:w="1134" w:type="dxa"/>
            <w:vAlign w:val="center"/>
          </w:tcPr>
          <w:p>
            <w:pPr>
              <w:jc w:val="center"/>
              <w:rPr>
                <w:rFonts w:ascii="宋体" w:cs="宋体"/>
                <w:sz w:val="18"/>
                <w:szCs w:val="18"/>
              </w:rPr>
            </w:pPr>
            <w:r>
              <w:rPr>
                <w:rFonts w:hint="eastAsia"/>
                <w:sz w:val="18"/>
                <w:szCs w:val="18"/>
              </w:rPr>
              <w:t>服务对象满意度指标</w:t>
            </w:r>
          </w:p>
        </w:tc>
        <w:tc>
          <w:tcPr>
            <w:tcW w:w="1276" w:type="dxa"/>
            <w:vAlign w:val="center"/>
          </w:tcPr>
          <w:p>
            <w:pPr>
              <w:rPr>
                <w:rFonts w:ascii="宋体" w:cs="宋体"/>
                <w:sz w:val="18"/>
                <w:szCs w:val="18"/>
              </w:rPr>
            </w:pPr>
            <w:r>
              <w:rPr>
                <w:rFonts w:hint="eastAsia"/>
                <w:sz w:val="18"/>
                <w:szCs w:val="18"/>
              </w:rPr>
              <w:t>群众满意度</w:t>
            </w:r>
          </w:p>
        </w:tc>
        <w:tc>
          <w:tcPr>
            <w:tcW w:w="2891" w:type="dxa"/>
            <w:vAlign w:val="center"/>
          </w:tcPr>
          <w:p>
            <w:pPr>
              <w:rPr>
                <w:rFonts w:ascii="宋体" w:cs="宋体"/>
                <w:sz w:val="18"/>
                <w:szCs w:val="18"/>
              </w:rPr>
            </w:pPr>
            <w:r>
              <w:rPr>
                <w:rFonts w:hint="eastAsia"/>
                <w:sz w:val="18"/>
                <w:szCs w:val="18"/>
              </w:rPr>
              <w:t>社会反响良好，群众满意度高</w:t>
            </w:r>
          </w:p>
        </w:tc>
        <w:tc>
          <w:tcPr>
            <w:tcW w:w="1276" w:type="dxa"/>
            <w:vAlign w:val="center"/>
          </w:tcPr>
          <w:p>
            <w:pPr>
              <w:spacing w:line="300" w:lineRule="exact"/>
              <w:jc w:val="left"/>
              <w:rPr>
                <w:rFonts w:ascii="方正书宋_GBK" w:eastAsia="方正书宋_GBK"/>
              </w:rPr>
            </w:pPr>
            <w:r>
              <w:rPr>
                <w:rFonts w:hint="eastAsia" w:ascii="宋体" w:hAnsi="宋体" w:cs="宋体"/>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宋体" w:hAnsi="宋体" w:cs="宋体"/>
              </w:rPr>
              <w:t>计划标准</w:t>
            </w:r>
          </w:p>
        </w:tc>
      </w:tr>
    </w:tbl>
    <w:p>
      <w:pPr>
        <w:outlineLvl w:val="0"/>
        <w:rPr>
          <w:rFonts w:ascii="方正小标宋_GBK" w:eastAsia="方正小标宋_GBK" w:cs="Times New Roman"/>
          <w:sz w:val="32"/>
          <w:szCs w:val="32"/>
        </w:rPr>
      </w:pPr>
    </w:p>
    <w:bookmarkEnd w:id="3"/>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5"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5.3</w:t>
      </w:r>
      <w:r>
        <w:rPr>
          <w:rFonts w:hint="eastAsia" w:ascii="Times New Roman" w:hAnsi="Times New Roman" w:eastAsia="仿宋" w:cs="仿宋"/>
          <w:sz w:val="32"/>
          <w:szCs w:val="32"/>
        </w:rPr>
        <w:t>万元。具体内容见下表。</w:t>
      </w:r>
      <w:bookmarkEnd w:id="5"/>
    </w:p>
    <w:p>
      <w:pPr>
        <w:jc w:val="center"/>
        <w:outlineLvl w:val="0"/>
        <w:rPr>
          <w:rFonts w:ascii="方正小标宋_GBK" w:eastAsia="方正小标宋_GBK" w:cs="Times New Roman"/>
          <w:sz w:val="32"/>
          <w:szCs w:val="32"/>
        </w:rPr>
      </w:pPr>
      <w:bookmarkStart w:id="6" w:name="_Toc1996717"/>
      <w:bookmarkStart w:id="7" w:name="_Toc535404684"/>
      <w:r>
        <w:rPr>
          <w:rFonts w:hint="eastAsia" w:ascii="方正小标宋_GBK" w:eastAsia="方正小标宋_GBK" w:cs="方正小标宋_GBK"/>
          <w:sz w:val="32"/>
          <w:szCs w:val="32"/>
        </w:rPr>
        <w:t>部门政府采购预算</w:t>
      </w:r>
      <w:bookmarkEnd w:id="6"/>
    </w:p>
    <w:tbl>
      <w:tblPr>
        <w:tblStyle w:val="7"/>
        <w:tblW w:w="485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332"/>
        <w:gridCol w:w="633"/>
        <w:gridCol w:w="2588"/>
        <w:gridCol w:w="1184"/>
        <w:gridCol w:w="488"/>
        <w:gridCol w:w="733"/>
        <w:gridCol w:w="859"/>
        <w:gridCol w:w="742"/>
        <w:gridCol w:w="655"/>
        <w:gridCol w:w="1019"/>
        <w:gridCol w:w="815"/>
        <w:gridCol w:w="853"/>
        <w:gridCol w:w="870"/>
        <w:gridCol w:w="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24" w:type="pct"/>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766</w:t>
            </w:r>
            <w:r>
              <w:rPr>
                <w:rFonts w:hint="eastAsia" w:ascii="方正小标宋_GBK" w:eastAsia="方正小标宋_GBK" w:cs="方正小标宋_GBK"/>
                <w:sz w:val="24"/>
                <w:szCs w:val="24"/>
              </w:rPr>
              <w:t>隆尧县工业经济联合会秘书处</w:t>
            </w:r>
          </w:p>
        </w:tc>
        <w:tc>
          <w:tcPr>
            <w:tcW w:w="1976" w:type="pct"/>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w:t>
            </w:r>
            <w:r>
              <w:rPr>
                <w:rFonts w:hint="eastAsia" w:ascii="宋体" w:hAnsi="宋体" w:cs="宋体"/>
                <w:sz w:val="24"/>
                <w:szCs w:val="24"/>
              </w:rPr>
              <w:t>万</w:t>
            </w:r>
            <w:r>
              <w:rPr>
                <w:rFonts w:hint="eastAsia" w:ascii="方正书宋_GBK" w:eastAsia="方正书宋_GBK" w:cs="方正书宋_GBK"/>
                <w:sz w:val="24"/>
                <w:szCs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19" w:type="pct"/>
            <w:gridSpan w:val="2"/>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政府采购项目来源</w:t>
            </w:r>
          </w:p>
        </w:tc>
        <w:tc>
          <w:tcPr>
            <w:tcW w:w="889"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采购物品名称</w:t>
            </w:r>
          </w:p>
        </w:tc>
        <w:tc>
          <w:tcPr>
            <w:tcW w:w="401"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政府采购目录序号</w:t>
            </w:r>
          </w:p>
        </w:tc>
        <w:tc>
          <w:tcPr>
            <w:tcW w:w="168"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数量</w:t>
            </w:r>
            <w:r>
              <w:rPr>
                <w:rFonts w:ascii="方正书宋_GBK" w:eastAsia="方正书宋_GBK" w:cs="方正书宋_GBK"/>
              </w:rPr>
              <w:t xml:space="preserve">  </w:t>
            </w:r>
            <w:r>
              <w:rPr>
                <w:rFonts w:hint="eastAsia" w:ascii="方正书宋_GBK" w:eastAsia="方正书宋_GBK" w:cs="方正书宋_GBK"/>
              </w:rPr>
              <w:t>单位</w:t>
            </w:r>
          </w:p>
        </w:tc>
        <w:tc>
          <w:tcPr>
            <w:tcW w:w="252"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数量</w:t>
            </w:r>
          </w:p>
        </w:tc>
        <w:tc>
          <w:tcPr>
            <w:tcW w:w="294"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单价</w:t>
            </w:r>
          </w:p>
        </w:tc>
        <w:tc>
          <w:tcPr>
            <w:tcW w:w="1976" w:type="pct"/>
            <w:gridSpan w:val="7"/>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01"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项目名称</w:t>
            </w:r>
          </w:p>
        </w:tc>
        <w:tc>
          <w:tcPr>
            <w:tcW w:w="217"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预算资金</w:t>
            </w:r>
          </w:p>
        </w:tc>
        <w:tc>
          <w:tcPr>
            <w:tcW w:w="889" w:type="pct"/>
            <w:vMerge w:val="continue"/>
            <w:vAlign w:val="center"/>
          </w:tcPr>
          <w:p>
            <w:pPr>
              <w:spacing w:line="300" w:lineRule="exact"/>
              <w:jc w:val="left"/>
              <w:outlineLvl w:val="0"/>
              <w:rPr>
                <w:rFonts w:cs="Times New Roman"/>
              </w:rPr>
            </w:pPr>
          </w:p>
        </w:tc>
        <w:tc>
          <w:tcPr>
            <w:tcW w:w="401" w:type="pct"/>
            <w:vMerge w:val="continue"/>
            <w:vAlign w:val="center"/>
          </w:tcPr>
          <w:p>
            <w:pPr>
              <w:spacing w:line="300" w:lineRule="exact"/>
              <w:jc w:val="left"/>
              <w:outlineLvl w:val="0"/>
              <w:rPr>
                <w:rFonts w:cs="Times New Roman"/>
              </w:rPr>
            </w:pPr>
          </w:p>
        </w:tc>
        <w:tc>
          <w:tcPr>
            <w:tcW w:w="168" w:type="pct"/>
            <w:vMerge w:val="continue"/>
            <w:vAlign w:val="center"/>
          </w:tcPr>
          <w:p>
            <w:pPr>
              <w:spacing w:line="300" w:lineRule="exact"/>
              <w:jc w:val="left"/>
              <w:outlineLvl w:val="0"/>
              <w:rPr>
                <w:rFonts w:cs="Times New Roman"/>
              </w:rPr>
            </w:pPr>
          </w:p>
        </w:tc>
        <w:tc>
          <w:tcPr>
            <w:tcW w:w="252" w:type="pct"/>
            <w:vMerge w:val="continue"/>
            <w:vAlign w:val="center"/>
          </w:tcPr>
          <w:p>
            <w:pPr>
              <w:spacing w:line="300" w:lineRule="exact"/>
              <w:jc w:val="left"/>
              <w:outlineLvl w:val="0"/>
              <w:rPr>
                <w:rFonts w:cs="Times New Roman"/>
              </w:rPr>
            </w:pPr>
          </w:p>
        </w:tc>
        <w:tc>
          <w:tcPr>
            <w:tcW w:w="294" w:type="pct"/>
            <w:vMerge w:val="continue"/>
            <w:vAlign w:val="center"/>
          </w:tcPr>
          <w:p>
            <w:pPr>
              <w:spacing w:line="300" w:lineRule="exact"/>
              <w:jc w:val="left"/>
              <w:outlineLvl w:val="0"/>
              <w:rPr>
                <w:rFonts w:cs="Times New Roman"/>
              </w:rPr>
            </w:pPr>
          </w:p>
        </w:tc>
        <w:tc>
          <w:tcPr>
            <w:tcW w:w="255"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总计</w:t>
            </w:r>
          </w:p>
        </w:tc>
        <w:tc>
          <w:tcPr>
            <w:tcW w:w="1447" w:type="pct"/>
            <w:gridSpan w:val="5"/>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当年部门预算安排资金</w:t>
            </w:r>
          </w:p>
        </w:tc>
        <w:tc>
          <w:tcPr>
            <w:tcW w:w="274" w:type="pct"/>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801" w:type="pct"/>
            <w:vMerge w:val="continue"/>
            <w:vAlign w:val="center"/>
          </w:tcPr>
          <w:p>
            <w:pPr>
              <w:spacing w:line="300" w:lineRule="exact"/>
              <w:jc w:val="left"/>
              <w:outlineLvl w:val="0"/>
              <w:rPr>
                <w:rFonts w:cs="Times New Roman"/>
              </w:rPr>
            </w:pPr>
          </w:p>
        </w:tc>
        <w:tc>
          <w:tcPr>
            <w:tcW w:w="217" w:type="pct"/>
            <w:vMerge w:val="continue"/>
            <w:vAlign w:val="center"/>
          </w:tcPr>
          <w:p>
            <w:pPr>
              <w:spacing w:line="300" w:lineRule="exact"/>
              <w:jc w:val="left"/>
              <w:outlineLvl w:val="0"/>
              <w:rPr>
                <w:rFonts w:cs="Times New Roman"/>
              </w:rPr>
            </w:pPr>
          </w:p>
        </w:tc>
        <w:tc>
          <w:tcPr>
            <w:tcW w:w="889" w:type="pct"/>
            <w:vMerge w:val="continue"/>
            <w:vAlign w:val="center"/>
          </w:tcPr>
          <w:p>
            <w:pPr>
              <w:spacing w:line="300" w:lineRule="exact"/>
              <w:jc w:val="left"/>
              <w:outlineLvl w:val="0"/>
              <w:rPr>
                <w:rFonts w:cs="Times New Roman"/>
              </w:rPr>
            </w:pPr>
          </w:p>
        </w:tc>
        <w:tc>
          <w:tcPr>
            <w:tcW w:w="401" w:type="pct"/>
            <w:vMerge w:val="continue"/>
            <w:vAlign w:val="center"/>
          </w:tcPr>
          <w:p>
            <w:pPr>
              <w:spacing w:line="300" w:lineRule="exact"/>
              <w:jc w:val="left"/>
              <w:outlineLvl w:val="0"/>
              <w:rPr>
                <w:rFonts w:cs="Times New Roman"/>
              </w:rPr>
            </w:pPr>
          </w:p>
        </w:tc>
        <w:tc>
          <w:tcPr>
            <w:tcW w:w="168" w:type="pct"/>
            <w:vMerge w:val="continue"/>
            <w:vAlign w:val="center"/>
          </w:tcPr>
          <w:p>
            <w:pPr>
              <w:spacing w:line="300" w:lineRule="exact"/>
              <w:jc w:val="left"/>
              <w:outlineLvl w:val="0"/>
              <w:rPr>
                <w:rFonts w:cs="Times New Roman"/>
              </w:rPr>
            </w:pPr>
          </w:p>
        </w:tc>
        <w:tc>
          <w:tcPr>
            <w:tcW w:w="252" w:type="pct"/>
            <w:vMerge w:val="continue"/>
            <w:vAlign w:val="center"/>
          </w:tcPr>
          <w:p>
            <w:pPr>
              <w:spacing w:line="300" w:lineRule="exact"/>
              <w:jc w:val="left"/>
              <w:outlineLvl w:val="0"/>
              <w:rPr>
                <w:rFonts w:cs="Times New Roman"/>
              </w:rPr>
            </w:pPr>
          </w:p>
        </w:tc>
        <w:tc>
          <w:tcPr>
            <w:tcW w:w="294" w:type="pct"/>
            <w:vMerge w:val="continue"/>
            <w:vAlign w:val="center"/>
          </w:tcPr>
          <w:p>
            <w:pPr>
              <w:spacing w:line="300" w:lineRule="exact"/>
              <w:jc w:val="left"/>
              <w:outlineLvl w:val="0"/>
              <w:rPr>
                <w:rFonts w:cs="Times New Roman"/>
              </w:rPr>
            </w:pPr>
          </w:p>
        </w:tc>
        <w:tc>
          <w:tcPr>
            <w:tcW w:w="255" w:type="pct"/>
            <w:vMerge w:val="continue"/>
            <w:vAlign w:val="center"/>
          </w:tcPr>
          <w:p>
            <w:pPr>
              <w:spacing w:line="300" w:lineRule="exact"/>
              <w:jc w:val="left"/>
              <w:outlineLvl w:val="0"/>
              <w:rPr>
                <w:rFonts w:cs="Times New Roman"/>
              </w:rPr>
            </w:pPr>
          </w:p>
        </w:tc>
        <w:tc>
          <w:tcPr>
            <w:tcW w:w="225"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合计</w:t>
            </w:r>
          </w:p>
        </w:tc>
        <w:tc>
          <w:tcPr>
            <w:tcW w:w="350"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一般公共预算拨款</w:t>
            </w:r>
          </w:p>
        </w:tc>
        <w:tc>
          <w:tcPr>
            <w:tcW w:w="280"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基金预算拨款</w:t>
            </w:r>
          </w:p>
        </w:tc>
        <w:tc>
          <w:tcPr>
            <w:tcW w:w="293"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财政专户核拨</w:t>
            </w:r>
          </w:p>
        </w:tc>
        <w:tc>
          <w:tcPr>
            <w:tcW w:w="299"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其他来源收入</w:t>
            </w:r>
          </w:p>
        </w:tc>
        <w:tc>
          <w:tcPr>
            <w:tcW w:w="274" w:type="pct"/>
            <w:vMerge w:val="continue"/>
            <w:vAlign w:val="center"/>
          </w:tcPr>
          <w:p>
            <w:pPr>
              <w:spacing w:line="300" w:lineRule="exact"/>
              <w:jc w:val="left"/>
              <w:outlineLvl w:val="0"/>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3" w:hRule="atLeast"/>
          <w:jc w:val="center"/>
        </w:trPr>
        <w:tc>
          <w:tcPr>
            <w:tcW w:w="801" w:type="pc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合　计</w:t>
            </w:r>
          </w:p>
        </w:tc>
        <w:tc>
          <w:tcPr>
            <w:tcW w:w="217" w:type="pct"/>
            <w:vAlign w:val="center"/>
          </w:tcPr>
          <w:p>
            <w:pPr>
              <w:spacing w:line="300" w:lineRule="exact"/>
              <w:jc w:val="center"/>
              <w:rPr>
                <w:rFonts w:ascii="方正书宋_GBK" w:eastAsia="方正书宋_GBK" w:cs="Times New Roman"/>
                <w:b/>
                <w:bCs/>
              </w:rPr>
            </w:pPr>
          </w:p>
        </w:tc>
        <w:tc>
          <w:tcPr>
            <w:tcW w:w="889" w:type="pct"/>
            <w:vAlign w:val="center"/>
          </w:tcPr>
          <w:p>
            <w:pPr>
              <w:spacing w:line="300" w:lineRule="exact"/>
              <w:jc w:val="center"/>
              <w:rPr>
                <w:rFonts w:ascii="方正书宋_GBK" w:eastAsia="方正书宋_GBK" w:cs="Times New Roman"/>
                <w:b/>
                <w:bCs/>
              </w:rPr>
            </w:pPr>
          </w:p>
        </w:tc>
        <w:tc>
          <w:tcPr>
            <w:tcW w:w="401" w:type="pct"/>
            <w:vAlign w:val="center"/>
          </w:tcPr>
          <w:p>
            <w:pPr>
              <w:spacing w:line="300" w:lineRule="exact"/>
              <w:jc w:val="center"/>
              <w:rPr>
                <w:rFonts w:ascii="方正书宋_GBK" w:eastAsia="方正书宋_GBK" w:cs="Times New Roman"/>
                <w:b/>
                <w:bCs/>
              </w:rPr>
            </w:pPr>
          </w:p>
        </w:tc>
        <w:tc>
          <w:tcPr>
            <w:tcW w:w="168" w:type="pct"/>
            <w:vAlign w:val="center"/>
          </w:tcPr>
          <w:p>
            <w:pPr>
              <w:spacing w:line="300" w:lineRule="exact"/>
              <w:jc w:val="center"/>
              <w:rPr>
                <w:rFonts w:ascii="方正书宋_GBK" w:eastAsia="方正书宋_GBK" w:cs="Times New Roman"/>
                <w:b/>
                <w:bCs/>
              </w:rPr>
            </w:pPr>
          </w:p>
        </w:tc>
        <w:tc>
          <w:tcPr>
            <w:tcW w:w="252" w:type="pct"/>
            <w:vAlign w:val="center"/>
          </w:tcPr>
          <w:p>
            <w:pPr>
              <w:spacing w:line="300" w:lineRule="exact"/>
              <w:jc w:val="center"/>
              <w:rPr>
                <w:rFonts w:ascii="方正书宋_GBK" w:eastAsia="方正书宋_GBK" w:cs="Times New Roman"/>
                <w:b/>
                <w:bCs/>
              </w:rPr>
            </w:pPr>
          </w:p>
        </w:tc>
        <w:tc>
          <w:tcPr>
            <w:tcW w:w="294" w:type="pct"/>
            <w:vAlign w:val="center"/>
          </w:tcPr>
          <w:p>
            <w:pPr>
              <w:spacing w:line="300" w:lineRule="exact"/>
              <w:jc w:val="center"/>
              <w:rPr>
                <w:rFonts w:ascii="方正书宋_GBK" w:eastAsia="方正书宋_GBK" w:cs="Times New Roman"/>
                <w:b/>
                <w:bCs/>
              </w:rPr>
            </w:pPr>
          </w:p>
        </w:tc>
        <w:tc>
          <w:tcPr>
            <w:tcW w:w="255" w:type="pct"/>
            <w:vAlign w:val="center"/>
          </w:tcPr>
          <w:p>
            <w:pPr>
              <w:spacing w:line="300" w:lineRule="exact"/>
              <w:jc w:val="center"/>
              <w:rPr>
                <w:rFonts w:ascii="方正书宋_GBK" w:eastAsia="方正书宋_GBK" w:cs="方正书宋_GBK"/>
              </w:rPr>
            </w:pPr>
            <w:r>
              <w:rPr>
                <w:rFonts w:ascii="方正书宋_GBK" w:eastAsia="方正书宋_GBK" w:cs="方正书宋_GBK"/>
              </w:rPr>
              <w:t>23.1</w:t>
            </w:r>
          </w:p>
        </w:tc>
        <w:tc>
          <w:tcPr>
            <w:tcW w:w="225" w:type="pct"/>
            <w:vAlign w:val="center"/>
          </w:tcPr>
          <w:p>
            <w:pPr>
              <w:spacing w:line="300" w:lineRule="exact"/>
              <w:jc w:val="center"/>
              <w:rPr>
                <w:rFonts w:ascii="方正书宋_GBK" w:eastAsia="方正书宋_GBK" w:cs="方正书宋_GBK"/>
              </w:rPr>
            </w:pPr>
            <w:r>
              <w:rPr>
                <w:rFonts w:ascii="方正书宋_GBK" w:eastAsia="方正书宋_GBK" w:cs="方正书宋_GBK"/>
              </w:rPr>
              <w:t>23.1</w:t>
            </w:r>
          </w:p>
        </w:tc>
        <w:tc>
          <w:tcPr>
            <w:tcW w:w="350" w:type="pct"/>
            <w:vAlign w:val="center"/>
          </w:tcPr>
          <w:p>
            <w:pPr>
              <w:spacing w:line="300" w:lineRule="exact"/>
              <w:jc w:val="center"/>
              <w:rPr>
                <w:rFonts w:ascii="方正书宋_GBK" w:eastAsia="方正书宋_GBK" w:cs="方正书宋_GBK"/>
              </w:rPr>
            </w:pPr>
            <w:r>
              <w:rPr>
                <w:rFonts w:ascii="方正书宋_GBK" w:eastAsia="方正书宋_GBK" w:cs="方正书宋_GBK"/>
              </w:rPr>
              <w:t>23.1</w:t>
            </w:r>
          </w:p>
        </w:tc>
        <w:tc>
          <w:tcPr>
            <w:tcW w:w="280" w:type="pct"/>
            <w:vAlign w:val="center"/>
          </w:tcPr>
          <w:p>
            <w:pPr>
              <w:spacing w:line="300" w:lineRule="exact"/>
              <w:jc w:val="right"/>
              <w:rPr>
                <w:rFonts w:ascii="方正书宋_GBK" w:eastAsia="方正书宋_GBK" w:cs="Times New Roman"/>
                <w:b/>
                <w:bCs/>
              </w:rPr>
            </w:pPr>
          </w:p>
        </w:tc>
        <w:tc>
          <w:tcPr>
            <w:tcW w:w="293" w:type="pct"/>
            <w:vAlign w:val="center"/>
          </w:tcPr>
          <w:p>
            <w:pPr>
              <w:spacing w:line="300" w:lineRule="exact"/>
              <w:jc w:val="right"/>
              <w:rPr>
                <w:rFonts w:ascii="方正书宋_GBK" w:eastAsia="方正书宋_GBK" w:cs="Times New Roman"/>
                <w:b/>
                <w:bCs/>
              </w:rPr>
            </w:pPr>
          </w:p>
        </w:tc>
        <w:tc>
          <w:tcPr>
            <w:tcW w:w="299" w:type="pct"/>
            <w:vAlign w:val="center"/>
          </w:tcPr>
          <w:p>
            <w:pPr>
              <w:spacing w:line="300" w:lineRule="exact"/>
              <w:jc w:val="right"/>
              <w:rPr>
                <w:rFonts w:ascii="方正书宋_GBK" w:eastAsia="方正书宋_GBK" w:cs="Times New Roman"/>
                <w:b/>
                <w:bCs/>
              </w:rPr>
            </w:pPr>
          </w:p>
        </w:tc>
        <w:tc>
          <w:tcPr>
            <w:tcW w:w="274" w:type="pct"/>
            <w:vAlign w:val="center"/>
          </w:tcPr>
          <w:p>
            <w:pPr>
              <w:spacing w:line="300" w:lineRule="exact"/>
              <w:jc w:val="right"/>
              <w:rPr>
                <w:rFonts w:ascii="方正书宋_GBK" w:eastAsia="方正书宋_GBK"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1"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《隆尧县工业志》编纂项目</w:t>
            </w:r>
          </w:p>
        </w:tc>
        <w:tc>
          <w:tcPr>
            <w:tcW w:w="217" w:type="pct"/>
            <w:vAlign w:val="center"/>
          </w:tcPr>
          <w:p>
            <w:pPr>
              <w:spacing w:line="300" w:lineRule="exact"/>
              <w:jc w:val="center"/>
              <w:rPr>
                <w:rFonts w:ascii="方正书宋_GBK" w:eastAsia="方正书宋_GBK" w:cs="方正书宋_GBK"/>
              </w:rPr>
            </w:pPr>
            <w:r>
              <w:rPr>
                <w:rFonts w:ascii="方正书宋_GBK" w:eastAsia="方正书宋_GBK" w:cs="方正书宋_GBK"/>
              </w:rPr>
              <w:t>19.9</w:t>
            </w:r>
          </w:p>
        </w:tc>
        <w:tc>
          <w:tcPr>
            <w:tcW w:w="889"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其他印刷服务</w:t>
            </w:r>
          </w:p>
        </w:tc>
        <w:tc>
          <w:tcPr>
            <w:tcW w:w="401" w:type="pct"/>
            <w:vAlign w:val="center"/>
          </w:tcPr>
          <w:p>
            <w:pPr>
              <w:spacing w:line="300" w:lineRule="exact"/>
              <w:jc w:val="center"/>
              <w:rPr>
                <w:rFonts w:ascii="方正书宋_GBK" w:eastAsia="方正书宋_GBK" w:cs="方正书宋_GBK"/>
              </w:rPr>
            </w:pPr>
            <w:r>
              <w:rPr>
                <w:rFonts w:ascii="方正书宋_GBK" w:eastAsia="方正书宋_GBK" w:cs="方正书宋_GBK"/>
              </w:rPr>
              <w:t>C08140199</w:t>
            </w:r>
          </w:p>
        </w:tc>
        <w:tc>
          <w:tcPr>
            <w:tcW w:w="168"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次</w:t>
            </w:r>
          </w:p>
        </w:tc>
        <w:tc>
          <w:tcPr>
            <w:tcW w:w="252" w:type="pct"/>
            <w:vAlign w:val="center"/>
          </w:tcPr>
          <w:p>
            <w:pPr>
              <w:spacing w:line="300" w:lineRule="exact"/>
              <w:jc w:val="center"/>
              <w:rPr>
                <w:rFonts w:ascii="方正书宋_GBK" w:eastAsia="方正书宋_GBK" w:cs="方正书宋_GBK"/>
              </w:rPr>
            </w:pPr>
            <w:r>
              <w:rPr>
                <w:rFonts w:ascii="方正书宋_GBK" w:eastAsia="方正书宋_GBK" w:cs="方正书宋_GBK"/>
              </w:rPr>
              <w:t>10</w:t>
            </w:r>
          </w:p>
        </w:tc>
        <w:tc>
          <w:tcPr>
            <w:tcW w:w="294" w:type="pct"/>
            <w:vAlign w:val="center"/>
          </w:tcPr>
          <w:p>
            <w:pPr>
              <w:spacing w:line="300" w:lineRule="exact"/>
              <w:jc w:val="center"/>
              <w:rPr>
                <w:rFonts w:ascii="方正书宋_GBK" w:eastAsia="方正书宋_GBK" w:cs="方正书宋_GBK"/>
              </w:rPr>
            </w:pPr>
            <w:r>
              <w:rPr>
                <w:rFonts w:ascii="方正书宋_GBK" w:eastAsia="方正书宋_GBK" w:cs="方正书宋_GBK"/>
              </w:rPr>
              <w:t>1.99</w:t>
            </w:r>
          </w:p>
        </w:tc>
        <w:tc>
          <w:tcPr>
            <w:tcW w:w="255" w:type="pct"/>
            <w:vAlign w:val="center"/>
          </w:tcPr>
          <w:p>
            <w:pPr>
              <w:spacing w:line="300" w:lineRule="exact"/>
              <w:jc w:val="center"/>
              <w:rPr>
                <w:rFonts w:ascii="方正书宋_GBK" w:eastAsia="方正书宋_GBK" w:cs="方正书宋_GBK"/>
              </w:rPr>
            </w:pPr>
            <w:r>
              <w:rPr>
                <w:rFonts w:ascii="方正书宋_GBK" w:eastAsia="方正书宋_GBK" w:cs="方正书宋_GBK"/>
              </w:rPr>
              <w:t>19.9</w:t>
            </w:r>
          </w:p>
        </w:tc>
        <w:tc>
          <w:tcPr>
            <w:tcW w:w="225" w:type="pct"/>
            <w:vAlign w:val="center"/>
          </w:tcPr>
          <w:p>
            <w:pPr>
              <w:spacing w:line="300" w:lineRule="exact"/>
              <w:jc w:val="center"/>
              <w:rPr>
                <w:rFonts w:ascii="方正书宋_GBK" w:eastAsia="方正书宋_GBK" w:cs="方正书宋_GBK"/>
              </w:rPr>
            </w:pPr>
            <w:r>
              <w:rPr>
                <w:rFonts w:ascii="方正书宋_GBK" w:eastAsia="方正书宋_GBK" w:cs="方正书宋_GBK"/>
              </w:rPr>
              <w:t>19.9</w:t>
            </w:r>
          </w:p>
        </w:tc>
        <w:tc>
          <w:tcPr>
            <w:tcW w:w="350" w:type="pct"/>
            <w:vAlign w:val="center"/>
          </w:tcPr>
          <w:p>
            <w:pPr>
              <w:spacing w:line="300" w:lineRule="exact"/>
              <w:jc w:val="center"/>
              <w:rPr>
                <w:rFonts w:ascii="方正书宋_GBK" w:eastAsia="方正书宋_GBK" w:cs="方正书宋_GBK"/>
              </w:rPr>
            </w:pPr>
            <w:r>
              <w:rPr>
                <w:rFonts w:ascii="方正书宋_GBK" w:eastAsia="方正书宋_GBK" w:cs="方正书宋_GBK"/>
              </w:rPr>
              <w:t>19.9</w:t>
            </w:r>
          </w:p>
        </w:tc>
        <w:tc>
          <w:tcPr>
            <w:tcW w:w="280" w:type="pct"/>
            <w:vAlign w:val="center"/>
          </w:tcPr>
          <w:p>
            <w:pPr>
              <w:spacing w:line="300" w:lineRule="exact"/>
              <w:jc w:val="right"/>
              <w:rPr>
                <w:rFonts w:ascii="方正书宋_GBK" w:eastAsia="方正书宋_GBK" w:cs="Times New Roman"/>
                <w:b/>
                <w:bCs/>
              </w:rPr>
            </w:pPr>
          </w:p>
        </w:tc>
        <w:tc>
          <w:tcPr>
            <w:tcW w:w="293" w:type="pct"/>
            <w:vAlign w:val="center"/>
          </w:tcPr>
          <w:p>
            <w:pPr>
              <w:spacing w:line="300" w:lineRule="exact"/>
              <w:jc w:val="right"/>
              <w:rPr>
                <w:rFonts w:ascii="方正书宋_GBK" w:eastAsia="方正书宋_GBK" w:cs="Times New Roman"/>
                <w:b/>
                <w:bCs/>
              </w:rPr>
            </w:pPr>
          </w:p>
        </w:tc>
        <w:tc>
          <w:tcPr>
            <w:tcW w:w="299" w:type="pct"/>
            <w:vAlign w:val="center"/>
          </w:tcPr>
          <w:p>
            <w:pPr>
              <w:spacing w:line="300" w:lineRule="exact"/>
              <w:jc w:val="right"/>
              <w:rPr>
                <w:rFonts w:ascii="方正书宋_GBK" w:eastAsia="方正书宋_GBK" w:cs="Times New Roman"/>
                <w:b/>
                <w:bCs/>
              </w:rPr>
            </w:pPr>
          </w:p>
        </w:tc>
        <w:tc>
          <w:tcPr>
            <w:tcW w:w="274" w:type="pct"/>
            <w:vAlign w:val="center"/>
          </w:tcPr>
          <w:p>
            <w:pPr>
              <w:spacing w:line="300" w:lineRule="exact"/>
              <w:jc w:val="right"/>
              <w:rPr>
                <w:rFonts w:ascii="方正书宋_GBK" w:eastAsia="方正书宋_GBK"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801"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工经联专项经费</w:t>
            </w:r>
          </w:p>
        </w:tc>
        <w:tc>
          <w:tcPr>
            <w:tcW w:w="217" w:type="pct"/>
            <w:vAlign w:val="center"/>
          </w:tcPr>
          <w:p>
            <w:pPr>
              <w:spacing w:line="300" w:lineRule="exact"/>
              <w:jc w:val="center"/>
              <w:rPr>
                <w:rFonts w:ascii="方正书宋_GBK" w:eastAsia="方正书宋_GBK" w:cs="方正书宋_GBK"/>
              </w:rPr>
            </w:pPr>
            <w:r>
              <w:rPr>
                <w:rFonts w:ascii="方正书宋_GBK" w:eastAsia="方正书宋_GBK" w:cs="方正书宋_GBK"/>
              </w:rPr>
              <w:t>2.2</w:t>
            </w:r>
          </w:p>
        </w:tc>
        <w:tc>
          <w:tcPr>
            <w:tcW w:w="889"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其他办公消耗用品及类似</w:t>
            </w:r>
          </w:p>
        </w:tc>
        <w:tc>
          <w:tcPr>
            <w:tcW w:w="401" w:type="pct"/>
            <w:vAlign w:val="center"/>
          </w:tcPr>
          <w:p>
            <w:pPr>
              <w:spacing w:line="300" w:lineRule="exact"/>
              <w:jc w:val="center"/>
              <w:rPr>
                <w:rFonts w:ascii="方正书宋_GBK" w:eastAsia="方正书宋_GBK" w:cs="方正书宋_GBK"/>
              </w:rPr>
            </w:pPr>
            <w:r>
              <w:rPr>
                <w:rFonts w:ascii="方正书宋_GBK" w:eastAsia="方正书宋_GBK" w:cs="方正书宋_GBK"/>
              </w:rPr>
              <w:t>A0999</w:t>
            </w:r>
          </w:p>
        </w:tc>
        <w:tc>
          <w:tcPr>
            <w:tcW w:w="168"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件</w:t>
            </w:r>
          </w:p>
        </w:tc>
        <w:tc>
          <w:tcPr>
            <w:tcW w:w="252" w:type="pct"/>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294" w:type="pct"/>
            <w:vAlign w:val="center"/>
          </w:tcPr>
          <w:p>
            <w:pPr>
              <w:spacing w:line="300" w:lineRule="exact"/>
              <w:jc w:val="center"/>
              <w:rPr>
                <w:rFonts w:ascii="方正书宋_GBK" w:eastAsia="方正书宋_GBK" w:cs="方正书宋_GBK"/>
              </w:rPr>
            </w:pPr>
            <w:r>
              <w:rPr>
                <w:rFonts w:ascii="方正书宋_GBK" w:eastAsia="方正书宋_GBK" w:cs="方正书宋_GBK"/>
              </w:rPr>
              <w:t>0.02</w:t>
            </w:r>
          </w:p>
        </w:tc>
        <w:tc>
          <w:tcPr>
            <w:tcW w:w="255" w:type="pct"/>
            <w:vAlign w:val="center"/>
          </w:tcPr>
          <w:p>
            <w:pPr>
              <w:spacing w:line="300" w:lineRule="exact"/>
              <w:jc w:val="center"/>
              <w:rPr>
                <w:rFonts w:ascii="方正书宋_GBK" w:eastAsia="方正书宋_GBK" w:cs="方正书宋_GBK"/>
              </w:rPr>
            </w:pPr>
            <w:r>
              <w:rPr>
                <w:rFonts w:ascii="方正书宋_GBK" w:eastAsia="方正书宋_GBK" w:cs="方正书宋_GBK"/>
              </w:rPr>
              <w:t>2.2</w:t>
            </w:r>
          </w:p>
        </w:tc>
        <w:tc>
          <w:tcPr>
            <w:tcW w:w="225" w:type="pct"/>
            <w:vAlign w:val="center"/>
          </w:tcPr>
          <w:p>
            <w:pPr>
              <w:spacing w:line="300" w:lineRule="exact"/>
              <w:jc w:val="center"/>
              <w:rPr>
                <w:rFonts w:ascii="方正书宋_GBK" w:eastAsia="方正书宋_GBK" w:cs="方正书宋_GBK"/>
              </w:rPr>
            </w:pPr>
            <w:r>
              <w:rPr>
                <w:rFonts w:ascii="方正书宋_GBK" w:eastAsia="方正书宋_GBK" w:cs="方正书宋_GBK"/>
              </w:rPr>
              <w:t>2.2</w:t>
            </w:r>
          </w:p>
        </w:tc>
        <w:tc>
          <w:tcPr>
            <w:tcW w:w="350" w:type="pct"/>
            <w:vAlign w:val="center"/>
          </w:tcPr>
          <w:p>
            <w:pPr>
              <w:spacing w:line="300" w:lineRule="exact"/>
              <w:jc w:val="center"/>
              <w:rPr>
                <w:rFonts w:ascii="方正书宋_GBK" w:eastAsia="方正书宋_GBK" w:cs="方正书宋_GBK"/>
              </w:rPr>
            </w:pPr>
            <w:r>
              <w:rPr>
                <w:rFonts w:ascii="方正书宋_GBK" w:eastAsia="方正书宋_GBK" w:cs="方正书宋_GBK"/>
              </w:rPr>
              <w:t>2.2</w:t>
            </w:r>
          </w:p>
        </w:tc>
        <w:tc>
          <w:tcPr>
            <w:tcW w:w="280" w:type="pct"/>
            <w:vAlign w:val="center"/>
          </w:tcPr>
          <w:p>
            <w:pPr>
              <w:spacing w:line="300" w:lineRule="exact"/>
              <w:jc w:val="right"/>
              <w:rPr>
                <w:rFonts w:ascii="方正书宋_GBK" w:eastAsia="方正书宋_GBK" w:cs="方正书宋_GBK"/>
              </w:rPr>
            </w:pPr>
          </w:p>
        </w:tc>
        <w:tc>
          <w:tcPr>
            <w:tcW w:w="293" w:type="pct"/>
            <w:vAlign w:val="center"/>
          </w:tcPr>
          <w:p>
            <w:pPr>
              <w:spacing w:line="300" w:lineRule="exact"/>
              <w:jc w:val="right"/>
              <w:rPr>
                <w:rFonts w:ascii="方正书宋_GBK" w:eastAsia="方正书宋_GBK" w:cs="方正书宋_GBK"/>
              </w:rPr>
            </w:pPr>
          </w:p>
        </w:tc>
        <w:tc>
          <w:tcPr>
            <w:tcW w:w="299" w:type="pct"/>
            <w:vAlign w:val="center"/>
          </w:tcPr>
          <w:p>
            <w:pPr>
              <w:spacing w:line="300" w:lineRule="exact"/>
              <w:jc w:val="right"/>
              <w:rPr>
                <w:rFonts w:ascii="方正书宋_GBK" w:eastAsia="方正书宋_GBK" w:cs="方正书宋_GBK"/>
              </w:rPr>
            </w:pPr>
          </w:p>
        </w:tc>
        <w:tc>
          <w:tcPr>
            <w:tcW w:w="274" w:type="pct"/>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801"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工经联专项经费</w:t>
            </w:r>
          </w:p>
        </w:tc>
        <w:tc>
          <w:tcPr>
            <w:tcW w:w="217" w:type="pct"/>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889"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其他印刷服务</w:t>
            </w:r>
          </w:p>
        </w:tc>
        <w:tc>
          <w:tcPr>
            <w:tcW w:w="401" w:type="pct"/>
            <w:vAlign w:val="center"/>
          </w:tcPr>
          <w:p>
            <w:pPr>
              <w:spacing w:line="300" w:lineRule="exact"/>
              <w:jc w:val="center"/>
              <w:rPr>
                <w:rFonts w:ascii="方正书宋_GBK" w:eastAsia="方正书宋_GBK" w:cs="方正书宋_GBK"/>
              </w:rPr>
            </w:pPr>
            <w:r>
              <w:rPr>
                <w:rFonts w:ascii="方正书宋_GBK" w:eastAsia="方正书宋_GBK" w:cs="方正书宋_GBK"/>
              </w:rPr>
              <w:t>C08140199</w:t>
            </w:r>
          </w:p>
        </w:tc>
        <w:tc>
          <w:tcPr>
            <w:tcW w:w="168" w:type="pct"/>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次</w:t>
            </w:r>
          </w:p>
        </w:tc>
        <w:tc>
          <w:tcPr>
            <w:tcW w:w="252" w:type="pct"/>
            <w:vAlign w:val="center"/>
          </w:tcPr>
          <w:p>
            <w:pPr>
              <w:spacing w:line="300" w:lineRule="exact"/>
              <w:jc w:val="center"/>
              <w:rPr>
                <w:rFonts w:ascii="方正书宋_GBK" w:eastAsia="方正书宋_GBK" w:cs="方正书宋_GBK"/>
              </w:rPr>
            </w:pPr>
            <w:r>
              <w:rPr>
                <w:rFonts w:ascii="方正书宋_GBK" w:eastAsia="方正书宋_GBK" w:cs="方正书宋_GBK"/>
              </w:rPr>
              <w:t>10</w:t>
            </w:r>
          </w:p>
        </w:tc>
        <w:tc>
          <w:tcPr>
            <w:tcW w:w="294" w:type="pct"/>
            <w:vAlign w:val="center"/>
          </w:tcPr>
          <w:p>
            <w:pPr>
              <w:spacing w:line="300" w:lineRule="exact"/>
              <w:jc w:val="center"/>
              <w:rPr>
                <w:rFonts w:ascii="方正书宋_GBK" w:eastAsia="方正书宋_GBK" w:cs="方正书宋_GBK"/>
              </w:rPr>
            </w:pPr>
            <w:r>
              <w:rPr>
                <w:rFonts w:ascii="方正书宋_GBK" w:eastAsia="方正书宋_GBK" w:cs="方正书宋_GBK"/>
              </w:rPr>
              <w:t>0.1</w:t>
            </w:r>
          </w:p>
        </w:tc>
        <w:tc>
          <w:tcPr>
            <w:tcW w:w="255" w:type="pct"/>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225" w:type="pct"/>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350" w:type="pct"/>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280" w:type="pct"/>
            <w:vAlign w:val="center"/>
          </w:tcPr>
          <w:p>
            <w:pPr>
              <w:spacing w:line="300" w:lineRule="exact"/>
              <w:jc w:val="right"/>
              <w:rPr>
                <w:rFonts w:ascii="方正书宋_GBK" w:eastAsia="方正书宋_GBK" w:cs="方正书宋_GBK"/>
              </w:rPr>
            </w:pPr>
          </w:p>
        </w:tc>
        <w:tc>
          <w:tcPr>
            <w:tcW w:w="293" w:type="pct"/>
            <w:vAlign w:val="center"/>
          </w:tcPr>
          <w:p>
            <w:pPr>
              <w:spacing w:line="300" w:lineRule="exact"/>
              <w:jc w:val="right"/>
              <w:rPr>
                <w:rFonts w:ascii="方正书宋_GBK" w:eastAsia="方正书宋_GBK" w:cs="方正书宋_GBK"/>
              </w:rPr>
            </w:pPr>
          </w:p>
        </w:tc>
        <w:tc>
          <w:tcPr>
            <w:tcW w:w="299" w:type="pct"/>
            <w:vAlign w:val="center"/>
          </w:tcPr>
          <w:p>
            <w:pPr>
              <w:spacing w:line="300" w:lineRule="exact"/>
              <w:jc w:val="right"/>
              <w:rPr>
                <w:rFonts w:ascii="方正书宋_GBK" w:eastAsia="方正书宋_GBK" w:cs="方正书宋_GBK"/>
              </w:rPr>
            </w:pPr>
          </w:p>
        </w:tc>
        <w:tc>
          <w:tcPr>
            <w:tcW w:w="274" w:type="pct"/>
            <w:vAlign w:val="center"/>
          </w:tcPr>
          <w:p>
            <w:pPr>
              <w:spacing w:line="300" w:lineRule="exact"/>
              <w:jc w:val="right"/>
              <w:rPr>
                <w:rFonts w:ascii="方正书宋_GBK" w:eastAsia="方正书宋_GBK" w:cs="方正书宋_GBK"/>
              </w:rPr>
            </w:pPr>
          </w:p>
        </w:tc>
      </w:tr>
    </w:tbl>
    <w:p>
      <w:pPr>
        <w:spacing w:line="300" w:lineRule="exact"/>
        <w:jc w:val="left"/>
        <w:outlineLvl w:val="0"/>
        <w:rPr>
          <w:rFonts w:cs="Times New Roman"/>
        </w:rPr>
        <w:sectPr>
          <w:headerReference r:id="rId3" w:type="default"/>
          <w:pgSz w:w="16839" w:h="11907" w:orient="landscape"/>
          <w:pgMar w:top="1361" w:right="1020" w:bottom="1361" w:left="1020" w:header="851" w:footer="992" w:gutter="0"/>
          <w:cols w:space="425" w:num="1"/>
          <w:docGrid w:type="lines" w:linePitch="312" w:charSpace="0"/>
        </w:sectPr>
      </w:pPr>
    </w:p>
    <w:bookmarkEnd w:id="7"/>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隆尧县工业经济联合会秘书处</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 xml:space="preserve">6.82 </w:t>
      </w:r>
      <w:r>
        <w:rPr>
          <w:rFonts w:hint="eastAsia" w:ascii="Times New Roman" w:hAnsi="Times New Roman" w:eastAsia="仿宋" w:cs="仿宋"/>
          <w:color w:val="000000"/>
          <w:sz w:val="32"/>
          <w:szCs w:val="32"/>
        </w:rPr>
        <w:t>万元，本年度未打算购置固定资产。详见下表。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编制部门：隆尧县工业经济联合会秘书处</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kern w:val="0"/>
                <w:sz w:val="22"/>
              </w:rPr>
            </w:pPr>
            <w:r>
              <w:rPr>
                <w:rFonts w:ascii="Times New Roman" w:hAnsi="Times New Roman" w:eastAsia="仿宋" w:cs="Times New Roman"/>
                <w:color w:val="000000"/>
                <w:kern w:val="0"/>
                <w:sz w:val="22"/>
                <w:szCs w:val="22"/>
              </w:rPr>
              <w:t>6.82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办公设备等固定资产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6.82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我单位无其他需要说明的事项。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10FB"/>
    <w:rsid w:val="0000235E"/>
    <w:rsid w:val="00011BB6"/>
    <w:rsid w:val="0009171F"/>
    <w:rsid w:val="000C7140"/>
    <w:rsid w:val="000D6826"/>
    <w:rsid w:val="001943DA"/>
    <w:rsid w:val="001D0628"/>
    <w:rsid w:val="001D4B39"/>
    <w:rsid w:val="00214B81"/>
    <w:rsid w:val="002716CE"/>
    <w:rsid w:val="00325CA3"/>
    <w:rsid w:val="00381818"/>
    <w:rsid w:val="003F4292"/>
    <w:rsid w:val="0042460B"/>
    <w:rsid w:val="0046545D"/>
    <w:rsid w:val="0048333F"/>
    <w:rsid w:val="004961B5"/>
    <w:rsid w:val="004969D6"/>
    <w:rsid w:val="004B7D51"/>
    <w:rsid w:val="004F2735"/>
    <w:rsid w:val="005F5737"/>
    <w:rsid w:val="00652226"/>
    <w:rsid w:val="006A3FA6"/>
    <w:rsid w:val="006C6966"/>
    <w:rsid w:val="00726DD9"/>
    <w:rsid w:val="00751373"/>
    <w:rsid w:val="007941F0"/>
    <w:rsid w:val="007B4BED"/>
    <w:rsid w:val="007B71A6"/>
    <w:rsid w:val="008256AA"/>
    <w:rsid w:val="008308E6"/>
    <w:rsid w:val="00862B04"/>
    <w:rsid w:val="00871844"/>
    <w:rsid w:val="0089335E"/>
    <w:rsid w:val="008A3EF2"/>
    <w:rsid w:val="009A024D"/>
    <w:rsid w:val="009A0DC2"/>
    <w:rsid w:val="009A46C9"/>
    <w:rsid w:val="009B7930"/>
    <w:rsid w:val="00A10389"/>
    <w:rsid w:val="00A34BDC"/>
    <w:rsid w:val="00A5050A"/>
    <w:rsid w:val="00AC6887"/>
    <w:rsid w:val="00AE01E8"/>
    <w:rsid w:val="00B1340C"/>
    <w:rsid w:val="00B33854"/>
    <w:rsid w:val="00B80387"/>
    <w:rsid w:val="00B93CD0"/>
    <w:rsid w:val="00BD0750"/>
    <w:rsid w:val="00BD343F"/>
    <w:rsid w:val="00C1795F"/>
    <w:rsid w:val="00C40AA4"/>
    <w:rsid w:val="00C5386B"/>
    <w:rsid w:val="00C67CC4"/>
    <w:rsid w:val="00C71638"/>
    <w:rsid w:val="00C87433"/>
    <w:rsid w:val="00CA7623"/>
    <w:rsid w:val="00D213B3"/>
    <w:rsid w:val="00D23446"/>
    <w:rsid w:val="00D90F39"/>
    <w:rsid w:val="00E53EB6"/>
    <w:rsid w:val="00EC3709"/>
    <w:rsid w:val="00F1366E"/>
    <w:rsid w:val="00F61FBC"/>
    <w:rsid w:val="00F63BF5"/>
    <w:rsid w:val="00F73D27"/>
    <w:rsid w:val="00F94C0B"/>
    <w:rsid w:val="00FA583C"/>
    <w:rsid w:val="00FB142E"/>
    <w:rsid w:val="02D17B65"/>
    <w:rsid w:val="5FFE5A49"/>
    <w:rsid w:val="77FB1299"/>
    <w:rsid w:val="FFF67A2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rFonts w:cs="Times New Roman"/>
      <w:vertAlign w:val="superscript"/>
    </w:rPr>
  </w:style>
  <w:style w:type="character" w:customStyle="1" w:styleId="10">
    <w:name w:val="页脚 Char"/>
    <w:basedOn w:val="8"/>
    <w:link w:val="2"/>
    <w:semiHidden/>
    <w:qFormat/>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qFormat/>
    <w:locked/>
    <w:uiPriority w:val="99"/>
    <w:rPr>
      <w:rFonts w:ascii="Calibri" w:hAnsi="Calibri" w:cs="Calibri"/>
      <w:kern w:val="2"/>
      <w:sz w:val="18"/>
      <w:szCs w:val="18"/>
    </w:rPr>
  </w:style>
  <w:style w:type="paragraph" w:customStyle="1" w:styleId="13">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633</Words>
  <Characters>3612</Characters>
  <Lines>30</Lines>
  <Paragraphs>8</Paragraphs>
  <TotalTime>378</TotalTime>
  <ScaleCrop>false</ScaleCrop>
  <LinksUpToDate>false</LinksUpToDate>
  <CharactersWithSpaces>4237</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work</cp:lastModifiedBy>
  <cp:lastPrinted>2017-02-10T17:57:00Z</cp:lastPrinted>
  <dcterms:modified xsi:type="dcterms:W3CDTF">2023-09-12T17:35:13Z</dcterms:modified>
  <dc:title>o</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CC29CDB1DFBE605BD13000652D17902D</vt:lpwstr>
  </property>
</Properties>
</file>